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5" w:rsidRPr="00CB47C6" w:rsidRDefault="006463E5">
      <w:pPr>
        <w:rPr>
          <w:rFonts w:ascii="Palatino Linotype" w:hAnsi="Palatino Linotype"/>
          <w:b/>
          <w:sz w:val="44"/>
          <w:szCs w:val="36"/>
          <w:lang w:val="en-GB"/>
        </w:rPr>
      </w:pPr>
      <w:r w:rsidRPr="00CB47C6">
        <w:rPr>
          <w:rFonts w:ascii="Palatino Linotype" w:hAnsi="Palatino Linotype"/>
          <w:b/>
          <w:sz w:val="44"/>
          <w:szCs w:val="36"/>
          <w:lang w:val="en-GB"/>
        </w:rPr>
        <w:t>Assessment of costs of natural hazard</w:t>
      </w:r>
    </w:p>
    <w:p w:rsidR="006463E5" w:rsidRPr="00CB47C6" w:rsidRDefault="006463E5">
      <w:pPr>
        <w:spacing w:after="0" w:line="240" w:lineRule="auto"/>
        <w:rPr>
          <w:rFonts w:ascii="Palatino Linotype" w:hAnsi="Palatino Linotype"/>
          <w:b/>
          <w:sz w:val="32"/>
          <w:szCs w:val="32"/>
          <w:lang w:val="en-GB"/>
        </w:rPr>
      </w:pPr>
      <w:r w:rsidRPr="00CB47C6">
        <w:rPr>
          <w:rFonts w:ascii="Palatino Linotype" w:hAnsi="Palatino Linotype"/>
          <w:b/>
          <w:sz w:val="32"/>
          <w:szCs w:val="32"/>
          <w:lang w:val="en-GB"/>
        </w:rPr>
        <w:t>A meta-guidance document</w:t>
      </w:r>
    </w:p>
    <w:p w:rsidR="006463E5" w:rsidRPr="00CB47C6" w:rsidRDefault="006463E5">
      <w:pPr>
        <w:spacing w:after="0" w:line="240" w:lineRule="auto"/>
        <w:rPr>
          <w:rFonts w:ascii="Palatino Linotype" w:hAnsi="Palatino Linotype"/>
          <w:b/>
          <w:sz w:val="32"/>
          <w:szCs w:val="32"/>
          <w:lang w:val="en-GB"/>
        </w:rPr>
      </w:pPr>
    </w:p>
    <w:p w:rsidR="00933888" w:rsidRPr="00CB47C6" w:rsidRDefault="00933888">
      <w:pPr>
        <w:spacing w:after="0" w:line="240" w:lineRule="auto"/>
        <w:rPr>
          <w:rFonts w:ascii="Palatino Linotype" w:hAnsi="Palatino Linotype"/>
          <w:b/>
          <w:sz w:val="32"/>
          <w:szCs w:val="32"/>
          <w:lang w:val="en-GB"/>
        </w:rPr>
      </w:pPr>
      <w:r w:rsidRPr="00CB47C6">
        <w:rPr>
          <w:rFonts w:ascii="Palatino Linotype" w:hAnsi="Palatino Linotype"/>
          <w:b/>
          <w:sz w:val="32"/>
          <w:szCs w:val="32"/>
          <w:lang w:val="en-GB"/>
        </w:rPr>
        <w:t xml:space="preserve">Last update: </w:t>
      </w:r>
      <w:r w:rsidR="001304B3" w:rsidRPr="00CB47C6">
        <w:rPr>
          <w:rFonts w:ascii="Palatino Linotype" w:hAnsi="Palatino Linotype"/>
          <w:b/>
          <w:sz w:val="32"/>
          <w:szCs w:val="32"/>
          <w:lang w:val="en-GB"/>
        </w:rPr>
        <w:t xml:space="preserve">December </w:t>
      </w:r>
      <w:r w:rsidRPr="00CB47C6">
        <w:rPr>
          <w:rFonts w:ascii="Palatino Linotype" w:hAnsi="Palatino Linotype"/>
          <w:b/>
          <w:sz w:val="32"/>
          <w:szCs w:val="32"/>
          <w:lang w:val="en-GB"/>
        </w:rPr>
        <w:t>2013</w:t>
      </w:r>
    </w:p>
    <w:p w:rsidR="006463E5" w:rsidRPr="00CB47C6" w:rsidRDefault="006463E5">
      <w:pPr>
        <w:spacing w:after="0" w:line="240" w:lineRule="auto"/>
        <w:rPr>
          <w:rFonts w:ascii="Palatino Linotype" w:hAnsi="Palatino Linotype"/>
          <w:b/>
          <w:sz w:val="32"/>
          <w:szCs w:val="32"/>
          <w:lang w:val="en-GB"/>
        </w:rPr>
      </w:pPr>
    </w:p>
    <w:p w:rsidR="001304B3" w:rsidRPr="00CB47C6" w:rsidRDefault="001304B3">
      <w:pPr>
        <w:spacing w:after="0" w:line="240" w:lineRule="auto"/>
        <w:rPr>
          <w:rFonts w:ascii="Palatino Linotype" w:hAnsi="Palatino Linotype"/>
          <w:b/>
          <w:sz w:val="32"/>
          <w:szCs w:val="32"/>
          <w:lang w:val="en-GB"/>
        </w:rPr>
      </w:pPr>
    </w:p>
    <w:p w:rsidR="001304B3" w:rsidRPr="00CB47C6" w:rsidRDefault="001304B3">
      <w:pPr>
        <w:spacing w:after="0" w:line="240" w:lineRule="auto"/>
        <w:rPr>
          <w:rFonts w:ascii="Palatino Linotype" w:hAnsi="Palatino Linotype"/>
          <w:b/>
          <w:sz w:val="32"/>
          <w:szCs w:val="32"/>
          <w:lang w:val="en-GB"/>
        </w:rPr>
      </w:pPr>
    </w:p>
    <w:p w:rsidR="006463E5" w:rsidRPr="00CB47C6" w:rsidRDefault="006463E5">
      <w:pPr>
        <w:spacing w:after="0" w:line="240" w:lineRule="auto"/>
        <w:rPr>
          <w:rFonts w:ascii="Palatino Linotype" w:hAnsi="Palatino Linotype"/>
          <w:b/>
          <w:sz w:val="32"/>
          <w:szCs w:val="32"/>
          <w:lang w:val="en-GB"/>
        </w:rPr>
      </w:pPr>
    </w:p>
    <w:p w:rsidR="008C2A62" w:rsidRPr="00CB47C6" w:rsidRDefault="008C2A62" w:rsidP="008C2A62">
      <w:pPr>
        <w:jc w:val="center"/>
        <w:rPr>
          <w:rFonts w:ascii="Palatino Linotype" w:hAnsi="Palatino Linotype"/>
          <w:b/>
          <w:sz w:val="32"/>
          <w:lang w:val="en-GB"/>
        </w:rPr>
      </w:pPr>
      <w:r w:rsidRPr="00CB47C6">
        <w:rPr>
          <w:rFonts w:ascii="Palatino Linotype" w:hAnsi="Palatino Linotype"/>
          <w:b/>
          <w:sz w:val="32"/>
          <w:lang w:val="en-GB"/>
        </w:rPr>
        <w:t>ETC/CCA Technical Paper</w:t>
      </w:r>
    </w:p>
    <w:p w:rsidR="008C2A62" w:rsidRPr="00CB47C6" w:rsidRDefault="008C2A62" w:rsidP="008C2A62">
      <w:pPr>
        <w:jc w:val="center"/>
        <w:rPr>
          <w:rFonts w:ascii="Palatino Linotype" w:hAnsi="Palatino Linotype"/>
          <w:b/>
          <w:sz w:val="32"/>
          <w:lang w:val="en-GB"/>
        </w:rPr>
      </w:pPr>
    </w:p>
    <w:p w:rsidR="008C2A62" w:rsidRPr="00CB47C6" w:rsidRDefault="008C2A62" w:rsidP="008C2A62">
      <w:pPr>
        <w:pStyle w:val="Cover-title3"/>
        <w:rPr>
          <w:rFonts w:ascii="Palatino Linotype" w:hAnsi="Palatino Linotype"/>
          <w:b w:val="0"/>
        </w:rPr>
      </w:pPr>
      <w:r w:rsidRPr="00CB47C6">
        <w:rPr>
          <w:rFonts w:ascii="Palatino Linotype" w:hAnsi="Palatino Linotype"/>
        </w:rPr>
        <w:t xml:space="preserve">Version: </w:t>
      </w:r>
      <w:r w:rsidR="002E02A3" w:rsidRPr="00CB47C6">
        <w:rPr>
          <w:rFonts w:ascii="Palatino Linotype" w:hAnsi="Palatino Linotype"/>
        </w:rPr>
        <w:t>5</w:t>
      </w:r>
      <w:r w:rsidR="00386A07" w:rsidRPr="00CB47C6">
        <w:rPr>
          <w:rFonts w:ascii="Palatino Linotype" w:hAnsi="Palatino Linotype"/>
        </w:rPr>
        <w:t>.0</w:t>
      </w:r>
    </w:p>
    <w:p w:rsidR="008C2A62" w:rsidRPr="00CB47C6" w:rsidRDefault="008C2A62" w:rsidP="008C2A62">
      <w:pPr>
        <w:tabs>
          <w:tab w:val="left" w:pos="7797"/>
        </w:tabs>
        <w:jc w:val="right"/>
        <w:rPr>
          <w:rFonts w:ascii="Palatino Linotype" w:hAnsi="Palatino Linotype"/>
          <w:b/>
          <w:lang w:val="en-GB"/>
        </w:rPr>
      </w:pPr>
      <w:r w:rsidRPr="00CB47C6">
        <w:rPr>
          <w:rFonts w:ascii="Palatino Linotype" w:hAnsi="Palatino Linotype"/>
          <w:b/>
          <w:lang w:val="en-GB"/>
        </w:rPr>
        <w:t xml:space="preserve">Date: </w:t>
      </w:r>
      <w:r w:rsidR="00935192" w:rsidRPr="00CB47C6">
        <w:rPr>
          <w:rFonts w:ascii="Palatino Linotype" w:hAnsi="Palatino Linotype"/>
          <w:b/>
          <w:lang w:val="en-GB"/>
        </w:rPr>
        <w:t xml:space="preserve">16 </w:t>
      </w:r>
      <w:r w:rsidR="00793C29" w:rsidRPr="00CB47C6">
        <w:rPr>
          <w:rFonts w:ascii="Palatino Linotype" w:hAnsi="Palatino Linotype"/>
          <w:b/>
          <w:lang w:val="en-GB"/>
        </w:rPr>
        <w:t>December 2013</w:t>
      </w:r>
    </w:p>
    <w:p w:rsidR="008C2A62" w:rsidRPr="00CB47C6" w:rsidRDefault="008C2A62" w:rsidP="008C2A62">
      <w:pPr>
        <w:pStyle w:val="Cover-title3"/>
        <w:rPr>
          <w:rFonts w:ascii="Palatino Linotype" w:hAnsi="Palatino Linotype"/>
        </w:rPr>
      </w:pPr>
      <w:r w:rsidRPr="00CB47C6">
        <w:rPr>
          <w:rFonts w:ascii="Palatino Linotype" w:hAnsi="Palatino Linotype"/>
        </w:rPr>
        <w:t xml:space="preserve">EEA activity: </w:t>
      </w:r>
      <w:r w:rsidRPr="00CB47C6">
        <w:rPr>
          <w:rFonts w:ascii="Palatino Linotype" w:hAnsi="Palatino Linotype"/>
          <w:b w:val="0"/>
        </w:rPr>
        <w:t>2.1.2</w:t>
      </w:r>
    </w:p>
    <w:p w:rsidR="006463E5" w:rsidRPr="00CB47C6" w:rsidRDefault="006463E5" w:rsidP="00EB553E">
      <w:pPr>
        <w:jc w:val="both"/>
        <w:rPr>
          <w:rFonts w:ascii="Palatino Linotype" w:hAnsi="Palatino Linotype"/>
          <w:sz w:val="28"/>
          <w:szCs w:val="28"/>
          <w:lang w:val="en-GB"/>
        </w:rPr>
      </w:pPr>
    </w:p>
    <w:p w:rsidR="008C2A62" w:rsidRPr="00CB47C6" w:rsidRDefault="008C2A62" w:rsidP="008C2A62">
      <w:pPr>
        <w:pStyle w:val="Cover-title3"/>
        <w:jc w:val="left"/>
        <w:rPr>
          <w:rFonts w:ascii="Palatino Linotype" w:hAnsi="Palatino Linotype"/>
          <w:b w:val="0"/>
        </w:rPr>
      </w:pPr>
      <w:r w:rsidRPr="00CB47C6">
        <w:rPr>
          <w:rFonts w:ascii="Palatino Linotype" w:hAnsi="Palatino Linotype"/>
        </w:rPr>
        <w:t xml:space="preserve">Organisations: </w:t>
      </w:r>
      <w:r w:rsidRPr="00CB47C6">
        <w:rPr>
          <w:rFonts w:ascii="Palatino Linotype" w:hAnsi="Palatino Linotype"/>
          <w:b w:val="0"/>
        </w:rPr>
        <w:t xml:space="preserve">European Topic Centre on Climate Change impacts, vulnerability and Adaptation (ETC/CCA) </w:t>
      </w:r>
    </w:p>
    <w:p w:rsidR="008C2A62" w:rsidRPr="00CB47C6" w:rsidRDefault="008C2A62" w:rsidP="008C2A62">
      <w:pPr>
        <w:rPr>
          <w:rFonts w:ascii="Palatino Linotype" w:hAnsi="Palatino Linotype"/>
          <w:lang w:val="en-GB" w:eastAsia="da-DK"/>
        </w:rPr>
      </w:pPr>
    </w:p>
    <w:p w:rsidR="008C2A62" w:rsidRPr="00CB47C6" w:rsidRDefault="008C2A62" w:rsidP="008C2A62">
      <w:pPr>
        <w:rPr>
          <w:rFonts w:ascii="Palatino Linotype" w:hAnsi="Palatino Linotype"/>
          <w:lang w:val="en-GB"/>
        </w:rPr>
      </w:pPr>
      <w:r w:rsidRPr="00CB47C6">
        <w:rPr>
          <w:rFonts w:ascii="Palatino Linotype" w:hAnsi="Palatino Linotype"/>
          <w:b/>
          <w:lang w:val="en-GB"/>
        </w:rPr>
        <w:t>Author</w:t>
      </w:r>
      <w:r w:rsidR="00191EE6" w:rsidRPr="00CB47C6">
        <w:rPr>
          <w:rFonts w:ascii="Palatino Linotype" w:hAnsi="Palatino Linotype"/>
          <w:b/>
          <w:lang w:val="en-GB"/>
        </w:rPr>
        <w:t>s</w:t>
      </w:r>
      <w:r w:rsidRPr="00CB47C6">
        <w:rPr>
          <w:rFonts w:ascii="Palatino Linotype" w:hAnsi="Palatino Linotype"/>
          <w:b/>
          <w:lang w:val="en-GB"/>
        </w:rPr>
        <w:t xml:space="preserve"> </w:t>
      </w:r>
      <w:r w:rsidRPr="00CB47C6">
        <w:rPr>
          <w:rFonts w:ascii="Palatino Linotype" w:hAnsi="Palatino Linotype"/>
          <w:b/>
          <w:lang w:val="en-GB"/>
        </w:rPr>
        <w:br/>
      </w:r>
      <w:proofErr w:type="spellStart"/>
      <w:r w:rsidR="00935192" w:rsidRPr="00CB47C6">
        <w:rPr>
          <w:rFonts w:ascii="Palatino Linotype" w:hAnsi="Palatino Linotype"/>
          <w:lang w:val="en-GB"/>
        </w:rPr>
        <w:t>Jaroslav</w:t>
      </w:r>
      <w:proofErr w:type="spellEnd"/>
      <w:r w:rsidR="00935192" w:rsidRPr="00CB47C6">
        <w:rPr>
          <w:rFonts w:ascii="Palatino Linotype" w:hAnsi="Palatino Linotype"/>
          <w:lang w:val="en-GB"/>
        </w:rPr>
        <w:t xml:space="preserve"> </w:t>
      </w:r>
      <w:proofErr w:type="spellStart"/>
      <w:r w:rsidR="00935192" w:rsidRPr="00CB47C6">
        <w:rPr>
          <w:rFonts w:ascii="Palatino Linotype" w:hAnsi="Palatino Linotype"/>
          <w:lang w:val="en-GB"/>
        </w:rPr>
        <w:t>Mysiak</w:t>
      </w:r>
      <w:proofErr w:type="spellEnd"/>
      <w:r w:rsidR="00935192" w:rsidRPr="00CB47C6">
        <w:rPr>
          <w:rFonts w:ascii="Palatino Linotype" w:hAnsi="Palatino Linotype"/>
          <w:lang w:val="en-GB"/>
        </w:rPr>
        <w:t xml:space="preserve"> (ETC/</w:t>
      </w:r>
      <w:r w:rsidRPr="00CB47C6">
        <w:rPr>
          <w:rFonts w:ascii="Palatino Linotype" w:hAnsi="Palatino Linotype"/>
          <w:lang w:val="en-GB"/>
        </w:rPr>
        <w:t>CCA</w:t>
      </w:r>
      <w:r w:rsidR="00935192" w:rsidRPr="00CB47C6">
        <w:rPr>
          <w:rFonts w:ascii="Palatino Linotype" w:hAnsi="Palatino Linotype"/>
          <w:lang w:val="en-GB"/>
        </w:rPr>
        <w:t xml:space="preserve"> - </w:t>
      </w:r>
      <w:r w:rsidR="004D7E4F" w:rsidRPr="00CB47C6">
        <w:rPr>
          <w:rFonts w:ascii="Palatino Linotype" w:hAnsi="Palatino Linotype"/>
          <w:lang w:val="en-GB"/>
        </w:rPr>
        <w:t>Euro-Mediterranean Centre on Climate Change CMCC</w:t>
      </w:r>
      <w:r w:rsidRPr="00CB47C6">
        <w:rPr>
          <w:rFonts w:ascii="Palatino Linotype" w:hAnsi="Palatino Linotype"/>
          <w:lang w:val="en-GB"/>
        </w:rPr>
        <w:t xml:space="preserve">) and Fabio </w:t>
      </w:r>
      <w:proofErr w:type="spellStart"/>
      <w:r w:rsidRPr="00CB47C6">
        <w:rPr>
          <w:rFonts w:ascii="Palatino Linotype" w:hAnsi="Palatino Linotype"/>
          <w:lang w:val="en-GB"/>
        </w:rPr>
        <w:t>Farinosi</w:t>
      </w:r>
      <w:proofErr w:type="spellEnd"/>
      <w:r w:rsidRPr="00CB47C6">
        <w:rPr>
          <w:rFonts w:ascii="Palatino Linotype" w:hAnsi="Palatino Linotype"/>
          <w:lang w:val="en-GB"/>
        </w:rPr>
        <w:t xml:space="preserve"> (ETC</w:t>
      </w:r>
      <w:r w:rsidR="00935192" w:rsidRPr="00CB47C6">
        <w:rPr>
          <w:rFonts w:ascii="Palatino Linotype" w:hAnsi="Palatino Linotype"/>
          <w:lang w:val="en-GB"/>
        </w:rPr>
        <w:t>/</w:t>
      </w:r>
      <w:r w:rsidRPr="00CB47C6">
        <w:rPr>
          <w:rFonts w:ascii="Palatino Linotype" w:hAnsi="Palatino Linotype"/>
          <w:lang w:val="en-GB"/>
        </w:rPr>
        <w:t>CCA</w:t>
      </w:r>
      <w:r w:rsidR="00935192" w:rsidRPr="00CB47C6">
        <w:rPr>
          <w:rFonts w:ascii="Palatino Linotype" w:hAnsi="Palatino Linotype"/>
          <w:lang w:val="en-GB"/>
        </w:rPr>
        <w:t xml:space="preserve"> -</w:t>
      </w:r>
      <w:r w:rsidR="004D7E4F" w:rsidRPr="00CB47C6">
        <w:rPr>
          <w:rFonts w:ascii="Palatino Linotype" w:hAnsi="Palatino Linotype"/>
          <w:lang w:val="en-GB"/>
        </w:rPr>
        <w:t xml:space="preserve"> Euro-Mediterranean Centre on Climate Change CMCC</w:t>
      </w:r>
      <w:r w:rsidRPr="00CB47C6">
        <w:rPr>
          <w:rFonts w:ascii="Palatino Linotype" w:hAnsi="Palatino Linotype"/>
          <w:lang w:val="en-GB"/>
        </w:rPr>
        <w:t>)</w:t>
      </w:r>
    </w:p>
    <w:p w:rsidR="004D7E4F" w:rsidRPr="00CB47C6" w:rsidRDefault="004D7E4F" w:rsidP="004D7E4F">
      <w:pPr>
        <w:rPr>
          <w:rFonts w:ascii="Palatino Linotype" w:hAnsi="Palatino Linotype"/>
          <w:b/>
          <w:lang w:val="en-GB"/>
        </w:rPr>
      </w:pPr>
      <w:r w:rsidRPr="00CB47C6">
        <w:rPr>
          <w:rFonts w:ascii="Palatino Linotype" w:hAnsi="Palatino Linotype"/>
          <w:b/>
          <w:lang w:val="en-GB"/>
        </w:rPr>
        <w:t>Reviewers</w:t>
      </w:r>
    </w:p>
    <w:p w:rsidR="004D7E4F" w:rsidRPr="00CB47C6" w:rsidRDefault="004D7E4F" w:rsidP="004D7E4F">
      <w:pPr>
        <w:rPr>
          <w:rFonts w:ascii="Palatino Linotype" w:hAnsi="Palatino Linotype"/>
          <w:lang w:val="en-GB"/>
        </w:rPr>
      </w:pPr>
      <w:proofErr w:type="spellStart"/>
      <w:r w:rsidRPr="00CB47C6">
        <w:rPr>
          <w:rFonts w:ascii="Palatino Linotype" w:hAnsi="Palatino Linotype"/>
          <w:lang w:val="en-GB"/>
        </w:rPr>
        <w:t>Mikko</w:t>
      </w:r>
      <w:proofErr w:type="spellEnd"/>
      <w:r w:rsidRPr="00CB47C6">
        <w:rPr>
          <w:rFonts w:ascii="Palatino Linotype" w:hAnsi="Palatino Linotype"/>
          <w:lang w:val="en-GB"/>
        </w:rPr>
        <w:t xml:space="preserve"> </w:t>
      </w:r>
      <w:proofErr w:type="spellStart"/>
      <w:r w:rsidRPr="00CB47C6">
        <w:rPr>
          <w:rFonts w:ascii="Palatino Linotype" w:hAnsi="Palatino Linotype"/>
          <w:lang w:val="en-GB"/>
        </w:rPr>
        <w:t>Huokuna</w:t>
      </w:r>
      <w:proofErr w:type="spellEnd"/>
      <w:r w:rsidRPr="00CB47C6">
        <w:rPr>
          <w:rFonts w:ascii="Palatino Linotype" w:hAnsi="Palatino Linotype"/>
          <w:lang w:val="en-GB"/>
        </w:rPr>
        <w:t xml:space="preserve"> (ETC</w:t>
      </w:r>
      <w:r w:rsidR="00935192" w:rsidRPr="00CB47C6">
        <w:rPr>
          <w:rFonts w:ascii="Palatino Linotype" w:hAnsi="Palatino Linotype"/>
          <w:lang w:val="en-GB"/>
        </w:rPr>
        <w:t>/</w:t>
      </w:r>
      <w:r w:rsidRPr="00CB47C6">
        <w:rPr>
          <w:rFonts w:ascii="Palatino Linotype" w:hAnsi="Palatino Linotype"/>
          <w:lang w:val="en-GB"/>
        </w:rPr>
        <w:t>CCA</w:t>
      </w:r>
      <w:r w:rsidR="00935192" w:rsidRPr="00CB47C6">
        <w:rPr>
          <w:rFonts w:ascii="Palatino Linotype" w:hAnsi="Palatino Linotype"/>
          <w:lang w:val="en-GB"/>
        </w:rPr>
        <w:t xml:space="preserve"> -</w:t>
      </w:r>
      <w:r w:rsidRPr="00CB47C6">
        <w:rPr>
          <w:rFonts w:ascii="Palatino Linotype" w:hAnsi="Palatino Linotype"/>
          <w:lang w:val="en-GB"/>
        </w:rPr>
        <w:t xml:space="preserve"> Finnish Environment Institute SYKE), Volker Meyer </w:t>
      </w:r>
      <w:r w:rsidR="00935192" w:rsidRPr="00CB47C6">
        <w:rPr>
          <w:rFonts w:ascii="Palatino Linotype" w:hAnsi="Palatino Linotype"/>
          <w:lang w:val="en-GB"/>
        </w:rPr>
        <w:t>(</w:t>
      </w:r>
      <w:r w:rsidRPr="00CB47C6">
        <w:rPr>
          <w:rFonts w:ascii="Palatino Linotype" w:hAnsi="Palatino Linotype"/>
          <w:lang w:val="en-GB"/>
        </w:rPr>
        <w:t>ETC/CCA</w:t>
      </w:r>
      <w:r w:rsidR="00935192" w:rsidRPr="00CB47C6">
        <w:rPr>
          <w:rFonts w:ascii="Palatino Linotype" w:hAnsi="Palatino Linotype"/>
          <w:lang w:val="en-GB"/>
        </w:rPr>
        <w:t xml:space="preserve"> -</w:t>
      </w:r>
      <w:r w:rsidRPr="00CB47C6">
        <w:rPr>
          <w:rFonts w:ascii="Palatino Linotype" w:hAnsi="Palatino Linotype"/>
          <w:lang w:val="en-GB"/>
        </w:rPr>
        <w:t xml:space="preserve"> Helmholtz Centre for Environmental Research UFZ) </w:t>
      </w:r>
    </w:p>
    <w:p w:rsidR="008C2A62" w:rsidRPr="00CB47C6" w:rsidRDefault="008C2A62" w:rsidP="008C2A62">
      <w:pPr>
        <w:rPr>
          <w:rFonts w:ascii="Palatino Linotype" w:hAnsi="Palatino Linotype"/>
          <w:lang w:val="en-GB"/>
        </w:rPr>
      </w:pPr>
      <w:r w:rsidRPr="00CB47C6">
        <w:rPr>
          <w:rFonts w:ascii="Palatino Linotype" w:hAnsi="Palatino Linotype"/>
          <w:b/>
          <w:lang w:val="en-GB"/>
        </w:rPr>
        <w:t>EEA Project managers</w:t>
      </w:r>
      <w:r w:rsidRPr="00CB47C6">
        <w:rPr>
          <w:rFonts w:ascii="Palatino Linotype" w:hAnsi="Palatino Linotype"/>
          <w:lang w:val="en-GB"/>
        </w:rPr>
        <w:t xml:space="preserve">: </w:t>
      </w:r>
      <w:proofErr w:type="spellStart"/>
      <w:r w:rsidRPr="00CB47C6">
        <w:rPr>
          <w:rFonts w:ascii="Palatino Linotype" w:hAnsi="Palatino Linotype"/>
          <w:lang w:val="en-GB"/>
        </w:rPr>
        <w:t>Wouter</w:t>
      </w:r>
      <w:proofErr w:type="spellEnd"/>
      <w:r w:rsidRPr="00CB47C6">
        <w:rPr>
          <w:rFonts w:ascii="Palatino Linotype" w:hAnsi="Palatino Linotype"/>
          <w:lang w:val="en-GB"/>
        </w:rPr>
        <w:t xml:space="preserve"> </w:t>
      </w:r>
      <w:proofErr w:type="spellStart"/>
      <w:r w:rsidRPr="00CB47C6">
        <w:rPr>
          <w:rFonts w:ascii="Palatino Linotype" w:hAnsi="Palatino Linotype"/>
          <w:lang w:val="en-GB"/>
        </w:rPr>
        <w:t>Vanneuville</w:t>
      </w:r>
      <w:proofErr w:type="spellEnd"/>
      <w:r w:rsidRPr="00CB47C6">
        <w:rPr>
          <w:rFonts w:ascii="Palatino Linotype" w:hAnsi="Palatino Linotype"/>
          <w:lang w:val="en-GB"/>
        </w:rPr>
        <w:t xml:space="preserve"> &amp; André </w:t>
      </w:r>
      <w:proofErr w:type="spellStart"/>
      <w:r w:rsidRPr="00CB47C6">
        <w:rPr>
          <w:rFonts w:ascii="Palatino Linotype" w:hAnsi="Palatino Linotype"/>
          <w:lang w:val="en-GB"/>
        </w:rPr>
        <w:t>Jol</w:t>
      </w:r>
      <w:proofErr w:type="spellEnd"/>
    </w:p>
    <w:p w:rsidR="008C2A62" w:rsidRPr="00CB47C6" w:rsidRDefault="008C2A62" w:rsidP="008C2A62">
      <w:pPr>
        <w:pStyle w:val="Cover-title3"/>
        <w:jc w:val="left"/>
        <w:rPr>
          <w:rFonts w:ascii="Palatino Linotype" w:hAnsi="Palatino Linotype"/>
        </w:rPr>
      </w:pPr>
    </w:p>
    <w:p w:rsidR="001304B3" w:rsidRPr="00CB47C6" w:rsidRDefault="001304B3" w:rsidP="001304B3">
      <w:pPr>
        <w:rPr>
          <w:rFonts w:ascii="Palatino Linotype" w:hAnsi="Palatino Linotype"/>
          <w:lang w:val="en-GB" w:eastAsia="da-DK"/>
        </w:rPr>
      </w:pPr>
    </w:p>
    <w:p w:rsidR="008C2A62" w:rsidRPr="00CB47C6" w:rsidRDefault="008C2A62" w:rsidP="008C2A62">
      <w:pPr>
        <w:rPr>
          <w:rFonts w:ascii="Palatino Linotype" w:hAnsi="Palatino Linotype"/>
          <w:lang w:val="en-GB"/>
        </w:rPr>
      </w:pPr>
    </w:p>
    <w:p w:rsidR="008C2A62" w:rsidRPr="00CB47C6" w:rsidRDefault="008C2A62" w:rsidP="008C2A62">
      <w:pPr>
        <w:jc w:val="center"/>
        <w:rPr>
          <w:rFonts w:ascii="Palatino Linotype" w:hAnsi="Palatino Linotype"/>
          <w:sz w:val="20"/>
          <w:lang w:val="en-GB"/>
        </w:rPr>
      </w:pPr>
      <w:r w:rsidRPr="00CB47C6">
        <w:rPr>
          <w:rFonts w:ascii="Palatino Linotype" w:hAnsi="Palatino Linotype"/>
          <w:sz w:val="20"/>
          <w:lang w:val="en-GB"/>
        </w:rPr>
        <w:t xml:space="preserve">The European Topic Centre on Climate Change Impacts, Vulnerability and Adaptation (ETC CCA) is a consortium of European institutes under contract of the European Environment Agency: </w:t>
      </w:r>
      <w:r w:rsidRPr="00CB47C6">
        <w:rPr>
          <w:rFonts w:ascii="Palatino Linotype" w:hAnsi="Palatino Linotype"/>
          <w:sz w:val="20"/>
          <w:lang w:val="en-GB"/>
        </w:rPr>
        <w:br/>
      </w:r>
      <w:r w:rsidR="0089413D" w:rsidRPr="00CB47C6">
        <w:rPr>
          <w:rFonts w:ascii="Palatino Linotype" w:hAnsi="Palatino Linotype"/>
          <w:sz w:val="20"/>
          <w:lang w:val="en-GB"/>
        </w:rPr>
        <w:t xml:space="preserve">CMCC  </w:t>
      </w:r>
      <w:proofErr w:type="spellStart"/>
      <w:r w:rsidR="0089413D" w:rsidRPr="00CB47C6">
        <w:rPr>
          <w:rFonts w:ascii="Palatino Linotype" w:hAnsi="Palatino Linotype"/>
          <w:sz w:val="20"/>
          <w:lang w:val="en-GB"/>
        </w:rPr>
        <w:t>Alterra</w:t>
      </w:r>
      <w:proofErr w:type="spellEnd"/>
      <w:r w:rsidRPr="00CB47C6">
        <w:rPr>
          <w:rFonts w:ascii="Palatino Linotype" w:hAnsi="Palatino Linotype"/>
          <w:sz w:val="20"/>
          <w:lang w:val="en-GB"/>
        </w:rPr>
        <w:t xml:space="preserve"> </w:t>
      </w:r>
      <w:r w:rsidR="0089413D" w:rsidRPr="00CB47C6">
        <w:rPr>
          <w:rFonts w:ascii="Palatino Linotype" w:hAnsi="Palatino Linotype"/>
          <w:sz w:val="20"/>
          <w:lang w:val="en-GB"/>
        </w:rPr>
        <w:t xml:space="preserve"> </w:t>
      </w:r>
      <w:r w:rsidRPr="00CB47C6">
        <w:rPr>
          <w:rFonts w:ascii="Palatino Linotype" w:hAnsi="Palatino Linotype"/>
          <w:sz w:val="20"/>
          <w:lang w:val="en-GB"/>
        </w:rPr>
        <w:t xml:space="preserve">AU-NERI  CUNI  FFCUL  </w:t>
      </w:r>
      <w:proofErr w:type="spellStart"/>
      <w:r w:rsidRPr="00CB47C6">
        <w:rPr>
          <w:rFonts w:ascii="Palatino Linotype" w:hAnsi="Palatino Linotype"/>
          <w:sz w:val="20"/>
          <w:lang w:val="en-GB"/>
        </w:rPr>
        <w:t>MetOffice</w:t>
      </w:r>
      <w:proofErr w:type="spellEnd"/>
      <w:r w:rsidRPr="00CB47C6">
        <w:rPr>
          <w:rFonts w:ascii="Palatino Linotype" w:hAnsi="Palatino Linotype"/>
          <w:sz w:val="20"/>
          <w:lang w:val="en-GB"/>
        </w:rPr>
        <w:t xml:space="preserve">  SYKE  THETIS  UFZ  UPM</w:t>
      </w:r>
    </w:p>
    <w:p w:rsidR="006463E5" w:rsidRPr="00CB47C6" w:rsidRDefault="006463E5" w:rsidP="00EB553E">
      <w:pPr>
        <w:jc w:val="both"/>
        <w:rPr>
          <w:rFonts w:ascii="Palatino Linotype" w:hAnsi="Palatino Linotype"/>
          <w:sz w:val="28"/>
          <w:szCs w:val="28"/>
          <w:lang w:val="en-GB"/>
        </w:rPr>
      </w:pPr>
    </w:p>
    <w:p w:rsidR="006463E5" w:rsidRPr="00CB47C6" w:rsidRDefault="006463E5">
      <w:pPr>
        <w:spacing w:after="0" w:line="240" w:lineRule="auto"/>
        <w:rPr>
          <w:rFonts w:ascii="Palatino Linotype" w:hAnsi="Palatino Linotype"/>
          <w:b/>
          <w:sz w:val="24"/>
          <w:szCs w:val="24"/>
          <w:lang w:val="en-GB"/>
        </w:rPr>
      </w:pPr>
      <w:r w:rsidRPr="00CB47C6">
        <w:rPr>
          <w:rFonts w:ascii="Palatino Linotype" w:hAnsi="Palatino Linotype"/>
          <w:b/>
          <w:sz w:val="32"/>
          <w:szCs w:val="32"/>
          <w:lang w:val="en-GB"/>
        </w:rPr>
        <w:lastRenderedPageBreak/>
        <w:br w:type="page"/>
      </w:r>
      <w:r w:rsidRPr="00CB47C6">
        <w:rPr>
          <w:rFonts w:ascii="Palatino Linotype" w:hAnsi="Palatino Linotype"/>
          <w:b/>
          <w:sz w:val="24"/>
          <w:szCs w:val="24"/>
          <w:lang w:val="en-GB"/>
        </w:rPr>
        <w:lastRenderedPageBreak/>
        <w:t xml:space="preserve">Note Implementation </w:t>
      </w:r>
    </w:p>
    <w:p w:rsidR="006463E5" w:rsidRPr="00CB47C6" w:rsidRDefault="006463E5">
      <w:pPr>
        <w:spacing w:after="0" w:line="240" w:lineRule="auto"/>
        <w:rPr>
          <w:rFonts w:ascii="Palatino Linotype" w:hAnsi="Palatino Linotype"/>
          <w:sz w:val="24"/>
          <w:szCs w:val="24"/>
          <w:lang w:val="en-GB"/>
        </w:rPr>
      </w:pPr>
    </w:p>
    <w:p w:rsidR="006463E5" w:rsidRPr="00CB47C6" w:rsidRDefault="006463E5" w:rsidP="007B6625">
      <w:pPr>
        <w:spacing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The Meta Guidance is to be implemented as a </w:t>
      </w:r>
      <w:r w:rsidRPr="00CB47C6">
        <w:rPr>
          <w:rFonts w:ascii="Palatino Linotype" w:hAnsi="Palatino Linotype"/>
          <w:i/>
          <w:sz w:val="24"/>
          <w:szCs w:val="24"/>
          <w:lang w:val="en-GB"/>
        </w:rPr>
        <w:t>wiki-like portal</w:t>
      </w:r>
      <w:r w:rsidRPr="00CB47C6">
        <w:rPr>
          <w:rFonts w:ascii="Palatino Linotype" w:hAnsi="Palatino Linotype"/>
          <w:sz w:val="24"/>
          <w:szCs w:val="24"/>
          <w:lang w:val="en-GB"/>
        </w:rPr>
        <w:t xml:space="preserve"> dedicated to disaster risk reduction. It will be linked to the </w:t>
      </w:r>
      <w:r w:rsidRPr="00CB47C6">
        <w:rPr>
          <w:rFonts w:ascii="Palatino Linotype" w:hAnsi="Palatino Linotype"/>
          <w:i/>
          <w:sz w:val="24"/>
          <w:szCs w:val="24"/>
          <w:lang w:val="en-GB"/>
        </w:rPr>
        <w:t>Climate Adapt</w:t>
      </w:r>
      <w:r w:rsidRPr="00CB47C6">
        <w:rPr>
          <w:rFonts w:ascii="Palatino Linotype" w:hAnsi="Palatino Linotype"/>
          <w:sz w:val="24"/>
          <w:szCs w:val="24"/>
          <w:lang w:val="en-GB"/>
        </w:rPr>
        <w:t xml:space="preserve"> and </w:t>
      </w:r>
      <w:proofErr w:type="spellStart"/>
      <w:r w:rsidRPr="00CB47C6">
        <w:rPr>
          <w:rFonts w:ascii="Palatino Linotype" w:hAnsi="Palatino Linotype"/>
          <w:i/>
          <w:sz w:val="24"/>
          <w:szCs w:val="24"/>
          <w:lang w:val="en-GB"/>
        </w:rPr>
        <w:t>Preventionweb</w:t>
      </w:r>
      <w:proofErr w:type="spellEnd"/>
      <w:r w:rsidRPr="00CB47C6">
        <w:rPr>
          <w:rFonts w:ascii="Palatino Linotype" w:hAnsi="Palatino Linotype"/>
          <w:sz w:val="24"/>
          <w:szCs w:val="24"/>
          <w:lang w:val="en-GB"/>
        </w:rPr>
        <w:t xml:space="preserve"> knowledge portals as a link to external source of information. A separate synthesis document (in pdf) will be produced and distributed as a stand-alone publication. The underlying guidance documents have already been uploaded to Climate Adapt portal.</w:t>
      </w:r>
    </w:p>
    <w:p w:rsidR="006463E5" w:rsidRPr="00CB47C6" w:rsidRDefault="006463E5" w:rsidP="007B6625">
      <w:pPr>
        <w:spacing w:after="0" w:line="240" w:lineRule="auto"/>
        <w:jc w:val="both"/>
        <w:rPr>
          <w:rFonts w:ascii="Palatino Linotype" w:hAnsi="Palatino Linotype"/>
          <w:b/>
          <w:sz w:val="32"/>
          <w:szCs w:val="32"/>
          <w:lang w:val="en-GB"/>
        </w:rPr>
      </w:pPr>
      <w:r w:rsidRPr="00CB47C6">
        <w:rPr>
          <w:rFonts w:ascii="Palatino Linotype" w:hAnsi="Palatino Linotype"/>
          <w:sz w:val="24"/>
          <w:szCs w:val="24"/>
          <w:lang w:val="en-GB"/>
        </w:rPr>
        <w:t xml:space="preserve">  </w:t>
      </w:r>
      <w:r w:rsidRPr="00CB47C6">
        <w:rPr>
          <w:rFonts w:ascii="Palatino Linotype" w:hAnsi="Palatino Linotype"/>
          <w:b/>
          <w:sz w:val="32"/>
          <w:szCs w:val="32"/>
          <w:lang w:val="en-GB"/>
        </w:rPr>
        <w:br w:type="page"/>
      </w:r>
      <w:r w:rsidRPr="00CB47C6">
        <w:rPr>
          <w:rFonts w:ascii="Palatino Linotype" w:hAnsi="Palatino Linotype"/>
          <w:b/>
          <w:sz w:val="32"/>
          <w:szCs w:val="32"/>
          <w:lang w:val="en-GB"/>
        </w:rPr>
        <w:lastRenderedPageBreak/>
        <w:t xml:space="preserve">Scope of the Guidance </w:t>
      </w:r>
    </w:p>
    <w:p w:rsidR="006463E5" w:rsidRPr="00CB47C6" w:rsidRDefault="006463E5" w:rsidP="00EB553E">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Floods, along with storms, are natural hazards that incur the highest economic losses in Europe. Over the period 1998-2009, the direct losses wreaked by flood events recorded by EM-DAT global disaster database and for which an estimate of economic impacts is available (</w:t>
      </w:r>
      <w:r w:rsidRPr="00CB47C6">
        <w:rPr>
          <w:rFonts w:ascii="Palatino Linotype" w:hAnsi="Palatino Linotype"/>
          <w:sz w:val="24"/>
          <w:szCs w:val="24"/>
          <w:lang w:val="en-GB"/>
        </w:rPr>
        <w:sym w:font="Symbol" w:char="F07E"/>
      </w:r>
      <w:r w:rsidRPr="00CB47C6">
        <w:rPr>
          <w:rFonts w:ascii="Palatino Linotype" w:hAnsi="Palatino Linotype"/>
          <w:sz w:val="24"/>
          <w:szCs w:val="24"/>
          <w:lang w:val="en-GB"/>
        </w:rPr>
        <w:t xml:space="preserve">40% of all recorded cases) exceeded EUR 60 billion in 2009 values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"EEA", "given" : "", "non-dropping-particle" : "", "parse-names" : false, "suffix" : "" } ], "editor" : [ { "dropping-particle" : "", "family" : "European Environment Agency", "given" : "Technical report No 13/2010", "non-dropping-particle" : "", "parse-names" : false, "suffix" : "" } ], "id" : "ITEM-1", "issued" : { "date-parts" : [ [ "2010" ] ] }, "title" : "Mapping the impacts of natural hazards and technological accidents in Europe - An overview of the last decade", "type" : "report" }, "uris" : [ "http://www.mendeley.com/documents/?uuid=ab5dec9b-6fc8-4a5a-a88e-4f9d18054191" ] } ], "mendeley" : { "previouslyFormattedCitation" : "(EEA 2010)"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(EEA 2010)</w:t>
      </w:r>
      <w:r w:rsidRPr="00CB47C6">
        <w:rPr>
          <w:rFonts w:ascii="Palatino Linotype" w:hAnsi="Palatino Linotype"/>
          <w:sz w:val="24"/>
          <w:szCs w:val="24"/>
          <w:lang w:val="en-GB"/>
        </w:rPr>
        <w:fldChar w:fldCharType="end"/>
      </w:r>
      <w:r w:rsidR="00B9452B" w:rsidRPr="00CB47C6">
        <w:rPr>
          <w:rStyle w:val="Rimandonotaapidipagina"/>
          <w:rFonts w:ascii="Palatino Linotype" w:hAnsi="Palatino Linotype"/>
          <w:sz w:val="24"/>
          <w:szCs w:val="24"/>
          <w:lang w:val="en-GB"/>
        </w:rPr>
        <w:footnoteReference w:id="1"/>
      </w:r>
      <w:r w:rsidRPr="00CB47C6">
        <w:rPr>
          <w:rFonts w:ascii="Palatino Linotype" w:hAnsi="Palatino Linotype"/>
          <w:sz w:val="24"/>
          <w:szCs w:val="24"/>
          <w:lang w:val="en-GB"/>
        </w:rPr>
        <w:t xml:space="preserve">. </w:t>
      </w:r>
    </w:p>
    <w:p w:rsidR="006463E5" w:rsidRPr="00CB47C6" w:rsidRDefault="006463E5" w:rsidP="00113720">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Recent attention paid to assessment of disaster losses has propelled development of a number of guidance documents, differing in extent/length, focus and level of detail. This meta-guidance lends itself as an introduction </w:t>
      </w:r>
      <w:r w:rsidRPr="00CB47C6">
        <w:rPr>
          <w:rFonts w:ascii="Palatino Linotype" w:hAnsi="Palatino Linotype"/>
          <w:sz w:val="24"/>
          <w:szCs w:val="24"/>
          <w:lang w:val="en-GB"/>
        </w:rPr>
        <w:t>and annotated reference list. We have selected the most recent, prominent or representative guidance documents [</w:t>
      </w:r>
      <w:r w:rsidR="00935192" w:rsidRPr="00CB47C6">
        <w:rPr>
          <w:rFonts w:ascii="Palatino Linotype" w:hAnsi="Palatino Linotype"/>
          <w:sz w:val="24"/>
          <w:szCs w:val="24"/>
          <w:lang w:val="en-GB"/>
        </w:rPr>
        <w:t xml:space="preserve">a </w:t>
      </w:r>
      <w:r w:rsidRPr="00CB47C6">
        <w:rPr>
          <w:rFonts w:ascii="Palatino Linotype" w:hAnsi="Palatino Linotype"/>
          <w:sz w:val="24"/>
          <w:szCs w:val="24"/>
          <w:lang w:val="en-GB"/>
        </w:rPr>
        <w:t>link to the list and references</w:t>
      </w:r>
      <w:r w:rsidR="00935192" w:rsidRPr="00CB47C6">
        <w:rPr>
          <w:rFonts w:ascii="Palatino Linotype" w:hAnsi="Palatino Linotype"/>
          <w:sz w:val="24"/>
          <w:szCs w:val="24"/>
          <w:lang w:val="en-GB"/>
        </w:rPr>
        <w:t xml:space="preserve"> will be provided in the wiki-like structure</w:t>
      </w:r>
      <w:r w:rsidRPr="00CB47C6">
        <w:rPr>
          <w:rFonts w:ascii="Palatino Linotype" w:hAnsi="Palatino Linotype"/>
          <w:sz w:val="24"/>
          <w:szCs w:val="24"/>
          <w:lang w:val="en-GB"/>
        </w:rPr>
        <w:t xml:space="preserve">]. </w:t>
      </w:r>
    </w:p>
    <w:p w:rsidR="006463E5" w:rsidRPr="00CB47C6" w:rsidRDefault="00935192" w:rsidP="00113720">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There will be the p</w:t>
      </w:r>
      <w:r w:rsidR="006463E5" w:rsidRPr="00CB47C6">
        <w:rPr>
          <w:rFonts w:ascii="Palatino Linotype" w:hAnsi="Palatino Linotype"/>
          <w:sz w:val="24"/>
          <w:szCs w:val="24"/>
          <w:lang w:val="en-GB"/>
        </w:rPr>
        <w:t>ossibility for users to propose new items</w:t>
      </w:r>
      <w:r w:rsidRPr="00CB47C6">
        <w:rPr>
          <w:rFonts w:ascii="Palatino Linotype" w:hAnsi="Palatino Linotype"/>
          <w:sz w:val="24"/>
          <w:szCs w:val="24"/>
          <w:lang w:val="en-GB"/>
        </w:rPr>
        <w:t>.</w:t>
      </w:r>
    </w:p>
    <w:p w:rsidR="006463E5" w:rsidRPr="00CB47C6" w:rsidRDefault="006463E5" w:rsidP="007B6625">
      <w:pPr>
        <w:spacing w:after="0" w:line="240" w:lineRule="auto"/>
        <w:jc w:val="both"/>
        <w:rPr>
          <w:rFonts w:ascii="Palatino Linotype" w:hAnsi="Palatino Linotype"/>
          <w:b/>
          <w:sz w:val="32"/>
          <w:szCs w:val="32"/>
          <w:lang w:val="en-GB"/>
        </w:rPr>
      </w:pPr>
    </w:p>
    <w:p w:rsidR="006463E5" w:rsidRPr="00CB47C6" w:rsidRDefault="006463E5" w:rsidP="007B6625">
      <w:pPr>
        <w:spacing w:after="0" w:line="240" w:lineRule="auto"/>
        <w:jc w:val="both"/>
        <w:rPr>
          <w:rFonts w:ascii="Palatino Linotype" w:hAnsi="Palatino Linotype"/>
          <w:b/>
          <w:sz w:val="32"/>
          <w:szCs w:val="32"/>
          <w:lang w:val="en-GB"/>
        </w:rPr>
      </w:pPr>
      <w:r w:rsidRPr="00CB47C6">
        <w:rPr>
          <w:rFonts w:ascii="Palatino Linotype" w:hAnsi="Palatino Linotype"/>
          <w:sz w:val="32"/>
          <w:szCs w:val="32"/>
          <w:lang w:val="en-GB"/>
        </w:rPr>
        <w:t>[Page]</w:t>
      </w:r>
      <w:r w:rsidRPr="00CB47C6">
        <w:rPr>
          <w:rFonts w:ascii="Palatino Linotype" w:hAnsi="Palatino Linotype"/>
          <w:b/>
          <w:sz w:val="32"/>
          <w:szCs w:val="32"/>
          <w:lang w:val="en-GB"/>
        </w:rPr>
        <w:t xml:space="preserve"> Why it is important to assess the hazard losses </w:t>
      </w:r>
    </w:p>
    <w:p w:rsidR="006463E5" w:rsidRPr="00CB47C6" w:rsidRDefault="006463E5" w:rsidP="00113720">
      <w:pPr>
        <w:spacing w:before="200" w:after="0" w:line="240" w:lineRule="auto"/>
        <w:jc w:val="both"/>
        <w:rPr>
          <w:rFonts w:ascii="Palatino Linotype" w:hAnsi="Palatino Linotype"/>
          <w:b/>
          <w:i/>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The damage assessment may be conducted to inform </w:t>
      </w:r>
    </w:p>
    <w:p w:rsidR="006463E5" w:rsidRPr="00CB47C6" w:rsidRDefault="006463E5" w:rsidP="00113720">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Prevention and protection policies, by shedding light on the pattern of practice that drive vulnerability and risk; by identifying the pathways through which the economic and social hardship is spread beyond the directly affected area; by increasing awareness about what is at stake.</w:t>
      </w:r>
    </w:p>
    <w:p w:rsidR="006463E5" w:rsidRPr="00CB47C6" w:rsidRDefault="006463E5" w:rsidP="00113720">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 Preparedness polices, by helping to budget resources for development of early warning and alerting systems, and for managing emergencies; and by allowing to better </w:t>
      </w:r>
      <w:r w:rsidR="0089413D" w:rsidRPr="00CB47C6">
        <w:rPr>
          <w:rFonts w:ascii="Palatino Linotype" w:hAnsi="Palatino Linotype"/>
          <w:sz w:val="24"/>
          <w:szCs w:val="24"/>
          <w:lang w:val="en-GB"/>
        </w:rPr>
        <w:t>tailor</w:t>
      </w:r>
      <w:r w:rsidRPr="00CB47C6">
        <w:rPr>
          <w:rFonts w:ascii="Palatino Linotype" w:hAnsi="Palatino Linotype"/>
          <w:sz w:val="24"/>
          <w:szCs w:val="24"/>
          <w:lang w:val="en-GB"/>
        </w:rPr>
        <w:t xml:space="preserve"> the information provided for different communities and groups.</w:t>
      </w:r>
    </w:p>
    <w:p w:rsidR="006463E5" w:rsidRPr="00CB47C6" w:rsidRDefault="006463E5" w:rsidP="00113720">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Response policies, by helping to decide (and legitimise) how much resources need to be de-played to manage properly the emergency situations and constrain the damage and hardship suffered.</w:t>
      </w:r>
    </w:p>
    <w:p w:rsidR="006463E5" w:rsidRPr="00CB47C6" w:rsidRDefault="006463E5" w:rsidP="00113720">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Recovery and review risk management, by driving the information collection during and after the emergency; by deciding which investments can most effectively boost the recovery and welfare contributions to most vulnerable groups.</w:t>
      </w:r>
    </w:p>
    <w:p w:rsidR="006463E5" w:rsidRPr="00CB47C6" w:rsidRDefault="006463E5" w:rsidP="003D2C4C">
      <w:pPr>
        <w:spacing w:before="200" w:after="0" w:line="240" w:lineRule="auto"/>
        <w:jc w:val="both"/>
        <w:rPr>
          <w:rFonts w:ascii="Palatino Linotype" w:hAnsi="Palatino Linotype"/>
          <w:b/>
          <w:i/>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Trend detection and climate change attribution </w:t>
      </w:r>
    </w:p>
    <w:p w:rsidR="006463E5" w:rsidRPr="00CB47C6" w:rsidRDefault="00183B58" w:rsidP="00503593">
      <w:p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Since the </w:t>
      </w:r>
      <w:r w:rsidR="00686FF5" w:rsidRPr="00CB47C6">
        <w:rPr>
          <w:rFonts w:ascii="Palatino Linotype" w:hAnsi="Palatino Linotype"/>
          <w:sz w:val="24"/>
          <w:szCs w:val="24"/>
          <w:lang w:val="en-GB"/>
        </w:rPr>
        <w:t>1990</w:t>
      </w:r>
      <w:r w:rsidRPr="00CB47C6">
        <w:rPr>
          <w:rFonts w:ascii="Palatino Linotype" w:hAnsi="Palatino Linotype"/>
          <w:sz w:val="24"/>
          <w:szCs w:val="24"/>
          <w:lang w:val="en-GB"/>
        </w:rPr>
        <w:t xml:space="preserve">s, </w:t>
      </w:r>
      <w:r w:rsidR="00F6416A" w:rsidRPr="00CB47C6">
        <w:rPr>
          <w:rFonts w:ascii="Palatino Linotype" w:hAnsi="Palatino Linotype"/>
          <w:sz w:val="24"/>
          <w:szCs w:val="24"/>
          <w:lang w:val="en-GB"/>
        </w:rPr>
        <w:t>and</w:t>
      </w:r>
      <w:r w:rsidRPr="00CB47C6">
        <w:rPr>
          <w:rFonts w:ascii="Palatino Linotype" w:hAnsi="Palatino Linotype"/>
          <w:sz w:val="24"/>
          <w:szCs w:val="24"/>
          <w:lang w:val="en-GB"/>
        </w:rPr>
        <w:t xml:space="preserve"> even more sin</w:t>
      </w:r>
      <w:r w:rsidR="00F6416A" w:rsidRPr="00CB47C6">
        <w:rPr>
          <w:rFonts w:ascii="Palatino Linotype" w:hAnsi="Palatino Linotype"/>
          <w:sz w:val="24"/>
          <w:szCs w:val="24"/>
          <w:lang w:val="en-GB"/>
        </w:rPr>
        <w:t>c</w:t>
      </w:r>
      <w:r w:rsidRPr="00CB47C6">
        <w:rPr>
          <w:rFonts w:ascii="Palatino Linotype" w:hAnsi="Palatino Linotype"/>
          <w:sz w:val="24"/>
          <w:szCs w:val="24"/>
          <w:lang w:val="en-GB"/>
        </w:rPr>
        <w:t xml:space="preserve">e the early 2000s’, </w:t>
      </w:r>
      <w:r w:rsidR="006463E5" w:rsidRPr="00CB47C6">
        <w:rPr>
          <w:rFonts w:ascii="Palatino Linotype" w:hAnsi="Palatino Linotype"/>
          <w:sz w:val="24"/>
          <w:szCs w:val="24"/>
          <w:lang w:val="en-GB"/>
        </w:rPr>
        <w:t xml:space="preserve">the economics of disasters has attracted the attention of policy makers and academics who sought to analyse the relations between empirically confirmed climate change and the frequency and intensity of the extreme climate events such as tropical an extra-tropical storms, droughts, and heavy precipitation and ensuing floods. It is important to distinguish the increase of losses in </w:t>
      </w:r>
      <w:r w:rsidR="006463E5" w:rsidRPr="00CB47C6">
        <w:rPr>
          <w:rFonts w:ascii="Palatino Linotype" w:hAnsi="Palatino Linotype"/>
          <w:sz w:val="24"/>
          <w:szCs w:val="24"/>
          <w:lang w:val="en-GB"/>
        </w:rPr>
        <w:lastRenderedPageBreak/>
        <w:t>nominal or current value (trend detection) from the attribution of these trends to (human induced) climate change. The latter is very difficult and only a few studies have managed to provide evidence of the existence of such a causal relationship. The recent IPCC Special Report on Managing the Risks of Extreme Events and Disasters</w:t>
      </w:r>
      <w:r w:rsidR="002830C8" w:rsidRPr="00CB47C6">
        <w:rPr>
          <w:rFonts w:ascii="Palatino Linotype" w:hAnsi="Palatino Linotype"/>
          <w:sz w:val="24"/>
          <w:szCs w:val="24"/>
          <w:lang w:val="en-GB"/>
        </w:rPr>
        <w:t xml:space="preserve"> </w:t>
      </w:r>
      <w:r w:rsidR="002830C8"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"IPCC", "given" : "", "non-dropping-particle" : "", "parse-names" : false, "suffix" : "" } ], "id" : "ITEM-1", "issued" : { "date-parts" : [ [ "2012" ] ] }, "publisher" : "Intergovernmental Panel on Climate Change", "title" : "Summary for policymakers - Special report on managing the risk of extreme events and disasters to advance climate change adaptation (SREX)", "type" : "report" }, "uris" : [ "http://www.mendeley.com/documents/?uuid=620d93f0-1474-439e-bb53-3acb1b142ac4" ] }, { "id" : "ITEM-2", "itemData" : { "author" : [ { "dropping-particle" : "", "family" : "IPCC", "given" : "", "non-dropping-particle" : "", "parse-names" : false, "suffix" : "" } ], "id" : "ITEM-2", "issued" : { "date-parts" : [ [ "2012" ] ] }, "publisher" : "Intergovernmental Panel on Climate Change", "title" : "Managing the Risks of Extreme Events and Disasters to Advance Climate Change Adaptation. A Special Report of Working Groups I and II of the Intergovernmental Panel on Climate Change  [Field, C.B., V. Barros, T.F. Stocker, D. Qin, D.J. Dokken, K.L. Ebi, M.", "type" : "report" }, "uris" : [ "http://www.mendeley.com/documents/?uuid=c71e0cd0-7086-4777-92bc-c46fd3531d60" ] } ], "mendeley" : { "previouslyFormattedCitation" : "(IPCC 2012b; IPCC 2012a)" }, "properties" : { "noteIndex" : 0 }, "schema" : "https://github.com/citation-style-language/schema/raw/master/csl-citation.json" }</w:instrText>
      </w:r>
      <w:r w:rsidR="002830C8"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(IPCC 2012b; IPCC 2012a)</w:t>
      </w:r>
      <w:r w:rsidR="002830C8" w:rsidRPr="00CB47C6">
        <w:rPr>
          <w:rFonts w:ascii="Palatino Linotype" w:hAnsi="Palatino Linotype"/>
          <w:sz w:val="24"/>
          <w:szCs w:val="24"/>
          <w:lang w:val="en-GB"/>
        </w:rPr>
        <w:fldChar w:fldCharType="end"/>
      </w:r>
      <w:r w:rsidR="002830C8" w:rsidRPr="00CB47C6">
        <w:rPr>
          <w:rStyle w:val="Rimandonotaapidipagina"/>
          <w:rFonts w:ascii="Palatino Linotype" w:hAnsi="Palatino Linotype"/>
          <w:sz w:val="24"/>
          <w:szCs w:val="24"/>
          <w:lang w:val="en-GB"/>
        </w:rPr>
        <w:footnoteReference w:id="2"/>
      </w:r>
      <w:r w:rsidR="006463E5" w:rsidRPr="00CB47C6">
        <w:rPr>
          <w:rFonts w:ascii="Palatino Linotype" w:hAnsi="Palatino Linotype"/>
          <w:sz w:val="24"/>
          <w:szCs w:val="24"/>
          <w:lang w:val="en-GB"/>
        </w:rPr>
        <w:t xml:space="preserve"> has reviewed the published research in this field and concluded that with a high level of confidence that economic losses from weather- and climate-related disasters have increased in the long-term, as people and economic assets have been increasingly exposed to risks. With other words, the observed increase of losses is caused by more people living where they may be adversely affected by disasters. Similarly, the EEA </w:t>
      </w:r>
      <w:r w:rsidR="0073652E"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"EEA", "given" : "", "non-dropping-particle" : "", "parse-names" : false, "suffix" : "" } ], "editor" : [ { "dropping-particle" : "", "family" : "European Environment Agency", "given" : "Technical report No 13/2010", "non-dropping-particle" : "", "parse-names" : false, "suffix" : "" } ], "id" : "ITEM-1", "issued" : { "date-parts" : [ [ "2010" ] ] }, "title" : "Mapping the impacts of natural hazards and technological accidents in Europe - An overview of the last decade", "type" : "report" }, "uris" : [ "http://www.mendeley.com/documents/?uuid=ab5dec9b-6fc8-4a5a-a88e-4f9d18054191" ] }, { "id" : "ITEM-2", "itemData" : { "ISBN" : "9789292133467", "author" : [ { "dropping-particle" : "", "family" : "EEA", "given" : "", "non-dropping-particle" : "", "parse-names" : false, "suffix" : "" } ], "id" : "ITEM-2", "issue" : "12", "issued" : { "date-parts" : [ [ "2012" ] ] }, "page" : "304", "title" : "Climate change, impacts and vulnerability in Europe 2012 - EEA Report 12/2012", "type" : "report" }, "uris" : [ "http://www.mendeley.com/documents/?uuid=943abe28-19ba-4b9d-9450-b150858bc207" ] } ], "mendeley" : { "previouslyFormattedCitation" : "(EEA 2010; EEA 2012)" }, "properties" : { "noteIndex" : 0 }, "schema" : "https://github.com/citation-style-language/schema/raw/master/csl-citation.json" }</w:instrText>
      </w:r>
      <w:r w:rsidR="0073652E"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(EEA 2010; EEA 2012)</w:t>
      </w:r>
      <w:r w:rsidR="0073652E" w:rsidRPr="00CB47C6">
        <w:rPr>
          <w:rFonts w:ascii="Palatino Linotype" w:hAnsi="Palatino Linotype"/>
          <w:sz w:val="24"/>
          <w:szCs w:val="24"/>
          <w:lang w:val="en-GB"/>
        </w:rPr>
        <w:fldChar w:fldCharType="end"/>
      </w:r>
      <w:r w:rsidR="002830C8" w:rsidRPr="00CB47C6">
        <w:rPr>
          <w:rStyle w:val="Rimandonotaapidipagina"/>
          <w:rFonts w:ascii="Palatino Linotype" w:hAnsi="Palatino Linotype"/>
          <w:sz w:val="24"/>
          <w:szCs w:val="24"/>
          <w:lang w:val="en-GB"/>
        </w:rPr>
        <w:footnoteReference w:id="3"/>
      </w:r>
      <w:r w:rsidR="006463E5" w:rsidRPr="00CB47C6">
        <w:rPr>
          <w:rFonts w:ascii="Palatino Linotype" w:hAnsi="Palatino Linotype"/>
          <w:sz w:val="24"/>
          <w:szCs w:val="24"/>
          <w:lang w:val="en-GB"/>
        </w:rPr>
        <w:t xml:space="preserve"> founds no evidence of trends after the recorded flood-related losses </w:t>
      </w:r>
      <w:r w:rsidR="004D3989" w:rsidRPr="00CB47C6">
        <w:rPr>
          <w:rFonts w:ascii="Palatino Linotype" w:hAnsi="Palatino Linotype"/>
          <w:sz w:val="24"/>
          <w:szCs w:val="24"/>
          <w:lang w:val="en-GB"/>
        </w:rPr>
        <w:t>when</w:t>
      </w:r>
      <w:r w:rsidR="006463E5" w:rsidRPr="00CB47C6">
        <w:rPr>
          <w:rFonts w:ascii="Palatino Linotype" w:hAnsi="Palatino Linotype"/>
          <w:sz w:val="24"/>
          <w:szCs w:val="24"/>
          <w:lang w:val="en-GB"/>
        </w:rPr>
        <w:t xml:space="preserve"> compound factors such as population and wealth grow</w:t>
      </w:r>
      <w:r w:rsidR="004B22F9" w:rsidRPr="00CB47C6">
        <w:rPr>
          <w:rFonts w:ascii="Palatino Linotype" w:hAnsi="Palatino Linotype"/>
          <w:sz w:val="24"/>
          <w:szCs w:val="24"/>
          <w:lang w:val="en-GB"/>
        </w:rPr>
        <w:t>th</w:t>
      </w:r>
      <w:r w:rsidR="004D3989" w:rsidRPr="00CB47C6">
        <w:rPr>
          <w:rFonts w:ascii="Palatino Linotype" w:hAnsi="Palatino Linotype"/>
          <w:sz w:val="24"/>
          <w:szCs w:val="24"/>
          <w:lang w:val="en-GB"/>
        </w:rPr>
        <w:t xml:space="preserve"> are not taken into account</w:t>
      </w:r>
      <w:r w:rsidR="006463E5" w:rsidRPr="00CB47C6">
        <w:rPr>
          <w:rFonts w:ascii="Palatino Linotype" w:hAnsi="Palatino Linotype"/>
          <w:sz w:val="24"/>
          <w:szCs w:val="24"/>
          <w:lang w:val="en-GB"/>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66"/>
        <w:gridCol w:w="4236"/>
        <w:gridCol w:w="3052"/>
      </w:tblGrid>
      <w:tr w:rsidR="006463E5" w:rsidRPr="00CB47C6" w:rsidTr="008C3310">
        <w:tc>
          <w:tcPr>
            <w:tcW w:w="2566" w:type="dxa"/>
            <w:tcBorders>
              <w:top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Further reading</w:t>
            </w:r>
          </w:p>
        </w:tc>
        <w:tc>
          <w:tcPr>
            <w:tcW w:w="4236" w:type="dxa"/>
            <w:tcBorders>
              <w:top w:val="single" w:sz="8" w:space="0" w:color="FFFFFF"/>
              <w:left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Where in the Guidance documents </w:t>
            </w:r>
          </w:p>
        </w:tc>
        <w:tc>
          <w:tcPr>
            <w:tcW w:w="3052" w:type="dxa"/>
            <w:tcBorders>
              <w:top w:val="single" w:sz="8" w:space="0" w:color="FFFFFF"/>
              <w:left w:val="single" w:sz="8" w:space="0" w:color="FFFFFF"/>
              <w:bottom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Note</w:t>
            </w:r>
          </w:p>
        </w:tc>
      </w:tr>
      <w:tr w:rsidR="006463E5" w:rsidRPr="00CB47C6" w:rsidTr="008C3310">
        <w:tc>
          <w:tcPr>
            <w:tcW w:w="2566" w:type="dxa"/>
            <w:tcBorders>
              <w:top w:val="single" w:sz="8" w:space="0" w:color="FFFFFF"/>
              <w:bottom w:val="single" w:sz="8" w:space="0" w:color="FFFFFF"/>
              <w:right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Key references </w:t>
            </w:r>
          </w:p>
        </w:tc>
        <w:tc>
          <w:tcPr>
            <w:tcW w:w="4236" w:type="dxa"/>
            <w:tcBorders>
              <w:top w:val="single" w:sz="8" w:space="0" w:color="FFFFFF"/>
              <w:left w:val="single" w:sz="8" w:space="0" w:color="FFFFFF"/>
              <w:bottom w:val="single" w:sz="8" w:space="0" w:color="FFFFFF"/>
              <w:right w:val="single" w:sz="8" w:space="0" w:color="FFFFFF"/>
            </w:tcBorders>
            <w:shd w:val="clear" w:color="auto" w:fill="A7BFDE"/>
          </w:tcPr>
          <w:p w:rsidR="001F1605" w:rsidRPr="00CB47C6" w:rsidRDefault="00C01925" w:rsidP="008C3310">
            <w:pPr>
              <w:spacing w:after="0"/>
              <w:rPr>
                <w:rFonts w:ascii="Palatino Linotype" w:hAnsi="Palatino Linotype"/>
                <w:sz w:val="20"/>
                <w:szCs w:val="20"/>
                <w:lang w:val="en-GB"/>
              </w:rPr>
            </w:pPr>
            <w:r w:rsidRPr="00CB47C6">
              <w:rPr>
                <w:rFonts w:ascii="Palatino Linotype" w:hAnsi="Palatino Linotype"/>
                <w:sz w:val="20"/>
                <w:szCs w:val="20"/>
                <w:lang w:val="en-GB"/>
              </w:rPr>
              <w:t>IPCC</w:t>
            </w:r>
            <w:r w:rsidR="001F1605" w:rsidRPr="00CB47C6">
              <w:rPr>
                <w:rFonts w:ascii="Palatino Linotype" w:hAnsi="Palatino Linotype"/>
                <w:sz w:val="20"/>
                <w:szCs w:val="20"/>
                <w:lang w:val="en-GB"/>
              </w:rPr>
              <w:t xml:space="preserve"> </w:t>
            </w:r>
            <w:r w:rsidRPr="00CB47C6">
              <w:rPr>
                <w:rFonts w:ascii="Palatino Linotype" w:hAnsi="Palatino Linotype"/>
                <w:sz w:val="20"/>
                <w:szCs w:val="20"/>
                <w:lang w:val="en-GB"/>
              </w:rPr>
              <w:t>(</w:t>
            </w:r>
            <w:r w:rsidR="001F1605" w:rsidRPr="00CB47C6">
              <w:rPr>
                <w:rFonts w:ascii="Palatino Linotype" w:hAnsi="Palatino Linotype"/>
                <w:sz w:val="20"/>
                <w:szCs w:val="20"/>
                <w:lang w:val="en-GB"/>
              </w:rPr>
              <w:t>2012a</w:t>
            </w:r>
            <w:r w:rsidRPr="00CB47C6">
              <w:rPr>
                <w:rFonts w:ascii="Palatino Linotype" w:hAnsi="Palatino Linotype"/>
                <w:sz w:val="20"/>
                <w:szCs w:val="20"/>
                <w:lang w:val="en-GB"/>
              </w:rPr>
              <w:t>)</w:t>
            </w:r>
            <w:r w:rsidR="001F1605" w:rsidRPr="00CB47C6">
              <w:rPr>
                <w:rFonts w:ascii="Palatino Linotype" w:hAnsi="Palatino Linotype"/>
                <w:sz w:val="20"/>
                <w:szCs w:val="20"/>
                <w:lang w:val="en-GB"/>
              </w:rPr>
              <w:t xml:space="preserve">, </w:t>
            </w:r>
            <w:r w:rsidRPr="00CB47C6">
              <w:rPr>
                <w:rFonts w:ascii="Palatino Linotype" w:hAnsi="Palatino Linotype"/>
                <w:sz w:val="20"/>
                <w:szCs w:val="20"/>
                <w:lang w:val="en-GB"/>
              </w:rPr>
              <w:t>(</w:t>
            </w:r>
            <w:r w:rsidR="001F1605" w:rsidRPr="00CB47C6">
              <w:rPr>
                <w:rFonts w:ascii="Palatino Linotype" w:hAnsi="Palatino Linotype"/>
                <w:sz w:val="20"/>
                <w:szCs w:val="20"/>
                <w:lang w:val="en-GB"/>
              </w:rPr>
              <w:t>2012b</w:t>
            </w:r>
            <w:r w:rsidRPr="00CB47C6">
              <w:rPr>
                <w:rFonts w:ascii="Palatino Linotype" w:hAnsi="Palatino Linotype"/>
                <w:sz w:val="20"/>
                <w:szCs w:val="20"/>
                <w:lang w:val="en-GB"/>
              </w:rPr>
              <w:t>)</w:t>
            </w:r>
          </w:p>
          <w:p w:rsidR="001F1605" w:rsidRPr="00CB47C6" w:rsidRDefault="00C01925" w:rsidP="008C3310">
            <w:pPr>
              <w:spacing w:after="0"/>
              <w:rPr>
                <w:rFonts w:ascii="Palatino Linotype" w:hAnsi="Palatino Linotype"/>
                <w:sz w:val="20"/>
                <w:szCs w:val="20"/>
                <w:lang w:val="en-GB"/>
              </w:rPr>
            </w:pPr>
            <w:r w:rsidRPr="00CB47C6">
              <w:rPr>
                <w:rFonts w:ascii="Palatino Linotype" w:hAnsi="Palatino Linotype"/>
                <w:sz w:val="20"/>
                <w:szCs w:val="20"/>
                <w:lang w:val="en-GB"/>
              </w:rPr>
              <w:t>EEA</w:t>
            </w:r>
            <w:r w:rsidR="001F1605" w:rsidRPr="00CB47C6">
              <w:rPr>
                <w:rFonts w:ascii="Palatino Linotype" w:hAnsi="Palatino Linotype"/>
                <w:sz w:val="20"/>
                <w:szCs w:val="20"/>
                <w:lang w:val="en-GB"/>
              </w:rPr>
              <w:t xml:space="preserve"> </w:t>
            </w:r>
            <w:r w:rsidRPr="00CB47C6">
              <w:rPr>
                <w:rFonts w:ascii="Palatino Linotype" w:hAnsi="Palatino Linotype"/>
                <w:sz w:val="20"/>
                <w:szCs w:val="20"/>
                <w:lang w:val="en-GB"/>
              </w:rPr>
              <w:t>(</w:t>
            </w:r>
            <w:r w:rsidR="001F1605" w:rsidRPr="00CB47C6">
              <w:rPr>
                <w:rFonts w:ascii="Palatino Linotype" w:hAnsi="Palatino Linotype"/>
                <w:sz w:val="20"/>
                <w:szCs w:val="20"/>
                <w:lang w:val="en-GB"/>
              </w:rPr>
              <w:t>2010</w:t>
            </w:r>
            <w:r w:rsidRPr="00CB47C6">
              <w:rPr>
                <w:rFonts w:ascii="Palatino Linotype" w:hAnsi="Palatino Linotype"/>
                <w:sz w:val="20"/>
                <w:szCs w:val="20"/>
                <w:lang w:val="en-GB"/>
              </w:rPr>
              <w:t>)</w:t>
            </w:r>
            <w:r w:rsidR="001F1605" w:rsidRPr="00CB47C6">
              <w:rPr>
                <w:rFonts w:ascii="Palatino Linotype" w:hAnsi="Palatino Linotype"/>
                <w:sz w:val="20"/>
                <w:szCs w:val="20"/>
                <w:lang w:val="en-GB"/>
              </w:rPr>
              <w:t xml:space="preserve">, </w:t>
            </w:r>
            <w:r w:rsidRPr="00CB47C6">
              <w:rPr>
                <w:rFonts w:ascii="Palatino Linotype" w:hAnsi="Palatino Linotype"/>
                <w:sz w:val="20"/>
                <w:szCs w:val="20"/>
                <w:lang w:val="en-GB"/>
              </w:rPr>
              <w:t>(</w:t>
            </w:r>
            <w:r w:rsidR="001F1605" w:rsidRPr="00CB47C6">
              <w:rPr>
                <w:rFonts w:ascii="Palatino Linotype" w:hAnsi="Palatino Linotype"/>
                <w:sz w:val="20"/>
                <w:szCs w:val="20"/>
                <w:lang w:val="en-GB"/>
              </w:rPr>
              <w:t>2012</w:t>
            </w:r>
            <w:r w:rsidRPr="00CB47C6">
              <w:rPr>
                <w:rFonts w:ascii="Palatino Linotype" w:hAnsi="Palatino Linotype"/>
                <w:sz w:val="20"/>
                <w:szCs w:val="20"/>
                <w:lang w:val="en-GB"/>
              </w:rPr>
              <w:t>)</w:t>
            </w:r>
          </w:p>
          <w:p w:rsidR="008A0D43" w:rsidRPr="00CB47C6" w:rsidRDefault="00C01925" w:rsidP="008C3310">
            <w:pPr>
              <w:spacing w:after="0"/>
              <w:rPr>
                <w:rFonts w:ascii="Palatino Linotype" w:hAnsi="Palatino Linotype"/>
                <w:sz w:val="20"/>
                <w:szCs w:val="20"/>
                <w:lang w:val="en-GB"/>
              </w:rPr>
            </w:pPr>
            <w:r w:rsidRPr="00CB47C6">
              <w:rPr>
                <w:rFonts w:ascii="Palatino Linotype" w:hAnsi="Palatino Linotype"/>
                <w:sz w:val="20"/>
                <w:szCs w:val="20"/>
                <w:lang w:val="en-GB"/>
              </w:rPr>
              <w:t>CDKN</w:t>
            </w:r>
            <w:r w:rsidR="008A0D43" w:rsidRPr="00CB47C6">
              <w:rPr>
                <w:rFonts w:ascii="Palatino Linotype" w:hAnsi="Palatino Linotype"/>
                <w:sz w:val="20"/>
                <w:szCs w:val="20"/>
                <w:lang w:val="en-GB"/>
              </w:rPr>
              <w:t xml:space="preserve"> </w:t>
            </w:r>
            <w:r w:rsidRPr="00CB47C6">
              <w:rPr>
                <w:rFonts w:ascii="Palatino Linotype" w:hAnsi="Palatino Linotype"/>
                <w:sz w:val="20"/>
                <w:szCs w:val="20"/>
                <w:lang w:val="en-GB"/>
              </w:rPr>
              <w:t>(</w:t>
            </w:r>
            <w:r w:rsidR="008A0D43" w:rsidRPr="00CB47C6">
              <w:rPr>
                <w:rFonts w:ascii="Palatino Linotype" w:hAnsi="Palatino Linotype"/>
                <w:sz w:val="20"/>
                <w:szCs w:val="20"/>
                <w:lang w:val="en-GB"/>
              </w:rPr>
              <w:t>2012</w:t>
            </w:r>
            <w:r w:rsidRPr="00CB47C6">
              <w:rPr>
                <w:rFonts w:ascii="Palatino Linotype" w:hAnsi="Palatino Linotype"/>
                <w:sz w:val="20"/>
                <w:szCs w:val="20"/>
                <w:lang w:val="en-GB"/>
              </w:rPr>
              <w:t>)</w:t>
            </w:r>
          </w:p>
        </w:tc>
        <w:tc>
          <w:tcPr>
            <w:tcW w:w="3052" w:type="dxa"/>
            <w:tcBorders>
              <w:top w:val="single" w:sz="8" w:space="0" w:color="FFFFFF"/>
              <w:left w:val="single" w:sz="8" w:space="0" w:color="FFFFFF"/>
              <w:bottom w:val="single" w:sz="8" w:space="0" w:color="FFFFFF"/>
            </w:tcBorders>
            <w:shd w:val="clear" w:color="auto" w:fill="A7BFDE"/>
          </w:tcPr>
          <w:p w:rsidR="006463E5" w:rsidRPr="00CB47C6" w:rsidRDefault="006463E5" w:rsidP="008C3310">
            <w:pPr>
              <w:spacing w:after="0"/>
              <w:rPr>
                <w:rFonts w:ascii="Palatino Linotype" w:hAnsi="Palatino Linotype"/>
                <w:sz w:val="20"/>
                <w:szCs w:val="20"/>
                <w:lang w:val="en-GB"/>
              </w:rPr>
            </w:pPr>
          </w:p>
        </w:tc>
      </w:tr>
    </w:tbl>
    <w:p w:rsidR="006463E5" w:rsidRPr="00CB47C6" w:rsidRDefault="006463E5" w:rsidP="00503593">
      <w:pPr>
        <w:spacing w:before="200" w:after="0" w:line="240" w:lineRule="auto"/>
        <w:jc w:val="both"/>
        <w:rPr>
          <w:rFonts w:ascii="Palatino Linotype" w:hAnsi="Palatino Linotype"/>
          <w:b/>
          <w:i/>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Extreme events – SREX report</w:t>
      </w:r>
    </w:p>
    <w:p w:rsidR="006463E5" w:rsidRPr="00CB47C6" w:rsidRDefault="006463E5" w:rsidP="009562D6">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The </w:t>
      </w:r>
      <w:r w:rsidR="00467514" w:rsidRPr="00CB47C6">
        <w:rPr>
          <w:rFonts w:ascii="Palatino Linotype" w:hAnsi="Palatino Linotype"/>
          <w:sz w:val="24"/>
          <w:szCs w:val="24"/>
          <w:lang w:val="en-GB"/>
        </w:rPr>
        <w:t xml:space="preserve"> “Special report on managing the risk of extreme events and disasters to advance climate change adaptation (SREX)” </w:t>
      </w:r>
      <w:r w:rsidRPr="00CB47C6">
        <w:rPr>
          <w:rFonts w:ascii="Palatino Linotype" w:hAnsi="Palatino Linotype"/>
          <w:sz w:val="24"/>
          <w:szCs w:val="24"/>
          <w:lang w:val="en-GB"/>
        </w:rPr>
        <w:t xml:space="preserve">of the Intergovernmental Panel on Climate Change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"IPCC", "given" : "", "non-dropping-particle" : "", "parse-names" : false, "suffix" : "" } ], "id" : "ITEM-1", "issued" : { "date-parts" : [ [ "2012" ] ] }, "publisher" : "Intergovernmental Panel on Climate Change", "title" : "Managing the Risks of Extreme Events and Disasters to Advance Climate Change Adaptation. A Special Report of Working Groups I and II of the Intergovernmental Panel on Climate Change  [Field, C.B., V. Barros, T.F. Stocker, D. Qin, D.J. Dokken, K.L. Ebi, M.", "type" : "report" }, "uris" : [ "http://www.mendeley.com/documents/?uuid=c71e0cd0-7086-4777-92bc-c46fd3531d60" ] } ], "mendeley" : { "previouslyFormattedCitation" : "(IPCC 2012a)"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(IPCC 2012a)</w:t>
      </w:r>
      <w:r w:rsidRPr="00CB47C6">
        <w:rPr>
          <w:rFonts w:ascii="Palatino Linotype" w:hAnsi="Palatino Linotype"/>
          <w:sz w:val="24"/>
          <w:szCs w:val="24"/>
          <w:lang w:val="en-GB"/>
        </w:rPr>
        <w:fldChar w:fldCharType="end"/>
      </w:r>
      <w:r w:rsidRPr="00CB47C6">
        <w:rPr>
          <w:rFonts w:ascii="Palatino Linotype" w:hAnsi="Palatino Linotype"/>
          <w:sz w:val="24"/>
          <w:szCs w:val="24"/>
          <w:lang w:val="en-GB"/>
        </w:rPr>
        <w:t xml:space="preserve"> offers an overview of climate extremes and impacts. Here, we understand an “extreme climate or weather event” or “climate extreme” is defined as “the occurrence of a value of a weather or climate variable above (or below) a threshold value near the upper (or lower) ends of the range of observed values of the variable”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"IPCC", "given" : "", "non-dropping-particle" : "", "parse-names" : false, "suffix" : "" } ], "id" : "ITEM-1", "issued" : { "date-parts" : [ [ "2012" ] ] }, "publisher" : "Intergovernmental Panel on Climate Change", "title" : "Managing the Risks of Extreme Events and Disasters to Advance Climate Change Adaptation. A Special Report of Working Groups I and II of the Intergovernmental Panel on Climate Change  [Field, C.B., V. Barros, T.F. Stocker, D. Qin, D.J. Dokken, K.L. Ebi, M.", "type" : "report" }, "uris" : [ "http://www.mendeley.com/documents/?uuid=c71e0cd0-7086-4777-92bc-c46fd3531d60" ] } ], "mendeley" : { "previouslyFormattedCitation" : "(IPCC 2012a)"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(IPCC 2012a)</w:t>
      </w:r>
      <w:r w:rsidRPr="00CB47C6">
        <w:rPr>
          <w:rFonts w:ascii="Palatino Linotype" w:hAnsi="Palatino Linotype"/>
          <w:sz w:val="24"/>
          <w:szCs w:val="24"/>
          <w:lang w:val="en-GB"/>
        </w:rPr>
        <w:fldChar w:fldCharType="end"/>
      </w:r>
      <w:r w:rsidRPr="00CB47C6">
        <w:rPr>
          <w:rFonts w:ascii="Palatino Linotype" w:hAnsi="Palatino Linotype"/>
          <w:sz w:val="24"/>
          <w:szCs w:val="24"/>
          <w:lang w:val="en-GB"/>
        </w:rPr>
        <w:t xml:space="preserve">. </w:t>
      </w:r>
    </w:p>
    <w:p w:rsidR="006463E5" w:rsidRPr="00CB47C6" w:rsidRDefault="006463E5" w:rsidP="009562D6">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The report finds evidence of high likelihood that there has been a decrease in the number of unusually cold days and nights and an increase in the number of unusually warm days and nights at the global scale. It is likely that anthropogenic influences have contributed to these trends. Projected changes (up to 2100)</w:t>
      </w:r>
      <w:r w:rsidR="009333B4" w:rsidRPr="00CB47C6">
        <w:rPr>
          <w:rFonts w:ascii="Palatino Linotype" w:hAnsi="Palatino Linotype"/>
          <w:sz w:val="24"/>
          <w:szCs w:val="24"/>
          <w:lang w:val="en-GB"/>
        </w:rPr>
        <w:t xml:space="preserve"> seem to strongly</w:t>
      </w:r>
      <w:r w:rsidRPr="00CB47C6">
        <w:rPr>
          <w:rFonts w:ascii="Palatino Linotype" w:hAnsi="Palatino Linotype"/>
          <w:sz w:val="24"/>
          <w:szCs w:val="24"/>
          <w:lang w:val="en-GB"/>
        </w:rPr>
        <w:t xml:space="preserve"> </w:t>
      </w:r>
      <w:r w:rsidR="009333B4" w:rsidRPr="00CB47C6">
        <w:rPr>
          <w:rFonts w:ascii="Palatino Linotype" w:hAnsi="Palatino Linotype"/>
          <w:sz w:val="24"/>
          <w:szCs w:val="24"/>
          <w:lang w:val="en-GB"/>
        </w:rPr>
        <w:t>confirm the above described trends</w:t>
      </w:r>
      <w:r w:rsidRPr="00CB47C6">
        <w:rPr>
          <w:rFonts w:ascii="Palatino Linotype" w:hAnsi="Palatino Linotype"/>
          <w:sz w:val="24"/>
          <w:szCs w:val="24"/>
          <w:lang w:val="en-GB"/>
        </w:rPr>
        <w:t xml:space="preserve">. </w:t>
      </w:r>
    </w:p>
    <w:p w:rsidR="006463E5" w:rsidRPr="00CB47C6" w:rsidRDefault="006463E5" w:rsidP="009562D6">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The report is less affirmative with respect to the observed and projected change in precipitation pattern. Whereas some regions have experienced significant increases in the number of heavy precipitation events (high likelihood), there are strong regional and sub-regional variations in these trends. There is medium confidence that anthropogenic influences have contributed to the intensification of extreme precipitation at the global </w:t>
      </w:r>
      <w:r w:rsidRPr="00CB47C6">
        <w:rPr>
          <w:rFonts w:ascii="Palatino Linotype" w:hAnsi="Palatino Linotype"/>
          <w:sz w:val="24"/>
          <w:szCs w:val="24"/>
          <w:lang w:val="en-GB"/>
        </w:rPr>
        <w:lastRenderedPageBreak/>
        <w:t xml:space="preserve">scale. Projected changes suggest a likely increase in the frequency of heavy precipitation events or increase in proportion of total rainfall from heavy falls over many areas of the globe. </w:t>
      </w:r>
    </w:p>
    <w:p w:rsidR="006463E5" w:rsidRPr="00CB47C6" w:rsidRDefault="006463E5" w:rsidP="009562D6">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There is medium confidence that some regions of the world have experienced more intense and longer droughts for instance in southern Europe and West Africa but opposite trends also exist. There is medium confidence that these observed changes in drought patterns are attributed to anthropogenic influences and medium confidence in projected increase in duration and intensity of droughts in some areas of the globe such as southern Europe and the Mediterranean region, central Europe, central North America, Central America and Mexico, northeast Brazil and southern Africa. </w:t>
      </w:r>
    </w:p>
    <w:p w:rsidR="006463E5" w:rsidRPr="00CB47C6" w:rsidRDefault="006463E5" w:rsidP="009562D6">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There is limited to medium evidence available to assess climate-driven observed changes in the magnitude and frequency of floods at regional scale, however, there is high confidence in trend toward earlier occurrence of spring peak river flows in snowmelt and glacier fed rivers. There is low confidence that anthropogenic warming has an impact on the magnitude or frequency of floods at global scale, however, there is medium confidence that anthropogenic influences have contributed to changes in some components of the water cycle such as precipitation and snowmelt which affected floods. Projected changes underline low confidence in global projections of changes in flood magnitude and frequency and very likely earlier spring peak flows in snowmelt- and glacier-fed rivers.</w:t>
      </w:r>
    </w:p>
    <w:p w:rsidR="006463E5" w:rsidRPr="00CB47C6" w:rsidRDefault="006463E5" w:rsidP="00503593">
      <w:p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Furthermore, it is likely that there has been an increase in extreme coastal high water related to increases in mean sea level. Finally, there is high confidence that changes in heat waves, glacial retreat, and/or permafrost degradation will affect high-mountain phenomena such as slope instabilities, mass movements, and glacial lake outburst floods. There is also high confidence that changes in heavy precipitation will affect landslides in some regions </w:t>
      </w:r>
      <w:r w:rsidR="00247AA0"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"IPCC", "given" : "", "non-dropping-particle" : "", "parse-names" : false, "suffix" : "" } ], "id" : "ITEM-1", "issued" : { "date-parts" : [ [ "2012" ] ] }, "publisher" : "Intergovernmental Panel on Climate Change", "title" : "Managing the Risks of Extreme Events and Disasters to Advance Climate Change Adaptation. A Special Report of Working Groups I and II of the Intergovernmental Panel on Climate Change  [Field, C.B., V. Barros, T.F. Stocker, D. Qin, D.J. Dokken, K.L. Ebi, M.", "type" : "report" }, "uris" : [ "http://www.mendeley.com/documents/?uuid=c71e0cd0-7086-4777-92bc-c46fd3531d60" ] }, { "id" : "ITEM-2", "itemData" : { "author" : [ { "dropping-particle" : "", "family" : "CDKN", "given" : "", "non-dropping-particle" : "", "parse-names" : false, "suffix" : "" } ], "id" : "ITEM-2", "issued" : { "date-parts" : [ [ "2012" ] ] }, "page" : "36", "title" : "Managing Climate Extremes and Disasters in the Water Sector : Lessons from the IPCC SREX Report Contents", "type" : "report" }, "uris" : [ "http://www.mendeley.com/documents/?uuid=54074fcd-fb35-4b88-9cd4-063669c41221" ] } ], "mendeley" : { "previouslyFormattedCitation" : "(IPCC 2012a; CDKN 2012)" }, "properties" : { "noteIndex" : 0 }, "schema" : "https://github.com/citation-style-language/schema/raw/master/csl-citation.json" }</w:instrText>
      </w:r>
      <w:r w:rsidR="00247AA0"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(IPCC 2012a; CDKN 2012)</w:t>
      </w:r>
      <w:r w:rsidR="00247AA0" w:rsidRPr="00CB47C6">
        <w:rPr>
          <w:rFonts w:ascii="Palatino Linotype" w:hAnsi="Palatino Linotype"/>
          <w:sz w:val="24"/>
          <w:szCs w:val="24"/>
          <w:lang w:val="en-GB"/>
        </w:rPr>
        <w:fldChar w:fldCharType="end"/>
      </w:r>
      <w:r w:rsidR="00247AA0" w:rsidRPr="00CB47C6">
        <w:rPr>
          <w:rStyle w:val="Rimandonotaapidipagina"/>
          <w:rFonts w:ascii="Palatino Linotype" w:hAnsi="Palatino Linotype"/>
          <w:sz w:val="24"/>
          <w:szCs w:val="24"/>
          <w:lang w:val="en-GB"/>
        </w:rPr>
        <w:footnoteReference w:id="4"/>
      </w:r>
      <w:r w:rsidRPr="00CB47C6">
        <w:rPr>
          <w:rFonts w:ascii="Palatino Linotype" w:hAnsi="Palatino Linotype"/>
          <w:sz w:val="24"/>
          <w:szCs w:val="24"/>
          <w:lang w:val="en-GB"/>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66"/>
        <w:gridCol w:w="4236"/>
        <w:gridCol w:w="3052"/>
      </w:tblGrid>
      <w:tr w:rsidR="006463E5" w:rsidRPr="00CB47C6" w:rsidTr="008C3310">
        <w:tc>
          <w:tcPr>
            <w:tcW w:w="2566" w:type="dxa"/>
            <w:tcBorders>
              <w:top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Further reading</w:t>
            </w:r>
          </w:p>
        </w:tc>
        <w:tc>
          <w:tcPr>
            <w:tcW w:w="4236" w:type="dxa"/>
            <w:tcBorders>
              <w:top w:val="single" w:sz="8" w:space="0" w:color="FFFFFF"/>
              <w:left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Where in the Guidance documents </w:t>
            </w:r>
          </w:p>
        </w:tc>
        <w:tc>
          <w:tcPr>
            <w:tcW w:w="3052" w:type="dxa"/>
            <w:tcBorders>
              <w:top w:val="single" w:sz="8" w:space="0" w:color="FFFFFF"/>
              <w:left w:val="single" w:sz="8" w:space="0" w:color="FFFFFF"/>
              <w:bottom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Note</w:t>
            </w:r>
          </w:p>
        </w:tc>
      </w:tr>
      <w:tr w:rsidR="006463E5" w:rsidRPr="00CB47C6" w:rsidTr="008C3310">
        <w:tc>
          <w:tcPr>
            <w:tcW w:w="2566" w:type="dxa"/>
            <w:tcBorders>
              <w:top w:val="single" w:sz="8" w:space="0" w:color="FFFFFF"/>
              <w:bottom w:val="single" w:sz="8" w:space="0" w:color="FFFFFF"/>
              <w:right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Key references </w:t>
            </w:r>
          </w:p>
        </w:tc>
        <w:tc>
          <w:tcPr>
            <w:tcW w:w="4236" w:type="dxa"/>
            <w:tcBorders>
              <w:top w:val="single" w:sz="8" w:space="0" w:color="FFFFFF"/>
              <w:left w:val="single" w:sz="8" w:space="0" w:color="FFFFFF"/>
              <w:bottom w:val="single" w:sz="8" w:space="0" w:color="FFFFFF"/>
              <w:right w:val="single" w:sz="8" w:space="0" w:color="FFFFFF"/>
            </w:tcBorders>
            <w:shd w:val="clear" w:color="auto" w:fill="A7BFDE"/>
          </w:tcPr>
          <w:p w:rsidR="006463E5" w:rsidRPr="00CB47C6" w:rsidRDefault="00C01925" w:rsidP="008C3310">
            <w:pPr>
              <w:spacing w:after="0"/>
              <w:rPr>
                <w:rFonts w:ascii="Palatino Linotype" w:hAnsi="Palatino Linotype"/>
                <w:sz w:val="20"/>
                <w:szCs w:val="20"/>
                <w:lang w:val="en-GB"/>
              </w:rPr>
            </w:pPr>
            <w:r w:rsidRPr="00CB47C6">
              <w:rPr>
                <w:rFonts w:ascii="Palatino Linotype" w:hAnsi="Palatino Linotype"/>
                <w:sz w:val="20"/>
                <w:szCs w:val="20"/>
                <w:lang w:val="en-GB"/>
              </w:rPr>
              <w:t>- IPCC (2012a) (2012b)</w:t>
            </w:r>
            <w:r w:rsidR="006463E5" w:rsidRPr="00CB47C6">
              <w:rPr>
                <w:rFonts w:ascii="Palatino Linotype" w:hAnsi="Palatino Linotype"/>
                <w:sz w:val="20"/>
                <w:szCs w:val="20"/>
                <w:lang w:val="en-GB"/>
              </w:rPr>
              <w:t>, IPCC 4</w:t>
            </w:r>
            <w:r w:rsidR="006463E5" w:rsidRPr="00CB47C6">
              <w:rPr>
                <w:rFonts w:ascii="Palatino Linotype" w:hAnsi="Palatino Linotype"/>
                <w:sz w:val="20"/>
                <w:szCs w:val="20"/>
                <w:vertAlign w:val="superscript"/>
                <w:lang w:val="en-GB"/>
              </w:rPr>
              <w:t>th</w:t>
            </w:r>
            <w:r w:rsidR="006463E5" w:rsidRPr="00CB47C6">
              <w:rPr>
                <w:rFonts w:ascii="Palatino Linotype" w:hAnsi="Palatino Linotype"/>
                <w:sz w:val="20"/>
                <w:szCs w:val="20"/>
                <w:lang w:val="en-GB"/>
              </w:rPr>
              <w:t xml:space="preserve"> and 5</w:t>
            </w:r>
            <w:r w:rsidR="006463E5" w:rsidRPr="00CB47C6">
              <w:rPr>
                <w:rFonts w:ascii="Palatino Linotype" w:hAnsi="Palatino Linotype"/>
                <w:sz w:val="20"/>
                <w:szCs w:val="20"/>
                <w:vertAlign w:val="superscript"/>
                <w:lang w:val="en-GB"/>
              </w:rPr>
              <w:t>th</w:t>
            </w:r>
            <w:r w:rsidR="006463E5" w:rsidRPr="00CB47C6">
              <w:rPr>
                <w:rFonts w:ascii="Palatino Linotype" w:hAnsi="Palatino Linotype"/>
                <w:sz w:val="20"/>
                <w:szCs w:val="20"/>
                <w:lang w:val="en-GB"/>
              </w:rPr>
              <w:t xml:space="preserve"> AR</w:t>
            </w:r>
          </w:p>
          <w:p w:rsidR="00247AA0" w:rsidRPr="00CB47C6" w:rsidRDefault="00C01925" w:rsidP="008C3310">
            <w:pPr>
              <w:spacing w:after="0"/>
              <w:rPr>
                <w:rFonts w:ascii="Palatino Linotype" w:hAnsi="Palatino Linotype"/>
                <w:sz w:val="20"/>
                <w:szCs w:val="20"/>
                <w:lang w:val="en-GB"/>
              </w:rPr>
            </w:pPr>
            <w:r w:rsidRPr="00CB47C6">
              <w:rPr>
                <w:rFonts w:ascii="Palatino Linotype" w:hAnsi="Palatino Linotype"/>
                <w:sz w:val="20"/>
                <w:szCs w:val="20"/>
                <w:lang w:val="en-GB"/>
              </w:rPr>
              <w:t>CDKN</w:t>
            </w:r>
            <w:r w:rsidR="00247AA0" w:rsidRPr="00CB47C6">
              <w:rPr>
                <w:rFonts w:ascii="Palatino Linotype" w:hAnsi="Palatino Linotype"/>
                <w:sz w:val="20"/>
                <w:szCs w:val="20"/>
                <w:lang w:val="en-GB"/>
              </w:rPr>
              <w:t xml:space="preserve"> </w:t>
            </w:r>
            <w:r w:rsidRPr="00CB47C6">
              <w:rPr>
                <w:rFonts w:ascii="Palatino Linotype" w:hAnsi="Palatino Linotype"/>
                <w:sz w:val="20"/>
                <w:szCs w:val="20"/>
                <w:lang w:val="en-GB"/>
              </w:rPr>
              <w:t>(</w:t>
            </w:r>
            <w:r w:rsidR="00247AA0" w:rsidRPr="00CB47C6">
              <w:rPr>
                <w:rFonts w:ascii="Palatino Linotype" w:hAnsi="Palatino Linotype"/>
                <w:sz w:val="20"/>
                <w:szCs w:val="20"/>
                <w:lang w:val="en-GB"/>
              </w:rPr>
              <w:t>2012</w:t>
            </w:r>
            <w:r w:rsidRPr="00CB47C6">
              <w:rPr>
                <w:rFonts w:ascii="Palatino Linotype" w:hAnsi="Palatino Linotype"/>
                <w:sz w:val="20"/>
                <w:szCs w:val="20"/>
                <w:lang w:val="en-GB"/>
              </w:rPr>
              <w:t>)</w:t>
            </w:r>
          </w:p>
        </w:tc>
        <w:tc>
          <w:tcPr>
            <w:tcW w:w="3052" w:type="dxa"/>
            <w:tcBorders>
              <w:top w:val="single" w:sz="8" w:space="0" w:color="FFFFFF"/>
              <w:left w:val="single" w:sz="8" w:space="0" w:color="FFFFFF"/>
              <w:bottom w:val="single" w:sz="8" w:space="0" w:color="FFFFFF"/>
            </w:tcBorders>
            <w:shd w:val="clear" w:color="auto" w:fill="A7BFDE"/>
          </w:tcPr>
          <w:p w:rsidR="006463E5" w:rsidRPr="00CB47C6" w:rsidRDefault="006463E5" w:rsidP="008C3310">
            <w:pPr>
              <w:spacing w:after="0"/>
              <w:rPr>
                <w:rFonts w:ascii="Palatino Linotype" w:hAnsi="Palatino Linotype"/>
                <w:sz w:val="20"/>
                <w:szCs w:val="20"/>
                <w:lang w:val="en-GB"/>
              </w:rPr>
            </w:pPr>
          </w:p>
        </w:tc>
      </w:tr>
    </w:tbl>
    <w:p w:rsidR="006463E5" w:rsidRPr="00CB47C6" w:rsidRDefault="006463E5" w:rsidP="00113720">
      <w:pPr>
        <w:spacing w:before="200" w:after="0" w:line="240" w:lineRule="auto"/>
        <w:jc w:val="both"/>
        <w:rPr>
          <w:rFonts w:ascii="Palatino Linotype" w:hAnsi="Palatino Linotype"/>
          <w:sz w:val="24"/>
          <w:szCs w:val="24"/>
          <w:lang w:val="en-GB"/>
        </w:rPr>
      </w:pPr>
    </w:p>
    <w:p w:rsidR="006463E5" w:rsidRPr="00CB47C6" w:rsidRDefault="006463E5" w:rsidP="00EB553E">
      <w:pPr>
        <w:spacing w:after="0" w:line="240" w:lineRule="auto"/>
        <w:rPr>
          <w:rFonts w:ascii="Palatino Linotype" w:hAnsi="Palatino Linotype"/>
          <w:b/>
          <w:sz w:val="32"/>
          <w:szCs w:val="32"/>
          <w:lang w:val="en-GB"/>
        </w:rPr>
      </w:pPr>
      <w:r w:rsidRPr="00CB47C6">
        <w:rPr>
          <w:rFonts w:ascii="Palatino Linotype" w:hAnsi="Palatino Linotype"/>
          <w:sz w:val="32"/>
          <w:szCs w:val="32"/>
          <w:lang w:val="en-GB"/>
        </w:rPr>
        <w:t>[Page]</w:t>
      </w:r>
      <w:r w:rsidRPr="00CB47C6">
        <w:rPr>
          <w:rFonts w:ascii="Palatino Linotype" w:hAnsi="Palatino Linotype"/>
          <w:b/>
          <w:sz w:val="32"/>
          <w:szCs w:val="32"/>
          <w:lang w:val="en-GB"/>
        </w:rPr>
        <w:t xml:space="preserve"> Understanding impacts </w:t>
      </w:r>
    </w:p>
    <w:p w:rsidR="006463E5" w:rsidRPr="00CB47C6" w:rsidRDefault="006463E5" w:rsidP="00EB553E">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Natural hazards represent exogenous, internal or external (if international trade is affected) supply shocks to economies with far-reaching ripple effects, touching almost every aspect of economic life. </w:t>
      </w:r>
    </w:p>
    <w:p w:rsidR="006463E5" w:rsidRPr="00CB47C6" w:rsidRDefault="006463E5" w:rsidP="00B60CD6">
      <w:pPr>
        <w:spacing w:before="200" w:line="240" w:lineRule="auto"/>
        <w:jc w:val="both"/>
        <w:rPr>
          <w:rFonts w:ascii="Palatino Linotype" w:hAnsi="Palatino Linotype"/>
          <w:sz w:val="24"/>
          <w:szCs w:val="24"/>
          <w:lang w:val="en-GB"/>
        </w:rPr>
      </w:pPr>
      <w:r w:rsidRPr="00CB47C6">
        <w:rPr>
          <w:rFonts w:ascii="Palatino Linotype" w:hAnsi="Palatino Linotype"/>
          <w:b/>
          <w:i/>
          <w:sz w:val="24"/>
          <w:szCs w:val="24"/>
          <w:lang w:val="en-GB"/>
        </w:rPr>
        <w:t>Direct</w:t>
      </w:r>
      <w:r w:rsidRPr="00CB47C6">
        <w:rPr>
          <w:rFonts w:ascii="Palatino Linotype" w:hAnsi="Palatino Linotype"/>
          <w:sz w:val="24"/>
          <w:szCs w:val="24"/>
          <w:lang w:val="en-GB"/>
        </w:rPr>
        <w:t xml:space="preserve"> impacts encompasses harm to human health (injury and death), property (physical destruction) and the environment, whereas the indirect impacts are associated with </w:t>
      </w:r>
      <w:r w:rsidRPr="00CB47C6">
        <w:rPr>
          <w:rFonts w:ascii="Palatino Linotype" w:hAnsi="Palatino Linotype"/>
          <w:sz w:val="24"/>
          <w:szCs w:val="24"/>
          <w:lang w:val="en-GB"/>
        </w:rPr>
        <w:lastRenderedPageBreak/>
        <w:t>disruptions in economic and social activities</w:t>
      </w:r>
      <w:r w:rsidR="00F067C6" w:rsidRPr="00CB47C6">
        <w:rPr>
          <w:rFonts w:ascii="Palatino Linotype" w:hAnsi="Palatino Linotype"/>
          <w:sz w:val="24"/>
          <w:szCs w:val="24"/>
          <w:lang w:val="en-GB"/>
        </w:rPr>
        <w:t xml:space="preserve"> </w:t>
      </w:r>
      <w:r w:rsidR="00F12FEC"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"Messner et al", "given" : "Frank", "non-dropping-particle" : "", "parse-names" : false, "suffix" : "" } ], "container-title" : "FLOODsite consortium, 2007. Integrated Flood Risk Analysis and Management Methodologies", "id" : "ITEM-1", "issued" : { "date-parts" : [ [ "2007" ] ] }, "title" : "Evaluating flood damages: guidance and recommendations on principles and methods", "type" : "article-journal" }, "uris" : [ "http://www.mendeley.com/documents/?uuid=1806a4b9-8a50-4722-bb4a-77ff7617fa7e" ] } ], "mendeley" : { "previouslyFormattedCitation" : "(Messner et al 2007)" }, "properties" : { "noteIndex" : 0 }, "schema" : "https://github.com/citation-style-language/schema/raw/master/csl-citation.json" }</w:instrText>
      </w:r>
      <w:r w:rsidR="00F12FEC" w:rsidRPr="00CB47C6">
        <w:rPr>
          <w:rFonts w:ascii="Palatino Linotype" w:hAnsi="Palatino Linotype"/>
          <w:sz w:val="24"/>
          <w:szCs w:val="24"/>
          <w:lang w:val="en-GB"/>
        </w:rPr>
        <w:fldChar w:fldCharType="separate"/>
      </w:r>
      <w:r w:rsidR="00F12FEC" w:rsidRPr="00CB47C6">
        <w:rPr>
          <w:rFonts w:ascii="Palatino Linotype" w:hAnsi="Palatino Linotype"/>
          <w:sz w:val="24"/>
          <w:szCs w:val="24"/>
          <w:lang w:val="en-GB"/>
        </w:rPr>
        <w:t>(</w:t>
      </w:r>
      <w:proofErr w:type="spellStart"/>
      <w:r w:rsidR="00F12FEC" w:rsidRPr="00CB47C6">
        <w:rPr>
          <w:rFonts w:ascii="Palatino Linotype" w:hAnsi="Palatino Linotype"/>
          <w:sz w:val="24"/>
          <w:szCs w:val="24"/>
          <w:lang w:val="en-GB"/>
        </w:rPr>
        <w:t>Messner</w:t>
      </w:r>
      <w:proofErr w:type="spellEnd"/>
      <w:r w:rsidR="00F12FEC" w:rsidRPr="00CB47C6">
        <w:rPr>
          <w:rFonts w:ascii="Palatino Linotype" w:hAnsi="Palatino Linotype"/>
          <w:sz w:val="24"/>
          <w:szCs w:val="24"/>
          <w:lang w:val="en-GB"/>
        </w:rPr>
        <w:t xml:space="preserve"> et al 2007)</w:t>
      </w:r>
      <w:r w:rsidR="00F12FEC" w:rsidRPr="00CB47C6">
        <w:rPr>
          <w:rFonts w:ascii="Palatino Linotype" w:hAnsi="Palatino Linotype"/>
          <w:sz w:val="24"/>
          <w:szCs w:val="24"/>
          <w:lang w:val="en-GB"/>
        </w:rPr>
        <w:fldChar w:fldCharType="end"/>
      </w:r>
      <w:r w:rsidR="00F067C6" w:rsidRPr="00CB47C6">
        <w:rPr>
          <w:rFonts w:ascii="Palatino Linotype" w:hAnsi="Palatino Linotype"/>
          <w:sz w:val="24"/>
          <w:szCs w:val="24"/>
          <w:lang w:val="en-GB"/>
        </w:rPr>
        <w:t xml:space="preserve"> </w:t>
      </w:r>
      <w:r w:rsidR="008627F7" w:rsidRPr="00CB47C6">
        <w:rPr>
          <w:rStyle w:val="Rimandonotaapidipagina"/>
          <w:rFonts w:ascii="Palatino Linotype" w:hAnsi="Palatino Linotype"/>
          <w:sz w:val="24"/>
          <w:szCs w:val="24"/>
          <w:lang w:val="en-GB"/>
        </w:rPr>
        <w:footnoteReference w:id="5"/>
      </w:r>
      <w:r w:rsidRPr="00CB47C6">
        <w:rPr>
          <w:rFonts w:ascii="Palatino Linotype" w:hAnsi="Palatino Linotype"/>
          <w:sz w:val="24"/>
          <w:szCs w:val="24"/>
          <w:lang w:val="en-GB"/>
        </w:rPr>
        <w:t xml:space="preserve">. </w:t>
      </w:r>
      <w:r w:rsidRPr="00CB47C6">
        <w:rPr>
          <w:rFonts w:ascii="Palatino Linotype" w:hAnsi="Palatino Linotype"/>
          <w:i/>
          <w:sz w:val="24"/>
          <w:szCs w:val="24"/>
          <w:lang w:val="en-GB"/>
        </w:rPr>
        <w:t>Direct tangible costs or losses</w:t>
      </w:r>
      <w:r w:rsidRPr="00CB47C6">
        <w:rPr>
          <w:rFonts w:ascii="Palatino Linotype" w:hAnsi="Palatino Linotype"/>
          <w:sz w:val="24"/>
          <w:szCs w:val="24"/>
          <w:lang w:val="en-GB"/>
        </w:rPr>
        <w:t xml:space="preserve"> due to natural hazards represent economic (social welfare) value of the hazard consequences. They may encompass the value of the physical assets destroyed or damaged, and/or value of the foregone production</w:t>
      </w:r>
      <w:r w:rsidR="00E82B59" w:rsidRPr="00CB47C6">
        <w:rPr>
          <w:rFonts w:ascii="Palatino Linotype" w:hAnsi="Palatino Linotype"/>
          <w:sz w:val="24"/>
          <w:szCs w:val="24"/>
          <w:lang w:val="en-GB"/>
        </w:rPr>
        <w:t xml:space="preserve"> </w:t>
      </w:r>
      <w:r w:rsidR="00E82B59"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"Bubeck", "given" : "Philip", "non-dropping-particle" : "", "parse-names" : false, "suffix" : "" }, { "dropping-particle" : "", "family" : "Kreibich", "given" : "Heidi", "non-dropping-particle" : "", "parse-names" : false, "suffix" : "" } ], "id" : "ITEM-1", "issue" : "September", "issued" : { "date-parts" : [ [ "2011" ] ] }, "page" : "1-68", "title" : "Natural Hazards : direct costs and losses due to the disruption of production processes - CONHAZ Report", "type" : "report" }, "uris" : [ "http://www.mendeley.com/documents/?uuid=591f13f3-1714-4003-85df-35df28d4e09e" ] }, { "id" : "ITEM-2", "itemData" : { "author" : [ { "dropping-particle" : "", "family" : "Green", "given" : "Colin", "non-dropping-particle" : "", "parse-names" : false, "suffix" : "" }, { "dropping-particle" : "", "family" : "Viavattene", "given" : "Christophe", "non-dropping-particle" : "", "parse-names" : false, "suffix" : "" }, { "dropping-particle" : "", "family" : "Thompson", "given" : "Paul", "non-dropping-particle" : "", "parse-names" : false, "suffix" : "" } ], "id" : "ITEM-2", "issue" : "September", "issued" : { "date-parts" : [ [ "2011" ] ] }, "page" : "1-86", "title" : "Guidance for assessing flood losses - CONHAZ Report", "type" : "report" }, "uris" : [ "http://www.mendeley.com/documents/?uuid=257d499c-3b55-4763-91b3-1ee3bd3c746a" ] } ], "mendeley" : { "previouslyFormattedCitation" : "(Bubeck &amp; Kreibich 2011; Green et al. 2011)" }, "properties" : { "noteIndex" : 0 }, "schema" : "https://github.com/citation-style-language/schema/raw/master/csl-citation.json" }</w:instrText>
      </w:r>
      <w:r w:rsidR="00E82B59"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Bubeck</w:t>
      </w:r>
      <w:proofErr w:type="spellEnd"/>
      <w:r w:rsidR="00CB4343" w:rsidRPr="00CB47C6">
        <w:rPr>
          <w:rFonts w:ascii="Palatino Linotype" w:hAnsi="Palatino Linotype"/>
          <w:sz w:val="24"/>
          <w:szCs w:val="24"/>
          <w:lang w:val="en-GB"/>
        </w:rPr>
        <w:t xml:space="preserve"> &amp; </w:t>
      </w:r>
      <w:proofErr w:type="spellStart"/>
      <w:r w:rsidR="00CB4343" w:rsidRPr="00CB47C6">
        <w:rPr>
          <w:rFonts w:ascii="Palatino Linotype" w:hAnsi="Palatino Linotype"/>
          <w:sz w:val="24"/>
          <w:szCs w:val="24"/>
          <w:lang w:val="en-GB"/>
        </w:rPr>
        <w:t>Kreibich</w:t>
      </w:r>
      <w:proofErr w:type="spellEnd"/>
      <w:r w:rsidR="00CB4343" w:rsidRPr="00CB47C6">
        <w:rPr>
          <w:rFonts w:ascii="Palatino Linotype" w:hAnsi="Palatino Linotype"/>
          <w:sz w:val="24"/>
          <w:szCs w:val="24"/>
          <w:lang w:val="en-GB"/>
        </w:rPr>
        <w:t xml:space="preserve"> 2011; Green et al. 2011)</w:t>
      </w:r>
      <w:r w:rsidR="00E82B59" w:rsidRPr="00CB47C6">
        <w:rPr>
          <w:rFonts w:ascii="Palatino Linotype" w:hAnsi="Palatino Linotype"/>
          <w:sz w:val="24"/>
          <w:szCs w:val="24"/>
          <w:lang w:val="en-GB"/>
        </w:rPr>
        <w:fldChar w:fldCharType="end"/>
      </w:r>
      <w:r w:rsidR="00E82B59" w:rsidRPr="00CB47C6">
        <w:rPr>
          <w:rStyle w:val="Rimandonotaapidipagina"/>
          <w:rFonts w:ascii="Palatino Linotype" w:hAnsi="Palatino Linotype"/>
          <w:sz w:val="24"/>
          <w:szCs w:val="24"/>
          <w:lang w:val="en-GB"/>
        </w:rPr>
        <w:footnoteReference w:id="6"/>
      </w:r>
      <w:r w:rsidRPr="00CB47C6">
        <w:rPr>
          <w:rFonts w:ascii="Palatino Linotype" w:hAnsi="Palatino Linotype"/>
          <w:sz w:val="24"/>
          <w:szCs w:val="24"/>
          <w:lang w:val="en-GB"/>
        </w:rPr>
        <w:t xml:space="preserve">.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66"/>
        <w:gridCol w:w="4236"/>
        <w:gridCol w:w="3052"/>
      </w:tblGrid>
      <w:tr w:rsidR="006463E5" w:rsidRPr="00CB47C6" w:rsidTr="008C3310">
        <w:tc>
          <w:tcPr>
            <w:tcW w:w="2566" w:type="dxa"/>
            <w:tcBorders>
              <w:top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Further reading</w:t>
            </w:r>
          </w:p>
        </w:tc>
        <w:tc>
          <w:tcPr>
            <w:tcW w:w="4236" w:type="dxa"/>
            <w:tcBorders>
              <w:top w:val="single" w:sz="8" w:space="0" w:color="FFFFFF"/>
              <w:left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Where in the Guidance documents </w:t>
            </w:r>
          </w:p>
        </w:tc>
        <w:tc>
          <w:tcPr>
            <w:tcW w:w="3052" w:type="dxa"/>
            <w:tcBorders>
              <w:top w:val="single" w:sz="8" w:space="0" w:color="FFFFFF"/>
              <w:left w:val="single" w:sz="8" w:space="0" w:color="FFFFFF"/>
              <w:bottom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Note</w:t>
            </w:r>
          </w:p>
        </w:tc>
      </w:tr>
      <w:tr w:rsidR="006463E5" w:rsidRPr="00CB47C6" w:rsidTr="008C3310">
        <w:tc>
          <w:tcPr>
            <w:tcW w:w="2566" w:type="dxa"/>
            <w:tcBorders>
              <w:top w:val="single" w:sz="8" w:space="0" w:color="FFFFFF"/>
              <w:bottom w:val="single" w:sz="8" w:space="0" w:color="FFFFFF"/>
              <w:right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Case study</w:t>
            </w:r>
          </w:p>
        </w:tc>
        <w:tc>
          <w:tcPr>
            <w:tcW w:w="4236" w:type="dxa"/>
            <w:tcBorders>
              <w:top w:val="single" w:sz="8" w:space="0" w:color="FFFFFF"/>
              <w:left w:val="single" w:sz="8" w:space="0" w:color="FFFFFF"/>
              <w:bottom w:val="single" w:sz="8" w:space="0" w:color="FFFFFF"/>
              <w:right w:val="single" w:sz="8" w:space="0" w:color="FFFFFF"/>
            </w:tcBorders>
            <w:shd w:val="clear" w:color="auto" w:fill="A7BFDE"/>
          </w:tcPr>
          <w:p w:rsidR="006463E5" w:rsidRPr="00CB47C6" w:rsidRDefault="0095599C" w:rsidP="00F067C6">
            <w:pPr>
              <w:spacing w:after="0"/>
              <w:rPr>
                <w:rFonts w:ascii="Palatino Linotype" w:hAnsi="Palatino Linotype"/>
                <w:sz w:val="20"/>
                <w:szCs w:val="20"/>
                <w:lang w:val="en-GB"/>
              </w:rPr>
            </w:pPr>
            <w:r w:rsidRPr="00CB47C6">
              <w:rPr>
                <w:rFonts w:ascii="Palatino Linotype" w:hAnsi="Palatino Linotype"/>
                <w:sz w:val="20"/>
                <w:szCs w:val="20"/>
                <w:lang w:val="en-GB"/>
              </w:rPr>
              <w:fldChar w:fldCharType="begin" w:fldLock="1"/>
            </w:r>
            <w:r w:rsidR="00F12FEC" w:rsidRPr="00CB47C6">
              <w:rPr>
                <w:rFonts w:ascii="Palatino Linotype" w:hAnsi="Palatino Linotype"/>
                <w:sz w:val="20"/>
                <w:szCs w:val="20"/>
                <w:lang w:val="en-GB"/>
              </w:rPr>
              <w:instrText>ADDIN CSL_CITATION { "citationItems" : [ { "id" : "ITEM-1", "itemData" : { "author" : [ { "dropping-particle" : "", "family" : "PREEMPT", "given" : "", "non-dropping-particle" : "", "parse-names" : false, "suffix" : "" } ], "id" : "ITEM-1", "issued" : { "date-parts" : [ [ "2013" ] ] }, "title" : "PREEMPT \"Policy relevant assessment of socio-economic effects of droughts and floods\" Guidance Document", "type" : "report" }, "uris" : [ "http://www.mendeley.com/documents/?uuid=f7f23d4e-e9fd-4175-867e-dd661ca1fb68" ] } ], "mendeley" : { "manualFormatting" : "PREEMPT, 2013", "previouslyFormattedCitation" : "(PREEMPT 2013)" }, "properties" : { "noteIndex" : 0 }, "schema" : "https://github.com/citation-style-language/schema/raw/master/csl-citation.json" }</w:instrText>
            </w:r>
            <w:r w:rsidRPr="00CB47C6">
              <w:rPr>
                <w:rFonts w:ascii="Palatino Linotype" w:hAnsi="Palatino Linotype"/>
                <w:sz w:val="20"/>
                <w:szCs w:val="20"/>
                <w:lang w:val="en-GB"/>
              </w:rPr>
              <w:fldChar w:fldCharType="separate"/>
            </w:r>
            <w:r w:rsidR="00C01925" w:rsidRPr="00CB47C6">
              <w:rPr>
                <w:rFonts w:ascii="Palatino Linotype" w:hAnsi="Palatino Linotype"/>
                <w:sz w:val="20"/>
                <w:szCs w:val="20"/>
                <w:lang w:val="en-GB"/>
              </w:rPr>
              <w:t>PREEMPT</w:t>
            </w:r>
            <w:r w:rsidRPr="00CB47C6">
              <w:rPr>
                <w:rFonts w:ascii="Palatino Linotype" w:hAnsi="Palatino Linotype"/>
                <w:sz w:val="20"/>
                <w:szCs w:val="20"/>
                <w:lang w:val="en-GB"/>
              </w:rPr>
              <w:t xml:space="preserve"> </w:t>
            </w:r>
            <w:r w:rsidR="00C01925" w:rsidRPr="00CB47C6">
              <w:rPr>
                <w:rFonts w:ascii="Palatino Linotype" w:hAnsi="Palatino Linotype"/>
                <w:sz w:val="20"/>
                <w:szCs w:val="20"/>
                <w:lang w:val="en-GB"/>
              </w:rPr>
              <w:t>(</w:t>
            </w:r>
            <w:r w:rsidRPr="00CB47C6">
              <w:rPr>
                <w:rFonts w:ascii="Palatino Linotype" w:hAnsi="Palatino Linotype"/>
                <w:sz w:val="20"/>
                <w:szCs w:val="20"/>
                <w:lang w:val="en-GB"/>
              </w:rPr>
              <w:t>2013</w:t>
            </w:r>
            <w:r w:rsidRPr="00CB47C6">
              <w:rPr>
                <w:rFonts w:ascii="Palatino Linotype" w:hAnsi="Palatino Linotype"/>
                <w:sz w:val="20"/>
                <w:szCs w:val="20"/>
                <w:lang w:val="en-GB"/>
              </w:rPr>
              <w:fldChar w:fldCharType="end"/>
            </w:r>
            <w:r w:rsidR="005E553E" w:rsidRPr="00CB47C6">
              <w:rPr>
                <w:rFonts w:ascii="Palatino Linotype" w:hAnsi="Palatino Linotype"/>
                <w:sz w:val="20"/>
                <w:szCs w:val="20"/>
                <w:lang w:val="en-GB"/>
              </w:rPr>
              <w:t>)</w:t>
            </w:r>
            <w:r w:rsidR="00F067C6" w:rsidRPr="00CB47C6">
              <w:rPr>
                <w:rStyle w:val="Rimandonotaapidipagina"/>
                <w:rFonts w:ascii="Palatino Linotype" w:hAnsi="Palatino Linotype"/>
                <w:sz w:val="20"/>
                <w:szCs w:val="20"/>
                <w:lang w:val="en-GB"/>
              </w:rPr>
              <w:footnoteReference w:id="7"/>
            </w:r>
            <w:r w:rsidR="00F000BA" w:rsidRPr="00CB47C6">
              <w:rPr>
                <w:rFonts w:ascii="Palatino Linotype" w:hAnsi="Palatino Linotype"/>
                <w:sz w:val="20"/>
                <w:szCs w:val="20"/>
                <w:lang w:val="en-GB"/>
              </w:rPr>
              <w:t>, Ch. 2, p. 18</w:t>
            </w:r>
          </w:p>
          <w:p w:rsidR="00E82B59" w:rsidRPr="00CB47C6" w:rsidRDefault="00E82B59" w:rsidP="00F067C6">
            <w:pPr>
              <w:spacing w:after="0"/>
              <w:rPr>
                <w:rFonts w:ascii="Palatino Linotype" w:hAnsi="Palatino Linotype"/>
                <w:sz w:val="20"/>
                <w:szCs w:val="20"/>
                <w:lang w:val="en-GB"/>
              </w:rPr>
            </w:pPr>
            <w:r w:rsidRPr="00CB47C6">
              <w:rPr>
                <w:rFonts w:ascii="Palatino Linotype" w:hAnsi="Palatino Linotype"/>
                <w:sz w:val="20"/>
                <w:szCs w:val="20"/>
                <w:lang w:val="en-GB"/>
              </w:rPr>
              <w:t xml:space="preserve">Green et al.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2011</w:t>
            </w:r>
            <w:r w:rsidR="005E553E" w:rsidRPr="00CB47C6">
              <w:rPr>
                <w:rFonts w:ascii="Palatino Linotype" w:hAnsi="Palatino Linotype"/>
                <w:sz w:val="20"/>
                <w:szCs w:val="20"/>
                <w:lang w:val="en-GB"/>
              </w:rPr>
              <w:t>)</w:t>
            </w:r>
            <w:r w:rsidR="00F000BA" w:rsidRPr="00CB47C6">
              <w:rPr>
                <w:rFonts w:ascii="Palatino Linotype" w:hAnsi="Palatino Linotype"/>
                <w:sz w:val="20"/>
                <w:szCs w:val="20"/>
                <w:lang w:val="en-GB"/>
              </w:rPr>
              <w:t>, Ch. 4, p. 39</w:t>
            </w:r>
          </w:p>
          <w:p w:rsidR="00A5250A" w:rsidRPr="00CB47C6" w:rsidRDefault="00A5250A" w:rsidP="00F067C6">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Bubeck</w:t>
            </w:r>
            <w:proofErr w:type="spellEnd"/>
            <w:r w:rsidRPr="00CB47C6">
              <w:rPr>
                <w:rFonts w:ascii="Palatino Linotype" w:hAnsi="Palatino Linotype"/>
                <w:sz w:val="20"/>
                <w:szCs w:val="20"/>
                <w:lang w:val="en-GB"/>
              </w:rPr>
              <w:t xml:space="preserve"> et al.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2011</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 Ch. 2, p. 9</w:t>
            </w:r>
          </w:p>
          <w:p w:rsidR="00735B8F" w:rsidRPr="00CB47C6" w:rsidRDefault="00735B8F" w:rsidP="00735B8F">
            <w:pPr>
              <w:spacing w:after="0"/>
              <w:rPr>
                <w:rFonts w:ascii="Palatino Linotype" w:hAnsi="Palatino Linotype"/>
                <w:sz w:val="20"/>
                <w:szCs w:val="20"/>
                <w:lang w:val="en-GB"/>
              </w:rPr>
            </w:pPr>
            <w:r w:rsidRPr="00CB47C6">
              <w:rPr>
                <w:rFonts w:ascii="Palatino Linotype" w:hAnsi="Palatino Linotype"/>
                <w:sz w:val="20"/>
                <w:szCs w:val="20"/>
                <w:lang w:val="en-GB"/>
              </w:rPr>
              <w:t>Meyer et al (2013)</w:t>
            </w:r>
            <w:r w:rsidRPr="00CB47C6">
              <w:rPr>
                <w:rStyle w:val="Rimandonotaapidipagina"/>
                <w:rFonts w:ascii="Palatino Linotype" w:hAnsi="Palatino Linotype"/>
                <w:sz w:val="20"/>
                <w:szCs w:val="20"/>
                <w:lang w:val="en-GB"/>
              </w:rPr>
              <w:t xml:space="preserve"> 7</w:t>
            </w:r>
            <w:r w:rsidRPr="00CB47C6">
              <w:rPr>
                <w:rFonts w:ascii="Palatino Linotype" w:hAnsi="Palatino Linotype"/>
                <w:sz w:val="20"/>
                <w:szCs w:val="20"/>
                <w:lang w:val="en-GB"/>
              </w:rPr>
              <w:t>, p. 1354</w:t>
            </w:r>
          </w:p>
        </w:tc>
        <w:tc>
          <w:tcPr>
            <w:tcW w:w="3052" w:type="dxa"/>
            <w:tcBorders>
              <w:top w:val="single" w:sz="8" w:space="0" w:color="FFFFFF"/>
              <w:left w:val="single" w:sz="8" w:space="0" w:color="FFFFFF"/>
              <w:bottom w:val="single" w:sz="8" w:space="0" w:color="FFFFFF"/>
            </w:tcBorders>
            <w:shd w:val="clear" w:color="auto" w:fill="A7BFDE"/>
          </w:tcPr>
          <w:p w:rsidR="006463E5" w:rsidRPr="00CB47C6" w:rsidRDefault="006463E5" w:rsidP="008C3310">
            <w:pPr>
              <w:spacing w:after="0"/>
              <w:rPr>
                <w:rFonts w:ascii="Palatino Linotype" w:hAnsi="Palatino Linotype"/>
                <w:sz w:val="20"/>
                <w:szCs w:val="20"/>
                <w:lang w:val="en-GB"/>
              </w:rPr>
            </w:pPr>
          </w:p>
        </w:tc>
      </w:tr>
    </w:tbl>
    <w:p w:rsidR="006463E5" w:rsidRPr="00CB47C6" w:rsidRDefault="006463E5" w:rsidP="00EB553E">
      <w:pPr>
        <w:spacing w:before="200" w:after="0" w:line="240" w:lineRule="auto"/>
        <w:jc w:val="both"/>
        <w:rPr>
          <w:rFonts w:ascii="Palatino Linotype" w:hAnsi="Palatino Linotype"/>
          <w:sz w:val="24"/>
          <w:szCs w:val="24"/>
          <w:lang w:val="en-GB"/>
        </w:rPr>
      </w:pPr>
    </w:p>
    <w:p w:rsidR="006463E5" w:rsidRPr="00CB47C6" w:rsidRDefault="006463E5" w:rsidP="00B60CD6">
      <w:pPr>
        <w:spacing w:before="200" w:line="240" w:lineRule="auto"/>
        <w:jc w:val="both"/>
        <w:rPr>
          <w:rFonts w:ascii="Palatino Linotype" w:hAnsi="Palatino Linotype"/>
          <w:sz w:val="24"/>
          <w:szCs w:val="24"/>
          <w:lang w:val="en-GB"/>
        </w:rPr>
      </w:pPr>
      <w:r w:rsidRPr="00CB47C6">
        <w:rPr>
          <w:rFonts w:ascii="Palatino Linotype" w:hAnsi="Palatino Linotype"/>
          <w:i/>
          <w:sz w:val="24"/>
          <w:szCs w:val="24"/>
          <w:lang w:val="en-GB"/>
        </w:rPr>
        <w:t>Indirect tangible costs</w:t>
      </w:r>
      <w:r w:rsidRPr="00CB47C6">
        <w:rPr>
          <w:rFonts w:ascii="Palatino Linotype" w:hAnsi="Palatino Linotype"/>
          <w:sz w:val="24"/>
          <w:szCs w:val="24"/>
          <w:lang w:val="en-GB"/>
        </w:rPr>
        <w:t xml:space="preserve"> are triggered by the disruption of the flows of goods and services, and are sometimes referred to as induced or indirect losses </w:t>
      </w:r>
      <w:r w:rsidR="00F067C6"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"ECLAC", "given" : "", "non-dropping-particle" : "", "parse-names" : false, "suffix" : "" } ], "id" : "ITEM-1", "issued" : { "date-parts" : [ [ "2003" ] ] }, "title" : "Handbook for Estimating the Socio-economic and Environmental Effects of Disasters", "type" : "report" }, "uris" : [ "http://www.mendeley.com/documents/?uuid=646d3a8d-0803-4dda-b88e-d9210a438304" ] }, { "id" : "ITEM-2", "itemData" : { "author" : [ { "dropping-particle" : "", "family" : "World Bank", "given" : "", "non-dropping-particle" : "", "parse-names" : false, "suffix" : "" } ], "id" : "ITEM-2", "issued" : { "date-parts" : [ [ "2010" ] ] }, "title" : "Economics of Adaptation to Climate Change: Synthesis Report", "type" : "report" }, "uris" : [ "http://www.mendeley.com/documents/?uuid=03f539d3-ad06-4a70-b8fd-a13552f6e8bb" ] }, { "id" : "ITEM-3", "itemData" : { "author" : [ { "dropping-particle" : "", "family" : "Przyluski", "given" : "Valentin", "non-dropping-particle" : "", "parse-names" : false, "suffix" : "" }, { "dropping-particle" : "", "family" : "Hallegatte", "given" : "St\u00e9phane", "non-dropping-particle" : "", "parse-names" : false, "suffix" : "" } ], "id" : "ITEM-3", "issue" : "September", "issued" : { "date-parts" : [ [ "2011" ] ] }, "page" : "1-41", "title" : "Indirect Costs of Natural Hazards - CONHAZ Report", "type" : "report" }, "uris" : [ "http://www.mendeley.com/documents/?uuid=9f2364ed-1cfe-4fdd-9c36-2920d1fad0de" ] } ], "mendeley" : { "previouslyFormattedCitation" : "(ECLAC 2003; World Bank 2010; Przyluski &amp; Hallegatte 2011)" }, "properties" : { "noteIndex" : 0 }, "schema" : "https://github.com/citation-style-language/schema/raw/master/csl-citation.json" }</w:instrText>
      </w:r>
      <w:r w:rsidR="00F067C6"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 xml:space="preserve">(ECLAC 2003; World Bank 2010; </w:t>
      </w:r>
      <w:proofErr w:type="spellStart"/>
      <w:r w:rsidR="00CB4343" w:rsidRPr="00CB47C6">
        <w:rPr>
          <w:rFonts w:ascii="Palatino Linotype" w:hAnsi="Palatino Linotype"/>
          <w:sz w:val="24"/>
          <w:szCs w:val="24"/>
          <w:lang w:val="en-GB"/>
        </w:rPr>
        <w:t>Przyluski</w:t>
      </w:r>
      <w:proofErr w:type="spellEnd"/>
      <w:r w:rsidR="00CB4343" w:rsidRPr="00CB47C6">
        <w:rPr>
          <w:rFonts w:ascii="Palatino Linotype" w:hAnsi="Palatino Linotype"/>
          <w:sz w:val="24"/>
          <w:szCs w:val="24"/>
          <w:lang w:val="en-GB"/>
        </w:rPr>
        <w:t xml:space="preserve"> &amp; </w:t>
      </w:r>
      <w:proofErr w:type="spellStart"/>
      <w:r w:rsidR="00CB4343" w:rsidRPr="00CB47C6">
        <w:rPr>
          <w:rFonts w:ascii="Palatino Linotype" w:hAnsi="Palatino Linotype"/>
          <w:sz w:val="24"/>
          <w:szCs w:val="24"/>
          <w:lang w:val="en-GB"/>
        </w:rPr>
        <w:t>Hallegatte</w:t>
      </w:r>
      <w:proofErr w:type="spellEnd"/>
      <w:r w:rsidR="00CB4343" w:rsidRPr="00CB47C6">
        <w:rPr>
          <w:rFonts w:ascii="Palatino Linotype" w:hAnsi="Palatino Linotype"/>
          <w:sz w:val="24"/>
          <w:szCs w:val="24"/>
          <w:lang w:val="en-GB"/>
        </w:rPr>
        <w:t xml:space="preserve"> 2011)</w:t>
      </w:r>
      <w:r w:rsidR="00F067C6" w:rsidRPr="00CB47C6">
        <w:rPr>
          <w:rFonts w:ascii="Palatino Linotype" w:hAnsi="Palatino Linotype"/>
          <w:sz w:val="24"/>
          <w:szCs w:val="24"/>
          <w:lang w:val="en-GB"/>
        </w:rPr>
        <w:fldChar w:fldCharType="end"/>
      </w:r>
      <w:r w:rsidR="00F067C6" w:rsidRPr="00CB47C6">
        <w:rPr>
          <w:rStyle w:val="Rimandonotaapidipagina"/>
          <w:rFonts w:ascii="Palatino Linotype" w:hAnsi="Palatino Linotype"/>
          <w:sz w:val="24"/>
          <w:szCs w:val="24"/>
          <w:lang w:val="en-GB"/>
        </w:rPr>
        <w:footnoteReference w:id="8"/>
      </w:r>
      <w:r w:rsidRPr="00CB47C6">
        <w:rPr>
          <w:rFonts w:ascii="Palatino Linotype" w:hAnsi="Palatino Linotype"/>
          <w:sz w:val="24"/>
          <w:szCs w:val="24"/>
          <w:lang w:val="en-GB"/>
        </w:rPr>
        <w:t xml:space="preserve">. Indirect damages arise as the effects of natural hazards spread beyond the immediately affected area, through disruption of lifeline services (e.g. transportation, water or energy supply), or as resources needed for reconstruction pulls resources away from their initial destination. Indirect damages also include additional costs incurred from the use of alternative and potentially inferior means of production and/or distribution of normal goods and services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"IPCC", "given" : "", "non-dropping-particle" : "", "parse-names" : false, "suffix" : "" } ], "id" : "ITEM-1", "issued" : { "date-parts" : [ [ "2012" ] ] }, "publisher" : "Intergovernmental Panel on Climate Change", "title" : "Summary for policymakers - Special report on managing the risk of extreme events and disasters to advance climate change adaptation (SREX)", "type" : "report" }, "uris" : [ "http://www.mendeley.com/documents/?uuid=620d93f0-1474-439e-bb53-3acb1b142ac4" ] } ], "mendeley" : { "previouslyFormattedCitation" : "(IPCC 2012b)"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(IPCC 2012b)</w:t>
      </w:r>
      <w:r w:rsidRPr="00CB47C6">
        <w:rPr>
          <w:rFonts w:ascii="Palatino Linotype" w:hAnsi="Palatino Linotype"/>
          <w:sz w:val="24"/>
          <w:szCs w:val="24"/>
          <w:lang w:val="en-GB"/>
        </w:rPr>
        <w:fldChar w:fldCharType="end"/>
      </w:r>
      <w:r w:rsidR="00B47C04" w:rsidRPr="00CB47C6">
        <w:rPr>
          <w:rStyle w:val="Rimandonotaapidipagina"/>
          <w:rFonts w:ascii="Palatino Linotype" w:hAnsi="Palatino Linotype"/>
          <w:sz w:val="24"/>
          <w:szCs w:val="24"/>
          <w:lang w:val="en-GB"/>
        </w:rPr>
        <w:footnoteReference w:id="9"/>
      </w:r>
      <w:r w:rsidRPr="00CB47C6">
        <w:rPr>
          <w:rFonts w:ascii="Palatino Linotype" w:hAnsi="Palatino Linotype"/>
          <w:sz w:val="24"/>
          <w:szCs w:val="24"/>
          <w:lang w:val="en-GB"/>
        </w:rPr>
        <w:t>.</w:t>
      </w:r>
    </w:p>
    <w:tbl>
      <w:tblPr>
        <w:tblW w:w="1009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66"/>
        <w:gridCol w:w="4472"/>
        <w:gridCol w:w="3052"/>
      </w:tblGrid>
      <w:tr w:rsidR="006463E5" w:rsidRPr="00CB47C6" w:rsidTr="00735B8F">
        <w:tc>
          <w:tcPr>
            <w:tcW w:w="2566" w:type="dxa"/>
            <w:tcBorders>
              <w:top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Further reading</w:t>
            </w:r>
          </w:p>
        </w:tc>
        <w:tc>
          <w:tcPr>
            <w:tcW w:w="4472" w:type="dxa"/>
            <w:tcBorders>
              <w:top w:val="single" w:sz="8" w:space="0" w:color="FFFFFF"/>
              <w:left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Where in the Guidance documents </w:t>
            </w:r>
          </w:p>
        </w:tc>
        <w:tc>
          <w:tcPr>
            <w:tcW w:w="3052" w:type="dxa"/>
            <w:tcBorders>
              <w:top w:val="single" w:sz="8" w:space="0" w:color="FFFFFF"/>
              <w:left w:val="single" w:sz="8" w:space="0" w:color="FFFFFF"/>
              <w:bottom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Note</w:t>
            </w:r>
          </w:p>
        </w:tc>
      </w:tr>
      <w:tr w:rsidR="006463E5" w:rsidRPr="00CB47C6" w:rsidTr="00735B8F">
        <w:tc>
          <w:tcPr>
            <w:tcW w:w="2566" w:type="dxa"/>
            <w:tcBorders>
              <w:top w:val="single" w:sz="8" w:space="0" w:color="FFFFFF"/>
              <w:bottom w:val="single" w:sz="8" w:space="0" w:color="FFFFFF"/>
              <w:right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Case study</w:t>
            </w:r>
          </w:p>
        </w:tc>
        <w:tc>
          <w:tcPr>
            <w:tcW w:w="4472" w:type="dxa"/>
            <w:tcBorders>
              <w:top w:val="single" w:sz="8" w:space="0" w:color="FFFFFF"/>
              <w:left w:val="single" w:sz="8" w:space="0" w:color="FFFFFF"/>
              <w:bottom w:val="single" w:sz="8" w:space="0" w:color="FFFFFF"/>
              <w:right w:val="single" w:sz="8" w:space="0" w:color="FFFFFF"/>
            </w:tcBorders>
            <w:shd w:val="clear" w:color="auto" w:fill="A7BFDE"/>
          </w:tcPr>
          <w:p w:rsidR="00B47C04" w:rsidRPr="00CB47C6" w:rsidRDefault="00B47C04" w:rsidP="00B47C04">
            <w:pPr>
              <w:spacing w:after="0"/>
              <w:rPr>
                <w:rFonts w:ascii="Palatino Linotype" w:hAnsi="Palatino Linotype"/>
                <w:sz w:val="20"/>
                <w:szCs w:val="20"/>
                <w:lang w:val="en-GB"/>
              </w:rPr>
            </w:pPr>
            <w:r w:rsidRPr="00CB47C6">
              <w:rPr>
                <w:rFonts w:ascii="Palatino Linotype" w:hAnsi="Palatino Linotype"/>
                <w:sz w:val="20"/>
                <w:szCs w:val="20"/>
                <w:lang w:val="en-GB"/>
              </w:rPr>
              <w:fldChar w:fldCharType="begin" w:fldLock="1"/>
            </w:r>
            <w:r w:rsidR="00F12FEC" w:rsidRPr="00CB47C6">
              <w:rPr>
                <w:rFonts w:ascii="Palatino Linotype" w:hAnsi="Palatino Linotype"/>
                <w:sz w:val="20"/>
                <w:szCs w:val="20"/>
                <w:lang w:val="en-GB"/>
              </w:rPr>
              <w:instrText>ADDIN CSL_CITATION { "citationItems" : [ { "id" : "ITEM-1", "itemData" : { "author" : [ { "dropping-particle" : "", "family" : "PREEMPT", "given" : "", "non-dropping-particle" : "", "parse-names" : false, "suffix" : "" } ], "id" : "ITEM-1", "issued" : { "date-parts" : [ [ "2013" ] ] }, "title" : "PREEMPT \"Policy relevant assessment of socio-economic effects of droughts and floods\" Guidance Document", "type" : "report" }, "uris" : [ "http://www.mendeley.com/documents/?uuid=f7f23d4e-e9fd-4175-867e-dd661ca1fb68" ] } ], "mendeley" : { "manualFormatting" : "PREEMPT, 2013", "previouslyFormattedCitation" : "(PREEMPT 2013)" }, "properties" : { "noteIndex" : 0 }, "schema" : "https://github.com/citation-style-language/schema/raw/master/csl-citation.json" }</w:instrText>
            </w:r>
            <w:r w:rsidRPr="00CB47C6">
              <w:rPr>
                <w:rFonts w:ascii="Palatino Linotype" w:hAnsi="Palatino Linotype"/>
                <w:sz w:val="20"/>
                <w:szCs w:val="20"/>
                <w:lang w:val="en-GB"/>
              </w:rPr>
              <w:fldChar w:fldCharType="separate"/>
            </w:r>
            <w:r w:rsidR="005E553E" w:rsidRPr="00CB47C6">
              <w:rPr>
                <w:rFonts w:ascii="Palatino Linotype" w:hAnsi="Palatino Linotype"/>
                <w:sz w:val="20"/>
                <w:szCs w:val="20"/>
                <w:lang w:val="en-GB"/>
              </w:rPr>
              <w:t>PREEMPT</w:t>
            </w:r>
            <w:r w:rsidRPr="00CB47C6">
              <w:rPr>
                <w:rFonts w:ascii="Palatino Linotype" w:hAnsi="Palatino Linotype"/>
                <w:sz w:val="20"/>
                <w:szCs w:val="20"/>
                <w:lang w:val="en-GB"/>
              </w:rPr>
              <w:t xml:space="preserve">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201</w:t>
            </w:r>
            <w:r w:rsidR="00F000BA" w:rsidRPr="00CB47C6">
              <w:rPr>
                <w:rFonts w:ascii="Palatino Linotype" w:hAnsi="Palatino Linotype"/>
                <w:sz w:val="20"/>
                <w:szCs w:val="20"/>
                <w:lang w:val="en-GB"/>
              </w:rPr>
              <w:t>3</w:t>
            </w:r>
            <w:r w:rsidRPr="00CB47C6">
              <w:rPr>
                <w:rFonts w:ascii="Palatino Linotype" w:hAnsi="Palatino Linotype"/>
                <w:sz w:val="20"/>
                <w:szCs w:val="20"/>
                <w:lang w:val="en-GB"/>
              </w:rPr>
              <w:fldChar w:fldCharType="end"/>
            </w:r>
            <w:r w:rsidR="005E553E" w:rsidRPr="00CB47C6">
              <w:rPr>
                <w:rFonts w:ascii="Palatino Linotype" w:hAnsi="Palatino Linotype"/>
                <w:sz w:val="20"/>
                <w:szCs w:val="20"/>
                <w:lang w:val="en-GB"/>
              </w:rPr>
              <w:t>)</w:t>
            </w:r>
            <w:r w:rsidRPr="00CB47C6">
              <w:rPr>
                <w:rStyle w:val="Rimandonotaapidipagina"/>
                <w:rFonts w:ascii="Palatino Linotype" w:hAnsi="Palatino Linotype"/>
                <w:sz w:val="20"/>
                <w:szCs w:val="20"/>
                <w:lang w:val="en-GB"/>
              </w:rPr>
              <w:footnoteReference w:id="10"/>
            </w:r>
            <w:r w:rsidR="00374553" w:rsidRPr="00CB47C6">
              <w:rPr>
                <w:rFonts w:ascii="Palatino Linotype" w:hAnsi="Palatino Linotype"/>
                <w:sz w:val="20"/>
                <w:szCs w:val="20"/>
                <w:lang w:val="en-GB"/>
              </w:rPr>
              <w:t>, Ch. 2, p. 18</w:t>
            </w:r>
          </w:p>
          <w:p w:rsidR="006463E5" w:rsidRPr="00CB47C6" w:rsidRDefault="00B47C04" w:rsidP="00B47C04">
            <w:pPr>
              <w:spacing w:after="0"/>
              <w:rPr>
                <w:rFonts w:ascii="Palatino Linotype" w:hAnsi="Palatino Linotype"/>
                <w:sz w:val="20"/>
                <w:szCs w:val="20"/>
                <w:lang w:val="en-GB"/>
              </w:rPr>
            </w:pPr>
            <w:r w:rsidRPr="00CB47C6">
              <w:rPr>
                <w:rFonts w:ascii="Palatino Linotype" w:hAnsi="Palatino Linotype"/>
                <w:sz w:val="20"/>
                <w:szCs w:val="20"/>
                <w:lang w:val="en-GB"/>
              </w:rPr>
              <w:t xml:space="preserve">Green et al.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2011</w:t>
            </w:r>
            <w:r w:rsidR="005E553E" w:rsidRPr="00CB47C6">
              <w:rPr>
                <w:rFonts w:ascii="Palatino Linotype" w:hAnsi="Palatino Linotype"/>
                <w:sz w:val="20"/>
                <w:szCs w:val="20"/>
                <w:lang w:val="en-GB"/>
              </w:rPr>
              <w:t>)</w:t>
            </w:r>
            <w:r w:rsidR="00374553" w:rsidRPr="00CB47C6">
              <w:rPr>
                <w:rFonts w:ascii="Palatino Linotype" w:hAnsi="Palatino Linotype"/>
                <w:sz w:val="20"/>
                <w:szCs w:val="20"/>
                <w:lang w:val="en-GB"/>
              </w:rPr>
              <w:t>, Ch. 4 p. 57</w:t>
            </w:r>
          </w:p>
          <w:p w:rsidR="004E1DEE" w:rsidRPr="00CB47C6" w:rsidRDefault="004E1DEE" w:rsidP="00B47C04">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Przyluski</w:t>
            </w:r>
            <w:proofErr w:type="spellEnd"/>
            <w:r w:rsidRPr="00CB47C6">
              <w:rPr>
                <w:rFonts w:ascii="Palatino Linotype" w:hAnsi="Palatino Linotype"/>
                <w:sz w:val="20"/>
                <w:szCs w:val="20"/>
                <w:lang w:val="en-GB"/>
              </w:rPr>
              <w:t xml:space="preserve"> et al.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2011</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 Ch. 2 p. 9 and Ch. 4, p. 33</w:t>
            </w:r>
          </w:p>
          <w:p w:rsidR="00735B8F" w:rsidRPr="00CB47C6" w:rsidRDefault="00735B8F" w:rsidP="00735B8F">
            <w:pPr>
              <w:spacing w:after="0"/>
              <w:rPr>
                <w:rFonts w:ascii="Palatino Linotype" w:hAnsi="Palatino Linotype"/>
                <w:sz w:val="20"/>
                <w:szCs w:val="20"/>
                <w:lang w:val="en-GB"/>
              </w:rPr>
            </w:pPr>
            <w:r w:rsidRPr="00CB47C6">
              <w:rPr>
                <w:rFonts w:ascii="Palatino Linotype" w:hAnsi="Palatino Linotype"/>
                <w:sz w:val="20"/>
                <w:szCs w:val="20"/>
                <w:lang w:val="en-GB"/>
              </w:rPr>
              <w:t>Meyer et al (2013), p. 1354</w:t>
            </w:r>
          </w:p>
        </w:tc>
        <w:tc>
          <w:tcPr>
            <w:tcW w:w="3052" w:type="dxa"/>
            <w:tcBorders>
              <w:top w:val="single" w:sz="8" w:space="0" w:color="FFFFFF"/>
              <w:left w:val="single" w:sz="8" w:space="0" w:color="FFFFFF"/>
              <w:bottom w:val="single" w:sz="8" w:space="0" w:color="FFFFFF"/>
            </w:tcBorders>
            <w:shd w:val="clear" w:color="auto" w:fill="A7BFDE"/>
          </w:tcPr>
          <w:p w:rsidR="006463E5" w:rsidRPr="00CB47C6" w:rsidRDefault="006463E5" w:rsidP="008C3310">
            <w:pPr>
              <w:spacing w:after="0"/>
              <w:rPr>
                <w:rFonts w:ascii="Palatino Linotype" w:hAnsi="Palatino Linotype"/>
                <w:sz w:val="20"/>
                <w:szCs w:val="20"/>
                <w:lang w:val="en-GB"/>
              </w:rPr>
            </w:pPr>
          </w:p>
        </w:tc>
      </w:tr>
    </w:tbl>
    <w:p w:rsidR="00735B8F" w:rsidRPr="00CB47C6" w:rsidRDefault="00735B8F" w:rsidP="00B60CD6">
      <w:pPr>
        <w:spacing w:before="200" w:line="240" w:lineRule="auto"/>
        <w:jc w:val="both"/>
        <w:rPr>
          <w:rFonts w:ascii="Palatino Linotype" w:hAnsi="Palatino Linotype"/>
          <w:sz w:val="24"/>
          <w:szCs w:val="24"/>
          <w:lang w:val="en-GB"/>
        </w:rPr>
      </w:pPr>
    </w:p>
    <w:p w:rsidR="00735B8F" w:rsidRPr="00CB47C6" w:rsidRDefault="00735B8F" w:rsidP="00B60CD6">
      <w:p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A special case is the one highlighted in Meyer et al (2013), where business interruption costs, usually listed among the direct and indirect tangible costs, are treated as a separate category.</w:t>
      </w:r>
    </w:p>
    <w:p w:rsidR="00331578" w:rsidRPr="00CB47C6" w:rsidRDefault="006463E5" w:rsidP="00B60CD6">
      <w:p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The </w:t>
      </w:r>
      <w:r w:rsidRPr="00CB47C6">
        <w:rPr>
          <w:rFonts w:ascii="Palatino Linotype" w:hAnsi="Palatino Linotype"/>
          <w:i/>
          <w:sz w:val="24"/>
          <w:szCs w:val="24"/>
          <w:lang w:val="en-GB"/>
        </w:rPr>
        <w:t>intangible</w:t>
      </w:r>
      <w:r w:rsidRPr="00CB47C6">
        <w:rPr>
          <w:rFonts w:ascii="Palatino Linotype" w:hAnsi="Palatino Linotype"/>
          <w:sz w:val="24"/>
          <w:szCs w:val="24"/>
          <w:lang w:val="en-GB"/>
        </w:rPr>
        <w:t xml:space="preserve"> losses include loss of human lives, cultural heritage, and ecosystem services. These losses are difficult to measure in monetary value, and thus they are poorly reflected in the estimates of losses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"IPCC", "given" : "", "non-dropping-particle" : "", "parse-names" : false, "suffix" : "" } ], "id" : "ITEM-1", "issued" : { "date-parts" : [ [ "2012" ] ] }, "publisher" : "Intergovernmental Panel on Climate Change", "title" : "Managing the Risks of Extreme Events and Disasters to Advance Climate Change Adaptation. A Special Report of Working Groups I and II of the Intergovernmental Panel on Climate Change  [Field, C.B., V. Barros, T.F. Stocker, D. Qin, D.J. Dokken, K.L. Ebi, M.", "type" : "report" }, "uris" : [ "http://www.mendeley.com/documents/?uuid=c71e0cd0-7086-4777-92bc-c46fd3531d60" ] } ], "mendeley" : { "previouslyFormattedCitation" : "(IPCC 2012a)"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(IPCC 2012a)</w:t>
      </w:r>
      <w:r w:rsidRPr="00CB47C6">
        <w:rPr>
          <w:rFonts w:ascii="Palatino Linotype" w:hAnsi="Palatino Linotype"/>
          <w:sz w:val="24"/>
          <w:szCs w:val="24"/>
          <w:lang w:val="en-GB"/>
        </w:rPr>
        <w:fldChar w:fldCharType="end"/>
      </w:r>
      <w:r w:rsidR="00B47C04" w:rsidRPr="00CB47C6">
        <w:rPr>
          <w:rStyle w:val="Rimandonotaapidipagina"/>
          <w:rFonts w:ascii="Palatino Linotype" w:hAnsi="Palatino Linotype"/>
          <w:sz w:val="24"/>
          <w:szCs w:val="24"/>
          <w:lang w:val="en-GB"/>
        </w:rPr>
        <w:footnoteReference w:id="11"/>
      </w:r>
      <w:r w:rsidRPr="00CB47C6">
        <w:rPr>
          <w:rFonts w:ascii="Palatino Linotype" w:hAnsi="Palatino Linotype"/>
          <w:sz w:val="24"/>
          <w:szCs w:val="24"/>
          <w:lang w:val="en-GB"/>
        </w:rPr>
        <w:t xml:space="preserve">. Among them, social impacts include </w:t>
      </w:r>
    </w:p>
    <w:p w:rsidR="00331578"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stress as a result of the event itself, and associated psychological and physical health effects; </w:t>
      </w:r>
    </w:p>
    <w:p w:rsidR="00331578"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impacts on physical health and loss of life; </w:t>
      </w:r>
    </w:p>
    <w:p w:rsidR="00331578"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damage to or loss of irreplaceable possessions such as photographs or paintings, and or property such as gardens; </w:t>
      </w:r>
    </w:p>
    <w:p w:rsidR="00331578"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social disorder; </w:t>
      </w:r>
    </w:p>
    <w:p w:rsidR="00331578"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loss of local labour and increased working hours; </w:t>
      </w:r>
    </w:p>
    <w:p w:rsidR="00331578"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temporary evacuation from the home; </w:t>
      </w:r>
    </w:p>
    <w:p w:rsidR="00331578"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disruption to daily life in the home and in the community; </w:t>
      </w:r>
    </w:p>
    <w:p w:rsidR="00331578"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loss of community and/or cultural heritage; </w:t>
      </w:r>
    </w:p>
    <w:p w:rsidR="00331578"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loss of landscape and nature as an aesthetic value; and </w:t>
      </w:r>
    </w:p>
    <w:p w:rsidR="006463E5" w:rsidRPr="00CB47C6" w:rsidRDefault="006463E5" w:rsidP="00331578">
      <w:pPr>
        <w:pStyle w:val="Paragrafoelenco"/>
        <w:numPr>
          <w:ilvl w:val="0"/>
          <w:numId w:val="8"/>
        </w:num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reduced quality of life </w:t>
      </w:r>
      <w:r w:rsidR="00B47C04"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"Markantonis", "given" : "Vasileios", "non-dropping-particle" : "", "parse-names" : false, "suffix" : "" }, { "dropping-particle" : "", "family" : "Meyer", "given" : "Volker", "non-dropping-particle" : "", "parse-names" : false, "suffix" : "" }, { "dropping-particle" : "", "family" : "Schwarze", "given" : "Reimund", "non-dropping-particle" : "", "parse-names" : false, "suffix" : "" } ], "id" : "ITEM-1", "issue" : "September", "issued" : { "date-parts" : [ [ "2011" ] ] }, "title" : "The intangible effects of Natural Hazards - CONHAZ Report", "type" : "report" }, "uris" : [ "http://www.mendeley.com/documents/?uuid=befa4523-7366-45d8-b02d-b78c8a9fd8a6" ] } ], "mendeley" : { "previouslyFormattedCitation" : "(Markantonis et al. 2011)" }, "properties" : { "noteIndex" : 0 }, "schema" : "https://github.com/citation-style-language/schema/raw/master/csl-citation.json" }</w:instrText>
      </w:r>
      <w:r w:rsidR="00B47C04"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Markantonis</w:t>
      </w:r>
      <w:proofErr w:type="spellEnd"/>
      <w:r w:rsidR="00CB4343" w:rsidRPr="00CB47C6">
        <w:rPr>
          <w:rFonts w:ascii="Palatino Linotype" w:hAnsi="Palatino Linotype"/>
          <w:sz w:val="24"/>
          <w:szCs w:val="24"/>
          <w:lang w:val="en-GB"/>
        </w:rPr>
        <w:t xml:space="preserve"> et al. 2011)</w:t>
      </w:r>
      <w:r w:rsidR="00B47C04" w:rsidRPr="00CB47C6">
        <w:rPr>
          <w:rFonts w:ascii="Palatino Linotype" w:hAnsi="Palatino Linotype"/>
          <w:sz w:val="24"/>
          <w:szCs w:val="24"/>
          <w:lang w:val="en-GB"/>
        </w:rPr>
        <w:fldChar w:fldCharType="end"/>
      </w:r>
      <w:r w:rsidR="00B47C04" w:rsidRPr="00CB47C6">
        <w:rPr>
          <w:rStyle w:val="Rimandonotaapidipagina"/>
          <w:rFonts w:ascii="Palatino Linotype" w:hAnsi="Palatino Linotype"/>
          <w:sz w:val="24"/>
          <w:szCs w:val="24"/>
          <w:lang w:val="en-GB"/>
        </w:rPr>
        <w:footnoteReference w:id="12"/>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66"/>
        <w:gridCol w:w="4236"/>
        <w:gridCol w:w="3052"/>
      </w:tblGrid>
      <w:tr w:rsidR="006463E5" w:rsidRPr="00CB47C6" w:rsidTr="008C3310">
        <w:tc>
          <w:tcPr>
            <w:tcW w:w="2566" w:type="dxa"/>
            <w:tcBorders>
              <w:top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Further reading</w:t>
            </w:r>
          </w:p>
        </w:tc>
        <w:tc>
          <w:tcPr>
            <w:tcW w:w="4236" w:type="dxa"/>
            <w:tcBorders>
              <w:top w:val="single" w:sz="8" w:space="0" w:color="FFFFFF"/>
              <w:left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Where in the Guidance documents </w:t>
            </w:r>
          </w:p>
        </w:tc>
        <w:tc>
          <w:tcPr>
            <w:tcW w:w="3052" w:type="dxa"/>
            <w:tcBorders>
              <w:top w:val="single" w:sz="8" w:space="0" w:color="FFFFFF"/>
              <w:left w:val="single" w:sz="8" w:space="0" w:color="FFFFFF"/>
              <w:bottom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Note</w:t>
            </w:r>
          </w:p>
        </w:tc>
      </w:tr>
      <w:tr w:rsidR="006463E5" w:rsidRPr="00CB47C6" w:rsidTr="008C3310">
        <w:tc>
          <w:tcPr>
            <w:tcW w:w="2566" w:type="dxa"/>
            <w:tcBorders>
              <w:top w:val="single" w:sz="8" w:space="0" w:color="FFFFFF"/>
              <w:bottom w:val="single" w:sz="8" w:space="0" w:color="FFFFFF"/>
              <w:right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Case study</w:t>
            </w:r>
          </w:p>
        </w:tc>
        <w:tc>
          <w:tcPr>
            <w:tcW w:w="4236" w:type="dxa"/>
            <w:tcBorders>
              <w:top w:val="single" w:sz="8" w:space="0" w:color="FFFFFF"/>
              <w:left w:val="single" w:sz="8" w:space="0" w:color="FFFFFF"/>
              <w:bottom w:val="single" w:sz="8" w:space="0" w:color="FFFFFF"/>
              <w:right w:val="single" w:sz="8" w:space="0" w:color="FFFFFF"/>
            </w:tcBorders>
            <w:shd w:val="clear" w:color="auto" w:fill="A7BFDE"/>
          </w:tcPr>
          <w:p w:rsidR="006463E5" w:rsidRPr="00CB47C6" w:rsidRDefault="00CA399A"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Markantonis</w:t>
            </w:r>
            <w:proofErr w:type="spellEnd"/>
            <w:r w:rsidRPr="00CB47C6">
              <w:rPr>
                <w:rFonts w:ascii="Palatino Linotype" w:hAnsi="Palatino Linotype"/>
                <w:sz w:val="20"/>
                <w:szCs w:val="20"/>
                <w:lang w:val="en-GB"/>
              </w:rPr>
              <w:t xml:space="preserve"> et al.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2011</w:t>
            </w:r>
            <w:r w:rsidR="005E553E" w:rsidRPr="00CB47C6">
              <w:rPr>
                <w:rFonts w:ascii="Palatino Linotype" w:hAnsi="Palatino Linotype"/>
                <w:sz w:val="20"/>
                <w:szCs w:val="20"/>
                <w:lang w:val="en-GB"/>
              </w:rPr>
              <w:t>)</w:t>
            </w:r>
          </w:p>
          <w:p w:rsidR="00F81871" w:rsidRPr="00CB47C6" w:rsidRDefault="00F81871" w:rsidP="008C3310">
            <w:pPr>
              <w:spacing w:after="0"/>
              <w:rPr>
                <w:rFonts w:ascii="Palatino Linotype" w:hAnsi="Palatino Linotype"/>
                <w:sz w:val="20"/>
                <w:szCs w:val="20"/>
                <w:lang w:val="en-GB"/>
              </w:rPr>
            </w:pPr>
            <w:r w:rsidRPr="00CB47C6">
              <w:rPr>
                <w:rFonts w:ascii="Palatino Linotype" w:hAnsi="Palatino Linotype"/>
                <w:sz w:val="20"/>
                <w:szCs w:val="20"/>
                <w:lang w:val="en-GB"/>
              </w:rPr>
              <w:t xml:space="preserve">ECLAC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2003</w:t>
            </w:r>
            <w:r w:rsidR="005E553E" w:rsidRPr="00CB47C6">
              <w:rPr>
                <w:rFonts w:ascii="Palatino Linotype" w:hAnsi="Palatino Linotype"/>
                <w:sz w:val="20"/>
                <w:szCs w:val="20"/>
                <w:lang w:val="en-GB"/>
              </w:rPr>
              <w:t>)</w:t>
            </w:r>
          </w:p>
          <w:p w:rsidR="006F2087" w:rsidRPr="00CB47C6" w:rsidRDefault="006F2087" w:rsidP="006F2087">
            <w:pPr>
              <w:spacing w:after="0"/>
              <w:rPr>
                <w:rFonts w:ascii="Palatino Linotype" w:hAnsi="Palatino Linotype"/>
                <w:sz w:val="20"/>
                <w:szCs w:val="20"/>
                <w:lang w:val="en-GB"/>
              </w:rPr>
            </w:pPr>
            <w:r w:rsidRPr="00CB47C6">
              <w:rPr>
                <w:rFonts w:ascii="Palatino Linotype" w:hAnsi="Palatino Linotype"/>
                <w:sz w:val="20"/>
                <w:szCs w:val="20"/>
                <w:lang w:val="en-GB"/>
              </w:rPr>
              <w:t xml:space="preserve">DEFRA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2004</w:t>
            </w:r>
            <w:r w:rsidR="005E553E" w:rsidRPr="00CB47C6">
              <w:rPr>
                <w:rFonts w:ascii="Palatino Linotype" w:hAnsi="Palatino Linotype"/>
                <w:sz w:val="20"/>
                <w:szCs w:val="20"/>
                <w:lang w:val="en-GB"/>
              </w:rPr>
              <w:t>)</w:t>
            </w:r>
            <w:r w:rsidRPr="00CB47C6">
              <w:rPr>
                <w:rStyle w:val="Rimandonotaapidipagina"/>
                <w:rFonts w:ascii="Palatino Linotype" w:hAnsi="Palatino Linotype"/>
                <w:sz w:val="20"/>
                <w:szCs w:val="20"/>
                <w:lang w:val="en-GB"/>
              </w:rPr>
              <w:footnoteReference w:id="13"/>
            </w:r>
          </w:p>
        </w:tc>
        <w:tc>
          <w:tcPr>
            <w:tcW w:w="3052" w:type="dxa"/>
            <w:tcBorders>
              <w:top w:val="single" w:sz="8" w:space="0" w:color="FFFFFF"/>
              <w:left w:val="single" w:sz="8" w:space="0" w:color="FFFFFF"/>
              <w:bottom w:val="single" w:sz="8" w:space="0" w:color="FFFFFF"/>
            </w:tcBorders>
            <w:shd w:val="clear" w:color="auto" w:fill="A7BFDE"/>
          </w:tcPr>
          <w:p w:rsidR="006463E5" w:rsidRPr="00CB47C6" w:rsidRDefault="006463E5" w:rsidP="008C3310">
            <w:pPr>
              <w:spacing w:after="0"/>
              <w:rPr>
                <w:rFonts w:ascii="Palatino Linotype" w:hAnsi="Palatino Linotype"/>
                <w:sz w:val="20"/>
                <w:szCs w:val="20"/>
                <w:lang w:val="en-GB"/>
              </w:rPr>
            </w:pPr>
          </w:p>
        </w:tc>
      </w:tr>
    </w:tbl>
    <w:p w:rsidR="006463E5" w:rsidRPr="00CB47C6" w:rsidRDefault="006463E5" w:rsidP="00EB553E">
      <w:pPr>
        <w:spacing w:before="200" w:after="0" w:line="240" w:lineRule="auto"/>
        <w:jc w:val="both"/>
        <w:rPr>
          <w:rFonts w:ascii="Palatino Linotype" w:hAnsi="Palatino Linotype"/>
          <w:sz w:val="24"/>
          <w:szCs w:val="24"/>
          <w:lang w:val="en-GB"/>
        </w:rPr>
      </w:pPr>
      <w:r w:rsidRPr="00CB47C6">
        <w:rPr>
          <w:rFonts w:ascii="Palatino Linotype" w:hAnsi="Palatino Linotype"/>
          <w:i/>
          <w:sz w:val="24"/>
          <w:szCs w:val="24"/>
          <w:lang w:val="en-GB"/>
        </w:rPr>
        <w:t>Environmental losses</w:t>
      </w:r>
      <w:r w:rsidRPr="00CB47C6">
        <w:rPr>
          <w:rFonts w:ascii="Palatino Linotype" w:hAnsi="Palatino Linotype"/>
          <w:sz w:val="24"/>
          <w:szCs w:val="24"/>
          <w:lang w:val="en-GB"/>
        </w:rPr>
        <w:t xml:space="preserve"> arise as a result of temporal or permanent compromise of ecosystem quality and/or ecosystem service supply, and as biodiversity losses. For instance, during the drought spells the minimal environmental flows may not be maintained, often because the anthropic water uses, notably domestic water supply, are assigned higher priority. Floods often trigger industrial accidents and pollution spills with lasting consequences. </w:t>
      </w:r>
    </w:p>
    <w:p w:rsidR="006463E5" w:rsidRPr="00CB47C6" w:rsidRDefault="006463E5" w:rsidP="00B60CD6">
      <w:p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Ecosystem functions - regulatory, habitat provision, production and information related - refer to the capacity of natural processes and components to provide goods and services that satisfy human needs, directly or indirectly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"abstract" : "An increasing amount of information is being collected on the ecological and socio-economic value of goods and services provided by natural and semi-natural ecosystems. However, much of this information appears scattered throughout a disciplinary academic literature, unpublished government agency reports, and across the World Wide Web. In addition, data on ecosystem goods and services often appears at incompatible scales of analysis and is classified differently by different authors. In order to make comparative ecological economic analysis possible, a standardized framework for the comprehensive assessment of ecosystem functions, goods and services is needed. In response to this challenge, this paper presents a conceptual framework and typology for describing, classifying and valuing ecosystem functions, goods and services in a clear and consistent manner. In the following analysis, a classification is given for the fullest possible range of 23 ecosystem functions that provide a much larger number of goods and services. In the second part of the paper, a checklist and matrix is provided, linking these ecosystem functions to the main ecological, socio-cultural and economic valuation methods. (C) 2002 Elsevier Science B.V. All rights reserved.", "author" : [ { "dropping-particle" : "", "family" : "Groot", "given" : "R S", "non-dropping-particle" : "de", "parse-names" : false, "suffix" : "" }, { "dropping-particle" : "", "family" : "Wilson", "given" : "M A", "non-dropping-particle" : "", "parse-names" : false, "suffix" : "" }, { "dropping-particle" : "", "family" : "Boumans", "given" : "R M J", "non-dropping-particle" : "", "parse-names" : false, "suffix" : "" } ], "container-title" : "Ecological Economics", "id" : "ITEM-1", "issue" : "3", "issued" : { "date-parts" : [ [ "2002" ] ] }, "note" : "0921-8009", "page" : "393-408", "title" : "A typology for the classification, description and valuation of ecosystem functions, goods and services", "type" : "article-journal", "volume" : "41" }, "uris" : [ "http://www.mendeley.com/documents/?uuid=5507cc03-117c-424a-a364-bea88db58d0d" ] } ], "mendeley" : { "previouslyFormattedCitation" : "(de Groot et al. 2002)"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(de Groot et al. 2002)</w:t>
      </w:r>
      <w:r w:rsidRPr="00CB47C6">
        <w:rPr>
          <w:rFonts w:ascii="Palatino Linotype" w:hAnsi="Palatino Linotype"/>
          <w:sz w:val="24"/>
          <w:szCs w:val="24"/>
          <w:lang w:val="en-GB"/>
        </w:rPr>
        <w:fldChar w:fldCharType="end"/>
      </w:r>
      <w:r w:rsidR="00B47C04" w:rsidRPr="00CB47C6">
        <w:rPr>
          <w:rStyle w:val="Rimandonotaapidipagina"/>
          <w:rFonts w:ascii="Palatino Linotype" w:hAnsi="Palatino Linotype"/>
          <w:sz w:val="24"/>
          <w:szCs w:val="24"/>
          <w:lang w:val="en-GB"/>
        </w:rPr>
        <w:footnoteReference w:id="14"/>
      </w:r>
      <w:r w:rsidRPr="00CB47C6">
        <w:rPr>
          <w:rFonts w:ascii="Palatino Linotype" w:hAnsi="Palatino Linotype"/>
          <w:sz w:val="24"/>
          <w:szCs w:val="24"/>
          <w:lang w:val="en-GB"/>
        </w:rPr>
        <w:t xml:space="preserve">. The maintenance of the optimal life conditions depends on a delicate balance between several ecological processes in which biotic and abiotic factors are combined to offer the large amount of </w:t>
      </w:r>
      <w:r w:rsidRPr="00CB47C6">
        <w:rPr>
          <w:rFonts w:ascii="Palatino Linotype" w:hAnsi="Palatino Linotype"/>
          <w:sz w:val="24"/>
          <w:szCs w:val="24"/>
          <w:lang w:val="en-GB"/>
        </w:rPr>
        <w:lastRenderedPageBreak/>
        <w:t xml:space="preserve">goods and services under evolution and control mechanisms. Ecological and socio-cultural values are of great significance for the function of ecosystems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"abstract" : "An increasing amount of information is being collected on the ecological and socio-economic value of goods and services provided by natural and semi-natural ecosystems. However, much of this information appears scattered throughout a disciplinary academic literature, unpublished government agency reports, and across the World Wide Web. In addition, data on ecosystem goods and services often appears at incompatible scales of analysis and is classified differently by different authors. In order to make comparative ecological economic analysis possible, a standardized framework for the comprehensive assessment of ecosystem functions, goods and services is needed. In response to this challenge, this paper presents a conceptual framework and typology for describing, classifying and valuing ecosystem functions, goods and services in a clear and consistent manner. In the following analysis, a classification is given for the fullest possible range of 23 ecosystem functions that provide a much larger number of goods and services. In the second part of the paper, a checklist and matrix is provided, linking these ecosystem functions to the main ecological, socio-cultural and economic valuation methods. (C) 2002 Elsevier Science B.V. All rights reserved.", "author" : [ { "dropping-particle" : "", "family" : "Groot", "given" : "R S", "non-dropping-particle" : "de", "parse-names" : false, "suffix" : "" }, { "dropping-particle" : "", "family" : "Wilson", "given" : "M A", "non-dropping-particle" : "", "parse-names" : false, "suffix" : "" }, { "dropping-particle" : "", "family" : "Boumans", "given" : "R M J", "non-dropping-particle" : "", "parse-names" : false, "suffix" : "" } ], "container-title" : "Ecological Economics", "id" : "ITEM-1", "issue" : "3", "issued" : { "date-parts" : [ [ "2002" ] ] }, "note" : "0921-8009", "page" : "393-408", "title" : "A typology for the classification, description and valuation of ecosystem functions, goods and services", "type" : "article-journal", "volume" : "41" }, "uris" : [ "http://www.mendeley.com/documents/?uuid=5507cc03-117c-424a-a364-bea88db58d0d" ] } ], "mendeley" : { "previouslyFormattedCitation" : "(de Groot et al. 2002)"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(de Groot et al. 2002)</w:t>
      </w:r>
      <w:r w:rsidRPr="00CB47C6">
        <w:rPr>
          <w:rFonts w:ascii="Palatino Linotype" w:hAnsi="Palatino Linotype"/>
          <w:sz w:val="24"/>
          <w:szCs w:val="24"/>
          <w:lang w:val="en-GB"/>
        </w:rPr>
        <w:fldChar w:fldCharType="end"/>
      </w:r>
      <w:r w:rsidR="000C42B6" w:rsidRPr="00CB47C6">
        <w:rPr>
          <w:rStyle w:val="Rimandonotaapidipagina"/>
          <w:rFonts w:ascii="Palatino Linotype" w:hAnsi="Palatino Linotype"/>
          <w:sz w:val="24"/>
          <w:szCs w:val="24"/>
          <w:lang w:val="en-GB"/>
        </w:rPr>
        <w:footnoteReference w:id="15"/>
      </w:r>
      <w:r w:rsidRPr="00CB47C6">
        <w:rPr>
          <w:rFonts w:ascii="Palatino Linotype" w:hAnsi="Palatino Linotype"/>
          <w:sz w:val="24"/>
          <w:szCs w:val="24"/>
          <w:lang w:val="en-GB"/>
        </w:rPr>
        <w:t>. The former refer to the level of integrity of regulation and habitat functions analysed considering ecosystem parameters as complexity, diversity and rarity. The latter refer to natural ecosystems as a crucial source of non-material well-being. In synthesis, high relevance is assigned to the different aspects of ecosystem functions impacting on mental health, education, cultural diversity and identity, freedom and spiritual values.</w:t>
      </w:r>
      <w:r w:rsidR="00246A00" w:rsidRPr="00CB47C6">
        <w:rPr>
          <w:rFonts w:ascii="Palatino Linotype" w:hAnsi="Palatino Linotype"/>
          <w:sz w:val="24"/>
          <w:szCs w:val="24"/>
          <w:lang w:val="en-GB"/>
        </w:rPr>
        <w:t xml:space="preserve"> In Meyer et al (2012, 2013) the environmental costs are fully integrated in the intangible losses category.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66"/>
        <w:gridCol w:w="4236"/>
        <w:gridCol w:w="3052"/>
      </w:tblGrid>
      <w:tr w:rsidR="006463E5" w:rsidRPr="00CB47C6" w:rsidTr="008C3310">
        <w:tc>
          <w:tcPr>
            <w:tcW w:w="2566" w:type="dxa"/>
            <w:tcBorders>
              <w:top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Further reading</w:t>
            </w:r>
          </w:p>
        </w:tc>
        <w:tc>
          <w:tcPr>
            <w:tcW w:w="4236" w:type="dxa"/>
            <w:tcBorders>
              <w:top w:val="single" w:sz="8" w:space="0" w:color="FFFFFF"/>
              <w:left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Where in the Guidance documents </w:t>
            </w:r>
          </w:p>
        </w:tc>
        <w:tc>
          <w:tcPr>
            <w:tcW w:w="3052" w:type="dxa"/>
            <w:tcBorders>
              <w:top w:val="single" w:sz="8" w:space="0" w:color="FFFFFF"/>
              <w:left w:val="single" w:sz="8" w:space="0" w:color="FFFFFF"/>
              <w:bottom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Note</w:t>
            </w:r>
          </w:p>
        </w:tc>
      </w:tr>
      <w:tr w:rsidR="006463E5" w:rsidRPr="00CB47C6" w:rsidTr="008C3310">
        <w:tc>
          <w:tcPr>
            <w:tcW w:w="2566" w:type="dxa"/>
            <w:tcBorders>
              <w:top w:val="single" w:sz="8" w:space="0" w:color="FFFFFF"/>
              <w:bottom w:val="single" w:sz="8" w:space="0" w:color="FFFFFF"/>
              <w:right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Case study</w:t>
            </w:r>
          </w:p>
        </w:tc>
        <w:tc>
          <w:tcPr>
            <w:tcW w:w="4236" w:type="dxa"/>
            <w:tcBorders>
              <w:top w:val="single" w:sz="8" w:space="0" w:color="FFFFFF"/>
              <w:left w:val="single" w:sz="8" w:space="0" w:color="FFFFFF"/>
              <w:bottom w:val="single" w:sz="8" w:space="0" w:color="FFFFFF"/>
              <w:right w:val="single" w:sz="8" w:space="0" w:color="FFFFFF"/>
            </w:tcBorders>
            <w:shd w:val="clear" w:color="auto" w:fill="A7BFDE"/>
          </w:tcPr>
          <w:p w:rsidR="006463E5" w:rsidRPr="00CB47C6" w:rsidRDefault="0095599C" w:rsidP="008C3310">
            <w:pPr>
              <w:spacing w:after="0"/>
              <w:rPr>
                <w:rFonts w:ascii="Palatino Linotype" w:hAnsi="Palatino Linotype"/>
                <w:sz w:val="20"/>
                <w:szCs w:val="20"/>
                <w:lang w:val="en-GB"/>
              </w:rPr>
            </w:pPr>
            <w:r w:rsidRPr="00CB47C6">
              <w:rPr>
                <w:rFonts w:ascii="Palatino Linotype" w:hAnsi="Palatino Linotype"/>
                <w:sz w:val="20"/>
                <w:szCs w:val="20"/>
                <w:lang w:val="en-GB"/>
              </w:rPr>
              <w:t xml:space="preserve">De Groot et al.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2002</w:t>
            </w:r>
            <w:r w:rsidR="005E553E" w:rsidRPr="00CB47C6">
              <w:rPr>
                <w:rFonts w:ascii="Palatino Linotype" w:hAnsi="Palatino Linotype"/>
                <w:sz w:val="20"/>
                <w:szCs w:val="20"/>
                <w:lang w:val="en-GB"/>
              </w:rPr>
              <w:t>)</w:t>
            </w:r>
            <w:r w:rsidR="00EC52DF" w:rsidRPr="00CB47C6">
              <w:rPr>
                <w:rFonts w:ascii="Palatino Linotype" w:hAnsi="Palatino Linotype"/>
                <w:sz w:val="20"/>
                <w:szCs w:val="20"/>
                <w:vertAlign w:val="superscript"/>
                <w:lang w:val="en-GB"/>
              </w:rPr>
              <w:t>1</w:t>
            </w:r>
            <w:r w:rsidR="00246934" w:rsidRPr="00CB47C6">
              <w:rPr>
                <w:rFonts w:ascii="Palatino Linotype" w:hAnsi="Palatino Linotype"/>
                <w:sz w:val="20"/>
                <w:szCs w:val="20"/>
                <w:lang w:val="en-GB"/>
              </w:rPr>
              <w:t>,</w:t>
            </w:r>
            <w:r w:rsidR="005E553E" w:rsidRPr="00CB47C6">
              <w:rPr>
                <w:rFonts w:ascii="Palatino Linotype" w:hAnsi="Palatino Linotype"/>
                <w:sz w:val="20"/>
                <w:szCs w:val="20"/>
                <w:lang w:val="en-GB"/>
              </w:rPr>
              <w:t xml:space="preserve"> section 3</w:t>
            </w:r>
            <w:r w:rsidR="00246934" w:rsidRPr="00CB47C6">
              <w:rPr>
                <w:rFonts w:ascii="Palatino Linotype" w:hAnsi="Palatino Linotype"/>
                <w:sz w:val="20"/>
                <w:szCs w:val="20"/>
                <w:lang w:val="en-GB"/>
              </w:rPr>
              <w:t xml:space="preserve"> p. 402</w:t>
            </w:r>
          </w:p>
          <w:p w:rsidR="00D41199" w:rsidRPr="00CB47C6" w:rsidRDefault="00D41199" w:rsidP="00D41199">
            <w:pPr>
              <w:spacing w:after="0"/>
              <w:rPr>
                <w:rFonts w:ascii="Palatino Linotype" w:hAnsi="Palatino Linotype"/>
                <w:sz w:val="20"/>
                <w:szCs w:val="20"/>
                <w:lang w:val="en-GB"/>
              </w:rPr>
            </w:pPr>
            <w:r w:rsidRPr="00CB47C6">
              <w:rPr>
                <w:rFonts w:ascii="Palatino Linotype" w:hAnsi="Palatino Linotype"/>
                <w:sz w:val="20"/>
                <w:szCs w:val="20"/>
                <w:lang w:val="en-GB"/>
              </w:rPr>
              <w:t xml:space="preserve">Green et al.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2011</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 Ch. 3 p. 20</w:t>
            </w:r>
            <w:r w:rsidR="00246934" w:rsidRPr="00CB47C6">
              <w:rPr>
                <w:rStyle w:val="Rimandonotaapidipagina"/>
                <w:rFonts w:ascii="Palatino Linotype" w:hAnsi="Palatino Linotype"/>
                <w:sz w:val="20"/>
                <w:szCs w:val="20"/>
                <w:lang w:val="en-GB"/>
              </w:rPr>
              <w:footnoteReference w:id="16"/>
            </w:r>
          </w:p>
          <w:p w:rsidR="006F2087" w:rsidRPr="00CB47C6" w:rsidRDefault="006F2087" w:rsidP="00D41199">
            <w:pPr>
              <w:spacing w:after="0"/>
              <w:rPr>
                <w:rFonts w:ascii="Palatino Linotype" w:hAnsi="Palatino Linotype"/>
                <w:sz w:val="20"/>
                <w:szCs w:val="20"/>
                <w:lang w:val="en-GB"/>
              </w:rPr>
            </w:pPr>
            <w:r w:rsidRPr="00CB47C6">
              <w:rPr>
                <w:rFonts w:ascii="Palatino Linotype" w:hAnsi="Palatino Linotype"/>
                <w:sz w:val="20"/>
                <w:szCs w:val="20"/>
                <w:lang w:val="en-GB"/>
              </w:rPr>
              <w:t xml:space="preserve">DEFRA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2004</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 Ch. 2, p. 5</w:t>
            </w:r>
          </w:p>
          <w:p w:rsidR="00246A00" w:rsidRPr="00CB47C6" w:rsidRDefault="00246A00" w:rsidP="00D41199">
            <w:pPr>
              <w:spacing w:after="0"/>
              <w:rPr>
                <w:rFonts w:ascii="Palatino Linotype" w:hAnsi="Palatino Linotype"/>
                <w:sz w:val="20"/>
                <w:szCs w:val="20"/>
                <w:lang w:val="en-GB"/>
              </w:rPr>
            </w:pPr>
            <w:r w:rsidRPr="00CB47C6">
              <w:rPr>
                <w:rFonts w:ascii="Palatino Linotype" w:hAnsi="Palatino Linotype"/>
                <w:sz w:val="20"/>
                <w:szCs w:val="20"/>
                <w:lang w:val="en-GB"/>
              </w:rPr>
              <w:t>Meyer et al (2013)</w:t>
            </w:r>
            <w:r w:rsidR="00F42CA7" w:rsidRPr="00CB47C6">
              <w:rPr>
                <w:rFonts w:ascii="Palatino Linotype" w:hAnsi="Palatino Linotype"/>
                <w:sz w:val="20"/>
                <w:szCs w:val="20"/>
                <w:vertAlign w:val="superscript"/>
                <w:lang w:val="en-GB"/>
              </w:rPr>
              <w:t>5</w:t>
            </w:r>
          </w:p>
        </w:tc>
        <w:tc>
          <w:tcPr>
            <w:tcW w:w="3052" w:type="dxa"/>
            <w:tcBorders>
              <w:top w:val="single" w:sz="8" w:space="0" w:color="FFFFFF"/>
              <w:left w:val="single" w:sz="8" w:space="0" w:color="FFFFFF"/>
              <w:bottom w:val="single" w:sz="8" w:space="0" w:color="FFFFFF"/>
            </w:tcBorders>
            <w:shd w:val="clear" w:color="auto" w:fill="A7BFDE"/>
          </w:tcPr>
          <w:p w:rsidR="006463E5" w:rsidRPr="00CB47C6" w:rsidRDefault="006463E5" w:rsidP="008C3310">
            <w:pPr>
              <w:spacing w:after="0"/>
              <w:rPr>
                <w:rFonts w:ascii="Palatino Linotype" w:hAnsi="Palatino Linotype"/>
                <w:sz w:val="20"/>
                <w:szCs w:val="20"/>
                <w:lang w:val="en-GB"/>
              </w:rPr>
            </w:pPr>
          </w:p>
        </w:tc>
      </w:tr>
    </w:tbl>
    <w:p w:rsidR="006463E5" w:rsidRPr="00CB47C6" w:rsidRDefault="006463E5" w:rsidP="00EB553E">
      <w:pPr>
        <w:spacing w:before="200" w:after="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A separate category of losses relates to recovery and risk mitigation costs. These are associated with planning (e.g., developing appropriate processes including key stakeholders), risk prevention and preparedness, recovery (e.g., emergency disaster responses, rehabilitation, and reconstruction), and implementation of risk mitigation measures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"IPCC", "given" : "", "non-dropping-particle" : "", "parse-names" : false, "suffix" : "" } ], "id" : "ITEM-1", "issued" : { "date-parts" : [ [ "2012" ] ] }, "publisher" : "Intergovernmental Panel on Climate Change", "title" : "Managing the Risks of Extreme Events and Disasters to Advance Climate Change Adaptation. A Special Report of Working Groups I and II of the Intergovernmental Panel on Climate Change  [Field, C.B., V. Barros, T.F. Stocker, D. Qin, D.J. Dokken, K.L. Ebi, M.", "type" : "report" }, "uris" : [ "http://www.mendeley.com/documents/?uuid=c71e0cd0-7086-4777-92bc-c46fd3531d60" ] } ], "mendeley" : { "previouslyFormattedCitation" : "(IPCC 2012a)"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(IPCC 2012a)</w:t>
      </w:r>
      <w:r w:rsidRPr="00CB47C6">
        <w:rPr>
          <w:rFonts w:ascii="Palatino Linotype" w:hAnsi="Palatino Linotype"/>
          <w:sz w:val="24"/>
          <w:szCs w:val="24"/>
          <w:lang w:val="en-GB"/>
        </w:rPr>
        <w:fldChar w:fldCharType="end"/>
      </w:r>
      <w:r w:rsidR="00131ADF" w:rsidRPr="00CB47C6">
        <w:rPr>
          <w:rStyle w:val="Rimandonotaapidipagina"/>
          <w:rFonts w:ascii="Palatino Linotype" w:hAnsi="Palatino Linotype"/>
          <w:sz w:val="24"/>
          <w:szCs w:val="24"/>
          <w:lang w:val="en-GB"/>
        </w:rPr>
        <w:footnoteReference w:id="17"/>
      </w:r>
      <w:r w:rsidRPr="00CB47C6">
        <w:rPr>
          <w:rFonts w:ascii="Palatino Linotype" w:hAnsi="Palatino Linotype"/>
          <w:sz w:val="24"/>
          <w:szCs w:val="24"/>
          <w:lang w:val="en-GB"/>
        </w:rPr>
        <w:t xml:space="preserve">. </w:t>
      </w:r>
      <w:r w:rsidR="006E07DB" w:rsidRPr="00CB47C6">
        <w:rPr>
          <w:rFonts w:ascii="Palatino Linotype" w:hAnsi="Palatino Linotype"/>
          <w:sz w:val="24"/>
          <w:szCs w:val="24"/>
          <w:lang w:val="en-GB"/>
        </w:rPr>
        <w:t xml:space="preserve">Risk mitigation </w:t>
      </w:r>
      <w:r w:rsidR="00246A00" w:rsidRPr="00CB47C6">
        <w:rPr>
          <w:rFonts w:ascii="Palatino Linotype" w:hAnsi="Palatino Linotype"/>
          <w:sz w:val="24"/>
          <w:szCs w:val="24"/>
          <w:lang w:val="en-GB"/>
        </w:rPr>
        <w:t>costs are characterized by the benefits generated in terms of avoided losses.</w:t>
      </w:r>
    </w:p>
    <w:p w:rsidR="00935192" w:rsidRPr="00CB47C6" w:rsidRDefault="00935192" w:rsidP="00EB553E">
      <w:pPr>
        <w:spacing w:before="200" w:after="0" w:line="240" w:lineRule="auto"/>
        <w:jc w:val="both"/>
        <w:rPr>
          <w:rFonts w:ascii="Palatino Linotype" w:hAnsi="Palatino Linotype"/>
          <w:sz w:val="24"/>
          <w:szCs w:val="24"/>
          <w:lang w:val="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66"/>
        <w:gridCol w:w="4236"/>
        <w:gridCol w:w="3052"/>
      </w:tblGrid>
      <w:tr w:rsidR="006463E5" w:rsidRPr="00CB47C6" w:rsidTr="008C3310">
        <w:tc>
          <w:tcPr>
            <w:tcW w:w="2566" w:type="dxa"/>
            <w:tcBorders>
              <w:top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Further reading</w:t>
            </w:r>
          </w:p>
        </w:tc>
        <w:tc>
          <w:tcPr>
            <w:tcW w:w="4236" w:type="dxa"/>
            <w:tcBorders>
              <w:top w:val="single" w:sz="8" w:space="0" w:color="FFFFFF"/>
              <w:left w:val="single" w:sz="8" w:space="0" w:color="FFFFFF"/>
              <w:bottom w:val="single" w:sz="24" w:space="0" w:color="FFFFFF"/>
              <w:right w:val="single" w:sz="8"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Where in the Guidance documents </w:t>
            </w:r>
          </w:p>
        </w:tc>
        <w:tc>
          <w:tcPr>
            <w:tcW w:w="3052" w:type="dxa"/>
            <w:tcBorders>
              <w:top w:val="single" w:sz="8" w:space="0" w:color="FFFFFF"/>
              <w:left w:val="single" w:sz="8" w:space="0" w:color="FFFFFF"/>
              <w:bottom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Note</w:t>
            </w:r>
          </w:p>
        </w:tc>
      </w:tr>
      <w:tr w:rsidR="006463E5" w:rsidRPr="00CB47C6" w:rsidTr="008C3310">
        <w:tc>
          <w:tcPr>
            <w:tcW w:w="2566" w:type="dxa"/>
            <w:tcBorders>
              <w:top w:val="single" w:sz="8" w:space="0" w:color="FFFFFF"/>
              <w:bottom w:val="single" w:sz="8" w:space="0" w:color="FFFFFF"/>
              <w:right w:val="single" w:sz="24" w:space="0" w:color="FFFFFF"/>
            </w:tcBorders>
            <w:shd w:val="clear" w:color="auto" w:fill="4F81BD"/>
          </w:tcPr>
          <w:p w:rsidR="006463E5" w:rsidRPr="00CB47C6" w:rsidRDefault="006463E5"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Types of impacts</w:t>
            </w:r>
          </w:p>
        </w:tc>
        <w:tc>
          <w:tcPr>
            <w:tcW w:w="4236" w:type="dxa"/>
            <w:tcBorders>
              <w:top w:val="single" w:sz="8" w:space="0" w:color="FFFFFF"/>
              <w:left w:val="single" w:sz="8" w:space="0" w:color="FFFFFF"/>
              <w:bottom w:val="single" w:sz="8" w:space="0" w:color="FFFFFF"/>
              <w:right w:val="single" w:sz="8" w:space="0" w:color="FFFFFF"/>
            </w:tcBorders>
            <w:shd w:val="clear" w:color="auto" w:fill="A7BFDE"/>
          </w:tcPr>
          <w:p w:rsidR="006463E5" w:rsidRPr="00CB47C6" w:rsidRDefault="006463E5" w:rsidP="00CA399A">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Messner</w:t>
            </w:r>
            <w:proofErr w:type="spellEnd"/>
            <w:r w:rsidRPr="00CB47C6">
              <w:rPr>
                <w:rFonts w:ascii="Palatino Linotype" w:hAnsi="Palatino Linotype"/>
                <w:sz w:val="20"/>
                <w:szCs w:val="20"/>
                <w:lang w:val="en-GB"/>
              </w:rPr>
              <w:t xml:space="preserve"> et al, F. (2007)</w:t>
            </w:r>
            <w:r w:rsidR="000C42B6" w:rsidRPr="00CB47C6">
              <w:rPr>
                <w:rStyle w:val="Rimandonotaapidipagina"/>
                <w:rFonts w:ascii="Palatino Linotype" w:hAnsi="Palatino Linotype"/>
                <w:sz w:val="20"/>
                <w:szCs w:val="20"/>
                <w:lang w:val="en-GB"/>
              </w:rPr>
              <w:footnoteReference w:id="18"/>
            </w:r>
            <w:r w:rsidRPr="00CB47C6">
              <w:rPr>
                <w:rFonts w:ascii="Palatino Linotype" w:hAnsi="Palatino Linotype"/>
                <w:sz w:val="20"/>
                <w:szCs w:val="20"/>
                <w:lang w:val="en-GB"/>
              </w:rPr>
              <w:t xml:space="preserve"> – </w:t>
            </w:r>
            <w:r w:rsidR="005E553E" w:rsidRPr="00CB47C6">
              <w:rPr>
                <w:rFonts w:ascii="Palatino Linotype" w:hAnsi="Palatino Linotype"/>
                <w:sz w:val="20"/>
                <w:szCs w:val="20"/>
                <w:lang w:val="en-GB"/>
              </w:rPr>
              <w:t xml:space="preserve">Ch. </w:t>
            </w:r>
            <w:r w:rsidRPr="00CB47C6">
              <w:rPr>
                <w:rFonts w:ascii="Palatino Linotype" w:hAnsi="Palatino Linotype"/>
                <w:sz w:val="20"/>
                <w:szCs w:val="20"/>
                <w:lang w:val="en-GB"/>
              </w:rPr>
              <w:t xml:space="preserve">2 </w:t>
            </w:r>
            <w:r w:rsidR="005E553E" w:rsidRPr="00CB47C6">
              <w:rPr>
                <w:rFonts w:ascii="Palatino Linotype" w:hAnsi="Palatino Linotype"/>
                <w:sz w:val="20"/>
                <w:szCs w:val="20"/>
                <w:lang w:val="en-GB"/>
              </w:rPr>
              <w:t xml:space="preserve">p. </w:t>
            </w:r>
            <w:r w:rsidRPr="00CB47C6">
              <w:rPr>
                <w:rFonts w:ascii="Palatino Linotype" w:hAnsi="Palatino Linotype"/>
                <w:sz w:val="20"/>
                <w:szCs w:val="20"/>
                <w:lang w:val="en-GB"/>
              </w:rPr>
              <w:t>9 – 10</w:t>
            </w:r>
          </w:p>
          <w:p w:rsidR="00356716" w:rsidRPr="00CB47C6" w:rsidRDefault="00356716" w:rsidP="00CA399A">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Bouwer</w:t>
            </w:r>
            <w:proofErr w:type="spellEnd"/>
            <w:r w:rsidRPr="00CB47C6">
              <w:rPr>
                <w:rFonts w:ascii="Palatino Linotype" w:hAnsi="Palatino Linotype"/>
                <w:sz w:val="20"/>
                <w:szCs w:val="20"/>
                <w:lang w:val="en-GB"/>
              </w:rPr>
              <w:t xml:space="preserve"> et al. </w:t>
            </w:r>
            <w:r w:rsidR="005E553E" w:rsidRPr="00CB47C6">
              <w:rPr>
                <w:rFonts w:ascii="Palatino Linotype" w:hAnsi="Palatino Linotype"/>
                <w:sz w:val="20"/>
                <w:szCs w:val="20"/>
                <w:lang w:val="en-GB"/>
              </w:rPr>
              <w:t>(</w:t>
            </w:r>
            <w:r w:rsidRPr="00CB47C6">
              <w:rPr>
                <w:rFonts w:ascii="Palatino Linotype" w:hAnsi="Palatino Linotype"/>
                <w:sz w:val="20"/>
                <w:szCs w:val="20"/>
                <w:lang w:val="en-GB"/>
              </w:rPr>
              <w:t>2011</w:t>
            </w:r>
            <w:r w:rsidR="005E553E" w:rsidRPr="00CB47C6">
              <w:rPr>
                <w:rFonts w:ascii="Palatino Linotype" w:hAnsi="Palatino Linotype"/>
                <w:sz w:val="20"/>
                <w:szCs w:val="20"/>
                <w:lang w:val="en-GB"/>
              </w:rPr>
              <w:t>)</w:t>
            </w:r>
          </w:p>
        </w:tc>
        <w:tc>
          <w:tcPr>
            <w:tcW w:w="3052" w:type="dxa"/>
            <w:tcBorders>
              <w:top w:val="single" w:sz="8" w:space="0" w:color="FFFFFF"/>
              <w:left w:val="single" w:sz="8" w:space="0" w:color="FFFFFF"/>
              <w:bottom w:val="single" w:sz="8" w:space="0" w:color="FFFFFF"/>
            </w:tcBorders>
            <w:shd w:val="clear" w:color="auto" w:fill="A7BFDE"/>
          </w:tcPr>
          <w:p w:rsidR="006463E5" w:rsidRPr="00CB47C6" w:rsidRDefault="006463E5" w:rsidP="008C3310">
            <w:pPr>
              <w:spacing w:after="0"/>
              <w:rPr>
                <w:rFonts w:ascii="Palatino Linotype" w:hAnsi="Palatino Linotype"/>
                <w:sz w:val="20"/>
                <w:szCs w:val="20"/>
                <w:lang w:val="en-GB"/>
              </w:rPr>
            </w:pPr>
          </w:p>
        </w:tc>
      </w:tr>
    </w:tbl>
    <w:p w:rsidR="00386A07" w:rsidRPr="00CB47C6" w:rsidRDefault="00386A07" w:rsidP="006A66F4">
      <w:pPr>
        <w:spacing w:after="0" w:line="240" w:lineRule="auto"/>
        <w:rPr>
          <w:rFonts w:ascii="Palatino Linotype" w:hAnsi="Palatino Linotype"/>
          <w:sz w:val="32"/>
          <w:szCs w:val="32"/>
          <w:lang w:val="en-GB"/>
        </w:rPr>
      </w:pPr>
    </w:p>
    <w:p w:rsidR="006463E5" w:rsidRPr="00CB47C6" w:rsidRDefault="006463E5" w:rsidP="006A66F4">
      <w:pPr>
        <w:spacing w:after="0" w:line="240" w:lineRule="auto"/>
        <w:rPr>
          <w:rFonts w:ascii="Palatino Linotype" w:hAnsi="Palatino Linotype"/>
          <w:b/>
          <w:sz w:val="32"/>
          <w:szCs w:val="32"/>
          <w:lang w:val="en-GB"/>
        </w:rPr>
      </w:pPr>
      <w:r w:rsidRPr="00CB47C6">
        <w:rPr>
          <w:rFonts w:ascii="Palatino Linotype" w:hAnsi="Palatino Linotype"/>
          <w:sz w:val="32"/>
          <w:szCs w:val="32"/>
          <w:lang w:val="en-GB"/>
        </w:rPr>
        <w:t>[Page]</w:t>
      </w:r>
      <w:r w:rsidRPr="00CB47C6">
        <w:rPr>
          <w:rFonts w:ascii="Palatino Linotype" w:hAnsi="Palatino Linotype"/>
          <w:b/>
          <w:sz w:val="32"/>
          <w:szCs w:val="32"/>
          <w:lang w:val="en-GB"/>
        </w:rPr>
        <w:t xml:space="preserve"> Methodologies for estimating the costs of natural hazards</w:t>
      </w:r>
    </w:p>
    <w:p w:rsidR="006463E5" w:rsidRPr="00CB47C6" w:rsidRDefault="006463E5" w:rsidP="006A66F4">
      <w:p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 xml:space="preserve">There is wide range of assessment techniques available for assessing the effects of natural hazards. Depending on the available data and the scope of the assessment, the different assessment techniques may yield partly diverging results. It is important therefore to </w:t>
      </w:r>
      <w:r w:rsidRPr="00CB47C6">
        <w:rPr>
          <w:rFonts w:ascii="Palatino Linotype" w:hAnsi="Palatino Linotype"/>
          <w:sz w:val="24"/>
          <w:szCs w:val="24"/>
          <w:lang w:val="en-GB"/>
        </w:rPr>
        <w:lastRenderedPageBreak/>
        <w:t xml:space="preserve">understand the strengths and limitation of the existing techniques and chose those which are best suited for the intended purpose. </w:t>
      </w:r>
    </w:p>
    <w:p w:rsidR="00034411" w:rsidRPr="00CB47C6" w:rsidRDefault="00B40C1A" w:rsidP="006A66F4">
      <w:p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The methodologies under consideration have been described in the table below. For each of the methodologies an assessment of the main characteristics has been provided. The characteristics taken into consideration are: background knowledge requirement</w:t>
      </w:r>
      <w:r w:rsidR="003B575B" w:rsidRPr="00CB47C6">
        <w:rPr>
          <w:rFonts w:ascii="Palatino Linotype" w:hAnsi="Palatino Linotype"/>
          <w:sz w:val="24"/>
          <w:szCs w:val="24"/>
          <w:lang w:val="en-GB"/>
        </w:rPr>
        <w:t xml:space="preserve"> for the application of the specific methodology;</w:t>
      </w:r>
      <w:r w:rsidRPr="00CB47C6">
        <w:rPr>
          <w:rFonts w:ascii="Palatino Linotype" w:hAnsi="Palatino Linotype"/>
          <w:sz w:val="24"/>
          <w:szCs w:val="24"/>
          <w:lang w:val="en-GB"/>
        </w:rPr>
        <w:t xml:space="preserve"> complexity of the methodological tools; and extent of data requirements or availability. </w:t>
      </w:r>
      <w:r w:rsidR="003B575B" w:rsidRPr="00CB47C6">
        <w:rPr>
          <w:rFonts w:ascii="Palatino Linotype" w:hAnsi="Palatino Linotype"/>
          <w:sz w:val="24"/>
          <w:szCs w:val="24"/>
          <w:lang w:val="en-GB"/>
        </w:rPr>
        <w:t xml:space="preserve">The assessment results have been expressed through a “traffic light” representation where: red corresponds to the maximum, yellow to the medium and green for the lower level. </w:t>
      </w:r>
    </w:p>
    <w:p w:rsidR="00386A07" w:rsidRPr="00CB47C6" w:rsidRDefault="00386A07" w:rsidP="006A66F4">
      <w:pPr>
        <w:spacing w:before="200" w:line="240" w:lineRule="auto"/>
        <w:jc w:val="both"/>
        <w:rPr>
          <w:rFonts w:ascii="Palatino Linotype" w:hAnsi="Palatino Linotype"/>
          <w:sz w:val="24"/>
          <w:szCs w:val="24"/>
          <w:lang w:val="en-GB"/>
        </w:rPr>
      </w:pPr>
    </w:p>
    <w:tbl>
      <w:tblPr>
        <w:tblW w:w="9570" w:type="dxa"/>
        <w:jc w:val="center"/>
        <w:tblInd w:w="284" w:type="dxa"/>
        <w:tblBorders>
          <w:insideH w:val="dashSmallGap" w:sz="6" w:space="0" w:color="auto"/>
          <w:insideV w:val="dashSmallGap" w:sz="6" w:space="0" w:color="auto"/>
        </w:tblBorders>
        <w:tblLook w:val="00A0" w:firstRow="1" w:lastRow="0" w:firstColumn="1" w:lastColumn="0" w:noHBand="0" w:noVBand="0"/>
      </w:tblPr>
      <w:tblGrid>
        <w:gridCol w:w="4797"/>
        <w:gridCol w:w="2428"/>
        <w:gridCol w:w="2345"/>
      </w:tblGrid>
      <w:tr w:rsidR="00386A07" w:rsidRPr="00CB47C6" w:rsidTr="00386A07">
        <w:trPr>
          <w:trHeight w:val="553"/>
          <w:jc w:val="center"/>
        </w:trPr>
        <w:tc>
          <w:tcPr>
            <w:tcW w:w="4797" w:type="dxa"/>
            <w:tcBorders>
              <w:top w:val="nil"/>
              <w:bottom w:val="dashSmallGap" w:sz="6" w:space="0" w:color="auto"/>
              <w:right w:val="dashSmallGap" w:sz="6" w:space="0" w:color="auto"/>
            </w:tcBorders>
            <w:shd w:val="clear" w:color="auto" w:fill="auto"/>
          </w:tcPr>
          <w:p w:rsidR="00386A07" w:rsidRPr="00CB47C6" w:rsidRDefault="00386A07" w:rsidP="00386A07">
            <w:pPr>
              <w:spacing w:after="0" w:line="240" w:lineRule="auto"/>
              <w:jc w:val="center"/>
              <w:rPr>
                <w:rFonts w:ascii="Palatino Linotype" w:hAnsi="Palatino Linotype"/>
                <w:sz w:val="20"/>
                <w:szCs w:val="20"/>
                <w:lang w:val="en-GB"/>
              </w:rPr>
            </w:pPr>
            <w:r w:rsidRPr="00CB47C6">
              <w:rPr>
                <w:rFonts w:ascii="Palatino Linotype" w:hAnsi="Palatino Linotype"/>
                <w:sz w:val="20"/>
                <w:szCs w:val="20"/>
                <w:lang w:val="en-GB"/>
              </w:rPr>
              <w:t>Methodology’s characteristics</w:t>
            </w:r>
          </w:p>
        </w:tc>
        <w:tc>
          <w:tcPr>
            <w:tcW w:w="4773" w:type="dxa"/>
            <w:gridSpan w:val="2"/>
            <w:tcBorders>
              <w:top w:val="nil"/>
              <w:left w:val="dashSmallGap" w:sz="6" w:space="0" w:color="auto"/>
              <w:bottom w:val="dashSmallGap" w:sz="6" w:space="0" w:color="auto"/>
              <w:right w:val="dashSmallGap" w:sz="6" w:space="0" w:color="auto"/>
            </w:tcBorders>
            <w:shd w:val="clear" w:color="auto" w:fill="auto"/>
          </w:tcPr>
          <w:p w:rsidR="00386A07" w:rsidRPr="00CB47C6" w:rsidRDefault="00386A07" w:rsidP="00386A07">
            <w:pPr>
              <w:spacing w:after="0" w:line="240" w:lineRule="auto"/>
              <w:jc w:val="center"/>
              <w:rPr>
                <w:rFonts w:ascii="Palatino Linotype" w:hAnsi="Palatino Linotype"/>
                <w:sz w:val="20"/>
                <w:szCs w:val="20"/>
                <w:lang w:val="en-GB"/>
              </w:rPr>
            </w:pPr>
            <w:r w:rsidRPr="00CB47C6">
              <w:rPr>
                <w:rFonts w:ascii="Palatino Linotype" w:hAnsi="Palatino Linotype"/>
                <w:sz w:val="20"/>
                <w:szCs w:val="20"/>
                <w:lang w:val="en-GB"/>
              </w:rPr>
              <w:t>Degree</w:t>
            </w:r>
          </w:p>
        </w:tc>
      </w:tr>
      <w:tr w:rsidR="00386A07" w:rsidRPr="00CB47C6" w:rsidTr="00386A07">
        <w:trPr>
          <w:trHeight w:val="553"/>
          <w:jc w:val="center"/>
        </w:trPr>
        <w:tc>
          <w:tcPr>
            <w:tcW w:w="4797" w:type="dxa"/>
            <w:tcBorders>
              <w:top w:val="nil"/>
              <w:bottom w:val="dashSmallGap" w:sz="6" w:space="0" w:color="auto"/>
              <w:right w:val="dashSmallGap" w:sz="6" w:space="0" w:color="auto"/>
            </w:tcBorders>
            <w:shd w:val="clear" w:color="auto" w:fill="auto"/>
          </w:tcPr>
          <w:p w:rsidR="00386A07" w:rsidRPr="00CB47C6" w:rsidRDefault="00386A07" w:rsidP="00386A07">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 requirement</w:t>
            </w:r>
          </w:p>
        </w:tc>
        <w:tc>
          <w:tcPr>
            <w:tcW w:w="2428" w:type="dxa"/>
            <w:tcBorders>
              <w:top w:val="nil"/>
              <w:left w:val="dashSmallGap" w:sz="6" w:space="0" w:color="auto"/>
              <w:bottom w:val="dashSmallGap" w:sz="6" w:space="0" w:color="auto"/>
              <w:right w:val="dashSmallGap" w:sz="6" w:space="0" w:color="auto"/>
            </w:tcBorders>
            <w:shd w:val="clear" w:color="auto" w:fill="auto"/>
          </w:tcPr>
          <w:p w:rsidR="00386A07" w:rsidRPr="00CB47C6" w:rsidRDefault="00386A07" w:rsidP="00386A07">
            <w:pPr>
              <w:spacing w:after="0" w:line="240" w:lineRule="auto"/>
              <w:jc w:val="center"/>
              <w:rPr>
                <w:rFonts w:ascii="Palatino Linotype" w:hAnsi="Palatino Linotype"/>
                <w:sz w:val="20"/>
                <w:szCs w:val="20"/>
                <w:lang w:val="en-GB"/>
              </w:rPr>
            </w:pPr>
            <w:r w:rsidRPr="00CB47C6">
              <w:rPr>
                <w:rFonts w:ascii="Palatino Linotype" w:hAnsi="Palatino Linotype"/>
                <w:sz w:val="20"/>
                <w:szCs w:val="20"/>
                <w:lang w:val="en-GB" w:eastAsia="en-GB"/>
              </w:rPr>
              <w:drawing>
                <wp:inline distT="0" distB="0" distL="0" distR="0" wp14:anchorId="302703A7" wp14:editId="63C3DC02">
                  <wp:extent cx="826770" cy="27813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826770" cy="278130"/>
                          </a:xfrm>
                          <a:prstGeom prst="rect">
                            <a:avLst/>
                          </a:prstGeom>
                          <a:noFill/>
                          <a:ln>
                            <a:noFill/>
                          </a:ln>
                        </pic:spPr>
                      </pic:pic>
                    </a:graphicData>
                  </a:graphic>
                </wp:inline>
              </w:drawing>
            </w:r>
          </w:p>
        </w:tc>
        <w:tc>
          <w:tcPr>
            <w:tcW w:w="2345" w:type="dxa"/>
            <w:tcBorders>
              <w:top w:val="nil"/>
              <w:left w:val="dashSmallGap" w:sz="6" w:space="0" w:color="auto"/>
              <w:bottom w:val="dashSmallGap" w:sz="6" w:space="0" w:color="auto"/>
              <w:right w:val="dashSmallGap" w:sz="6" w:space="0" w:color="auto"/>
            </w:tcBorders>
          </w:tcPr>
          <w:p w:rsidR="00386A07" w:rsidRPr="00CB47C6" w:rsidRDefault="00386A07" w:rsidP="00386A07">
            <w:pPr>
              <w:spacing w:after="0" w:line="240" w:lineRule="auto"/>
              <w:jc w:val="center"/>
              <w:rPr>
                <w:rFonts w:ascii="Palatino Linotype" w:hAnsi="Palatino Linotype"/>
                <w:sz w:val="20"/>
                <w:szCs w:val="20"/>
                <w:lang w:val="en-GB"/>
              </w:rPr>
            </w:pPr>
            <w:r w:rsidRPr="00CB47C6">
              <w:rPr>
                <w:rFonts w:ascii="Palatino Linotype" w:hAnsi="Palatino Linotype"/>
                <w:sz w:val="20"/>
                <w:szCs w:val="20"/>
                <w:lang w:val="en-GB"/>
              </w:rPr>
              <w:t>Low</w:t>
            </w:r>
          </w:p>
        </w:tc>
      </w:tr>
      <w:tr w:rsidR="00386A07" w:rsidRPr="00CB47C6" w:rsidTr="00386A07">
        <w:trPr>
          <w:trHeight w:val="577"/>
          <w:jc w:val="center"/>
        </w:trPr>
        <w:tc>
          <w:tcPr>
            <w:tcW w:w="4797" w:type="dxa"/>
            <w:tcBorders>
              <w:top w:val="dashSmallGap" w:sz="6" w:space="0" w:color="auto"/>
              <w:bottom w:val="dashSmallGap" w:sz="6" w:space="0" w:color="auto"/>
              <w:right w:val="dashSmallGap" w:sz="6" w:space="0" w:color="auto"/>
            </w:tcBorders>
            <w:shd w:val="clear" w:color="auto" w:fill="auto"/>
          </w:tcPr>
          <w:p w:rsidR="00386A07" w:rsidRPr="00CB47C6" w:rsidRDefault="00386A07" w:rsidP="00386A07">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 of the methodological tool</w:t>
            </w:r>
          </w:p>
        </w:tc>
        <w:tc>
          <w:tcPr>
            <w:tcW w:w="2428" w:type="dxa"/>
            <w:tcBorders>
              <w:top w:val="dashSmallGap" w:sz="6" w:space="0" w:color="auto"/>
              <w:left w:val="dashSmallGap" w:sz="6" w:space="0" w:color="auto"/>
              <w:bottom w:val="dashSmallGap" w:sz="6" w:space="0" w:color="auto"/>
              <w:right w:val="dashSmallGap" w:sz="6" w:space="0" w:color="auto"/>
            </w:tcBorders>
            <w:shd w:val="clear" w:color="auto" w:fill="auto"/>
          </w:tcPr>
          <w:p w:rsidR="00386A07" w:rsidRPr="00CB47C6" w:rsidRDefault="00386A07" w:rsidP="00386A07">
            <w:pPr>
              <w:spacing w:after="0" w:line="240" w:lineRule="auto"/>
              <w:jc w:val="center"/>
              <w:rPr>
                <w:rFonts w:ascii="Palatino Linotype" w:hAnsi="Palatino Linotype"/>
                <w:sz w:val="20"/>
                <w:szCs w:val="20"/>
                <w:lang w:val="en-GB"/>
              </w:rPr>
            </w:pPr>
            <w:r w:rsidRPr="00CB47C6">
              <w:rPr>
                <w:rFonts w:ascii="Palatino Linotype" w:hAnsi="Palatino Linotype"/>
                <w:sz w:val="20"/>
                <w:szCs w:val="20"/>
                <w:lang w:val="en-GB" w:eastAsia="en-GB"/>
              </w:rPr>
              <w:drawing>
                <wp:inline distT="0" distB="0" distL="0" distR="0" wp14:anchorId="6BDC175C" wp14:editId="75790E11">
                  <wp:extent cx="826770" cy="278130"/>
                  <wp:effectExtent l="0" t="0" r="0" b="7620"/>
                  <wp:docPr id="4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c>
          <w:tcPr>
            <w:tcW w:w="2345" w:type="dxa"/>
            <w:tcBorders>
              <w:top w:val="dashSmallGap" w:sz="6" w:space="0" w:color="auto"/>
              <w:left w:val="dashSmallGap" w:sz="6" w:space="0" w:color="auto"/>
              <w:bottom w:val="dashSmallGap" w:sz="6" w:space="0" w:color="auto"/>
              <w:right w:val="dashSmallGap" w:sz="6" w:space="0" w:color="auto"/>
            </w:tcBorders>
          </w:tcPr>
          <w:p w:rsidR="00386A07" w:rsidRPr="00CB47C6" w:rsidRDefault="00386A07" w:rsidP="00386A07">
            <w:pPr>
              <w:spacing w:after="0" w:line="240" w:lineRule="auto"/>
              <w:jc w:val="center"/>
              <w:rPr>
                <w:rFonts w:ascii="Palatino Linotype" w:hAnsi="Palatino Linotype"/>
                <w:sz w:val="20"/>
                <w:szCs w:val="20"/>
                <w:lang w:val="en-GB"/>
              </w:rPr>
            </w:pPr>
            <w:r w:rsidRPr="00CB47C6">
              <w:rPr>
                <w:rFonts w:ascii="Palatino Linotype" w:hAnsi="Palatino Linotype"/>
                <w:sz w:val="20"/>
                <w:szCs w:val="20"/>
                <w:lang w:val="en-GB"/>
              </w:rPr>
              <w:t>Medium</w:t>
            </w:r>
          </w:p>
        </w:tc>
      </w:tr>
      <w:tr w:rsidR="00386A07" w:rsidRPr="00CB47C6" w:rsidTr="00386A07">
        <w:trPr>
          <w:trHeight w:val="564"/>
          <w:jc w:val="center"/>
        </w:trPr>
        <w:tc>
          <w:tcPr>
            <w:tcW w:w="4797" w:type="dxa"/>
            <w:tcBorders>
              <w:top w:val="dashSmallGap" w:sz="6" w:space="0" w:color="auto"/>
              <w:right w:val="dashSmallGap" w:sz="6" w:space="0" w:color="auto"/>
            </w:tcBorders>
            <w:shd w:val="clear" w:color="auto" w:fill="auto"/>
          </w:tcPr>
          <w:p w:rsidR="00386A07" w:rsidRPr="00CB47C6" w:rsidRDefault="00386A07" w:rsidP="00386A07">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Extent of data requirements or availability</w:t>
            </w:r>
          </w:p>
        </w:tc>
        <w:tc>
          <w:tcPr>
            <w:tcW w:w="2428" w:type="dxa"/>
            <w:tcBorders>
              <w:top w:val="dashSmallGap" w:sz="6" w:space="0" w:color="auto"/>
              <w:left w:val="dashSmallGap" w:sz="6" w:space="0" w:color="auto"/>
              <w:bottom w:val="nil"/>
              <w:right w:val="dashSmallGap" w:sz="6" w:space="0" w:color="auto"/>
            </w:tcBorders>
            <w:shd w:val="clear" w:color="auto" w:fill="auto"/>
          </w:tcPr>
          <w:p w:rsidR="00386A07" w:rsidRPr="00CB47C6" w:rsidRDefault="00386A07" w:rsidP="00386A07">
            <w:pPr>
              <w:spacing w:after="0" w:line="240" w:lineRule="auto"/>
              <w:jc w:val="center"/>
              <w:rPr>
                <w:rFonts w:ascii="Palatino Linotype" w:hAnsi="Palatino Linotype"/>
                <w:sz w:val="20"/>
                <w:szCs w:val="20"/>
                <w:lang w:val="en-GB"/>
              </w:rPr>
            </w:pPr>
            <w:r w:rsidRPr="00CB47C6">
              <w:rPr>
                <w:rFonts w:ascii="Palatino Linotype" w:hAnsi="Palatino Linotype"/>
                <w:sz w:val="20"/>
                <w:szCs w:val="20"/>
                <w:lang w:val="en-GB" w:eastAsia="en-GB"/>
              </w:rPr>
              <w:drawing>
                <wp:inline distT="0" distB="0" distL="0" distR="0" wp14:anchorId="401DA6E0" wp14:editId="4C97AD3A">
                  <wp:extent cx="835025" cy="302260"/>
                  <wp:effectExtent l="0" t="0" r="3175" b="2540"/>
                  <wp:docPr id="4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c>
          <w:tcPr>
            <w:tcW w:w="2345" w:type="dxa"/>
            <w:tcBorders>
              <w:top w:val="dashSmallGap" w:sz="6" w:space="0" w:color="auto"/>
              <w:left w:val="dashSmallGap" w:sz="6" w:space="0" w:color="auto"/>
              <w:bottom w:val="nil"/>
              <w:right w:val="dashSmallGap" w:sz="6" w:space="0" w:color="auto"/>
            </w:tcBorders>
          </w:tcPr>
          <w:p w:rsidR="00386A07" w:rsidRPr="00CB47C6" w:rsidRDefault="00386A07" w:rsidP="00386A07">
            <w:pPr>
              <w:spacing w:after="0" w:line="240" w:lineRule="auto"/>
              <w:jc w:val="center"/>
              <w:rPr>
                <w:rFonts w:ascii="Palatino Linotype" w:hAnsi="Palatino Linotype"/>
                <w:sz w:val="20"/>
                <w:szCs w:val="20"/>
                <w:lang w:val="en-GB"/>
              </w:rPr>
            </w:pPr>
            <w:r w:rsidRPr="00CB47C6">
              <w:rPr>
                <w:rFonts w:ascii="Palatino Linotype" w:hAnsi="Palatino Linotype"/>
                <w:sz w:val="20"/>
                <w:szCs w:val="20"/>
                <w:lang w:val="en-GB"/>
              </w:rPr>
              <w:t>High</w:t>
            </w:r>
          </w:p>
        </w:tc>
      </w:tr>
      <w:tr w:rsidR="00386A07" w:rsidRPr="00CB47C6" w:rsidTr="00386A07">
        <w:trPr>
          <w:trHeight w:val="564"/>
          <w:jc w:val="center"/>
        </w:trPr>
        <w:tc>
          <w:tcPr>
            <w:tcW w:w="4797" w:type="dxa"/>
            <w:tcBorders>
              <w:top w:val="dashSmallGap" w:sz="6" w:space="0" w:color="auto"/>
              <w:right w:val="dashSmallGap" w:sz="6" w:space="0" w:color="auto"/>
            </w:tcBorders>
            <w:shd w:val="clear" w:color="auto" w:fill="auto"/>
          </w:tcPr>
          <w:p w:rsidR="00386A07" w:rsidRPr="00CB47C6" w:rsidRDefault="00386A07" w:rsidP="00386A07">
            <w:pPr>
              <w:spacing w:after="0" w:line="240" w:lineRule="auto"/>
              <w:rPr>
                <w:rFonts w:ascii="Palatino Linotype" w:hAnsi="Palatino Linotype"/>
                <w:sz w:val="20"/>
                <w:szCs w:val="20"/>
                <w:lang w:val="en-GB"/>
              </w:rPr>
            </w:pPr>
          </w:p>
        </w:tc>
        <w:tc>
          <w:tcPr>
            <w:tcW w:w="2428" w:type="dxa"/>
            <w:tcBorders>
              <w:top w:val="dashSmallGap" w:sz="6" w:space="0" w:color="auto"/>
              <w:left w:val="dashSmallGap" w:sz="6" w:space="0" w:color="auto"/>
              <w:bottom w:val="nil"/>
              <w:right w:val="dashSmallGap" w:sz="6" w:space="0" w:color="auto"/>
            </w:tcBorders>
            <w:shd w:val="clear" w:color="auto" w:fill="auto"/>
          </w:tcPr>
          <w:p w:rsidR="00386A07" w:rsidRPr="00CB47C6" w:rsidRDefault="00386A07" w:rsidP="00386A07">
            <w:pPr>
              <w:spacing w:after="0" w:line="240" w:lineRule="auto"/>
              <w:jc w:val="center"/>
              <w:rPr>
                <w:rFonts w:ascii="Palatino Linotype" w:hAnsi="Palatino Linotype"/>
                <w:sz w:val="20"/>
                <w:szCs w:val="20"/>
                <w:lang w:val="en-GB" w:eastAsia="it-IT"/>
              </w:rPr>
            </w:pPr>
          </w:p>
        </w:tc>
        <w:tc>
          <w:tcPr>
            <w:tcW w:w="2345" w:type="dxa"/>
            <w:tcBorders>
              <w:top w:val="dashSmallGap" w:sz="6" w:space="0" w:color="auto"/>
              <w:left w:val="dashSmallGap" w:sz="6" w:space="0" w:color="auto"/>
              <w:bottom w:val="nil"/>
              <w:right w:val="dashSmallGap" w:sz="6" w:space="0" w:color="auto"/>
            </w:tcBorders>
          </w:tcPr>
          <w:p w:rsidR="00386A07" w:rsidRPr="00CB47C6" w:rsidRDefault="00386A07" w:rsidP="00386A07">
            <w:pPr>
              <w:spacing w:after="0" w:line="240" w:lineRule="auto"/>
              <w:jc w:val="center"/>
              <w:rPr>
                <w:rFonts w:ascii="Palatino Linotype" w:hAnsi="Palatino Linotype"/>
                <w:sz w:val="20"/>
                <w:szCs w:val="20"/>
                <w:lang w:val="en-GB"/>
              </w:rPr>
            </w:pPr>
          </w:p>
        </w:tc>
      </w:tr>
    </w:tbl>
    <w:p w:rsidR="007C0BE8" w:rsidRPr="00CB47C6" w:rsidRDefault="00386A07" w:rsidP="006A66F4">
      <w:pPr>
        <w:spacing w:before="200" w:line="240" w:lineRule="auto"/>
        <w:jc w:val="both"/>
        <w:rPr>
          <w:rFonts w:ascii="Palatino Linotype" w:hAnsi="Palatino Linotype"/>
          <w:sz w:val="24"/>
          <w:szCs w:val="24"/>
          <w:lang w:val="en-GB"/>
        </w:rPr>
      </w:pPr>
      <w:r w:rsidRPr="00CB47C6">
        <w:rPr>
          <w:rFonts w:ascii="Palatino Linotype" w:hAnsi="Palatino Linotype"/>
          <w:sz w:val="24"/>
          <w:szCs w:val="24"/>
          <w:lang w:val="en-GB"/>
        </w:rPr>
        <w:t>For instance, a methodology characterised by a low background knowledge requirement, a large complexity, and a high data requirement will be reported with a green light in the first row and two red lights in the second and third rows.</w:t>
      </w:r>
      <w:r w:rsidR="00542A52" w:rsidRPr="00CB47C6">
        <w:rPr>
          <w:rFonts w:ascii="Palatino Linotype" w:hAnsi="Palatino Linotype"/>
          <w:sz w:val="24"/>
          <w:szCs w:val="24"/>
          <w:lang w:val="en-GB"/>
        </w:rPr>
        <w:t xml:space="preserve"> A </w:t>
      </w:r>
      <w:r w:rsidR="008A0767" w:rsidRPr="00CB47C6">
        <w:rPr>
          <w:rFonts w:ascii="Palatino Linotype" w:hAnsi="Palatino Linotype"/>
          <w:sz w:val="24"/>
          <w:szCs w:val="24"/>
          <w:lang w:val="en-GB"/>
        </w:rPr>
        <w:t xml:space="preserve">“green light” methodology could be easier to be applied, but, in most cases, a methodology requiring </w:t>
      </w:r>
      <w:r w:rsidR="00817178" w:rsidRPr="00CB47C6">
        <w:rPr>
          <w:rFonts w:ascii="Palatino Linotype" w:hAnsi="Palatino Linotype"/>
          <w:sz w:val="24"/>
          <w:szCs w:val="24"/>
          <w:lang w:val="en-GB"/>
        </w:rPr>
        <w:t>deeper</w:t>
      </w:r>
      <w:r w:rsidR="008A0767" w:rsidRPr="00CB47C6">
        <w:rPr>
          <w:rFonts w:ascii="Palatino Linotype" w:hAnsi="Palatino Linotype"/>
          <w:sz w:val="24"/>
          <w:szCs w:val="24"/>
          <w:lang w:val="en-GB"/>
        </w:rPr>
        <w:t xml:space="preserve"> background knowledge and more data, and characterized by a larger complexity, could provide more accurate results.</w:t>
      </w:r>
    </w:p>
    <w:tbl>
      <w:tblPr>
        <w:tblW w:w="9704" w:type="dxa"/>
        <w:tblInd w:w="28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5B3D7" w:themeFill="accent1" w:themeFillTint="99"/>
        <w:tblCellMar>
          <w:left w:w="57" w:type="dxa"/>
          <w:right w:w="57" w:type="dxa"/>
        </w:tblCellMar>
        <w:tblLook w:val="00A0" w:firstRow="1" w:lastRow="0" w:firstColumn="1" w:lastColumn="0" w:noHBand="0" w:noVBand="0"/>
      </w:tblPr>
      <w:tblGrid>
        <w:gridCol w:w="2183"/>
        <w:gridCol w:w="2268"/>
        <w:gridCol w:w="1985"/>
        <w:gridCol w:w="3268"/>
      </w:tblGrid>
      <w:tr w:rsidR="0061085F" w:rsidRPr="00CB47C6" w:rsidTr="00CB47C6">
        <w:tc>
          <w:tcPr>
            <w:tcW w:w="2183" w:type="dxa"/>
            <w:tcBorders>
              <w:top w:val="single" w:sz="8" w:space="0" w:color="FFFFFF"/>
              <w:bottom w:val="single" w:sz="24" w:space="0" w:color="FFFFFF"/>
              <w:right w:val="single" w:sz="8" w:space="0" w:color="FFFFFF"/>
            </w:tcBorders>
            <w:shd w:val="clear" w:color="auto" w:fill="95B3D7" w:themeFill="accent1" w:themeFillTint="99"/>
          </w:tcPr>
          <w:p w:rsidR="00C268C8" w:rsidRPr="00CB47C6" w:rsidRDefault="00C268C8"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Methodology</w:t>
            </w:r>
          </w:p>
        </w:tc>
        <w:tc>
          <w:tcPr>
            <w:tcW w:w="2268" w:type="dxa"/>
            <w:tcBorders>
              <w:top w:val="single" w:sz="8" w:space="0" w:color="FFFFFF"/>
              <w:bottom w:val="single" w:sz="24" w:space="0" w:color="FFFFFF"/>
              <w:right w:val="single" w:sz="8" w:space="0" w:color="FFFFFF"/>
            </w:tcBorders>
            <w:shd w:val="clear" w:color="auto" w:fill="95B3D7" w:themeFill="accent1" w:themeFillTint="99"/>
          </w:tcPr>
          <w:p w:rsidR="00C268C8" w:rsidRPr="00CB47C6" w:rsidRDefault="00C268C8" w:rsidP="00121B51">
            <w:pPr>
              <w:spacing w:after="0"/>
              <w:jc w:val="both"/>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Description</w:t>
            </w:r>
          </w:p>
        </w:tc>
        <w:tc>
          <w:tcPr>
            <w:tcW w:w="1985"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Pr>
          <w:p w:rsidR="00C268C8" w:rsidRPr="00CB47C6" w:rsidRDefault="00C268C8"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Where in the Guidance documents </w:t>
            </w:r>
          </w:p>
        </w:tc>
        <w:tc>
          <w:tcPr>
            <w:tcW w:w="3268" w:type="dxa"/>
            <w:tcBorders>
              <w:top w:val="single" w:sz="8" w:space="0" w:color="FFFFFF"/>
              <w:left w:val="single" w:sz="8" w:space="0" w:color="FFFFFF"/>
              <w:bottom w:val="single" w:sz="24" w:space="0" w:color="FFFFFF"/>
            </w:tcBorders>
            <w:shd w:val="clear" w:color="auto" w:fill="95B3D7" w:themeFill="accent1" w:themeFillTint="99"/>
          </w:tcPr>
          <w:p w:rsidR="00C268C8" w:rsidRPr="00CB47C6" w:rsidRDefault="00C268C8"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Note</w:t>
            </w:r>
          </w:p>
        </w:tc>
      </w:tr>
      <w:tr w:rsidR="0061085F" w:rsidRPr="00CB47C6" w:rsidTr="00CB47C6">
        <w:tc>
          <w:tcPr>
            <w:tcW w:w="2183" w:type="dxa"/>
            <w:tcBorders>
              <w:top w:val="single" w:sz="8" w:space="0" w:color="FFFFFF"/>
              <w:right w:val="single" w:sz="24" w:space="0" w:color="FFFFFF"/>
            </w:tcBorders>
            <w:shd w:val="clear" w:color="auto" w:fill="95B3D7" w:themeFill="accent1" w:themeFillTint="99"/>
          </w:tcPr>
          <w:p w:rsidR="00C268C8" w:rsidRPr="00CB47C6" w:rsidRDefault="00C268C8"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Reduced-form impacts attribution statistical model</w:t>
            </w:r>
          </w:p>
        </w:tc>
        <w:tc>
          <w:tcPr>
            <w:tcW w:w="2268" w:type="dxa"/>
            <w:tcBorders>
              <w:top w:val="single" w:sz="24" w:space="0" w:color="FFFFFF"/>
              <w:right w:val="single" w:sz="8" w:space="0" w:color="FFFFFF"/>
            </w:tcBorders>
            <w:shd w:val="clear" w:color="auto" w:fill="B8CCE4" w:themeFill="accent1" w:themeFillTint="66"/>
          </w:tcPr>
          <w:p w:rsidR="00C268C8" w:rsidRPr="00CB47C6" w:rsidRDefault="000E7BD6"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Statistical methodologies aimed at assessing flood direct impacts in proportion of the physical characteristics of the flood event.</w:t>
            </w:r>
            <w:r w:rsidR="001746F8" w:rsidRPr="00CB47C6">
              <w:rPr>
                <w:rFonts w:ascii="Palatino Linotype" w:hAnsi="Palatino Linotype"/>
                <w:sz w:val="20"/>
                <w:szCs w:val="20"/>
                <w:lang w:val="en-GB"/>
              </w:rPr>
              <w:t xml:space="preserve"> </w:t>
            </w:r>
          </w:p>
        </w:tc>
        <w:tc>
          <w:tcPr>
            <w:tcW w:w="1985" w:type="dxa"/>
            <w:tcBorders>
              <w:top w:val="single" w:sz="24" w:space="0" w:color="FFFFFF"/>
              <w:left w:val="single" w:sz="8" w:space="0" w:color="FFFFFF"/>
              <w:bottom w:val="nil"/>
              <w:right w:val="single" w:sz="8" w:space="0" w:color="FFFFFF"/>
            </w:tcBorders>
            <w:shd w:val="clear" w:color="auto" w:fill="B8CCE4" w:themeFill="accent1" w:themeFillTint="66"/>
          </w:tcPr>
          <w:p w:rsidR="00C268C8" w:rsidRPr="00CB47C6" w:rsidRDefault="00C268C8" w:rsidP="008C3310">
            <w:pPr>
              <w:spacing w:after="0"/>
              <w:rPr>
                <w:rFonts w:ascii="Palatino Linotype" w:hAnsi="Palatino Linotype"/>
                <w:sz w:val="20"/>
                <w:szCs w:val="20"/>
                <w:lang w:val="en-GB"/>
              </w:rPr>
            </w:pPr>
            <w:r w:rsidRPr="00CB47C6">
              <w:rPr>
                <w:rFonts w:ascii="Palatino Linotype" w:hAnsi="Palatino Linotype"/>
                <w:sz w:val="20"/>
                <w:szCs w:val="20"/>
                <w:lang w:val="en-GB"/>
              </w:rPr>
              <w:t>PREEMPT (2013) – Chapter 2, pages 15 – 16</w:t>
            </w:r>
          </w:p>
          <w:p w:rsidR="00C268C8" w:rsidRPr="00CB47C6" w:rsidRDefault="00C268C8"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Messner</w:t>
            </w:r>
            <w:proofErr w:type="spellEnd"/>
            <w:r w:rsidRPr="00CB47C6">
              <w:rPr>
                <w:rFonts w:ascii="Palatino Linotype" w:hAnsi="Palatino Linotype"/>
                <w:sz w:val="20"/>
                <w:szCs w:val="20"/>
                <w:lang w:val="en-GB"/>
              </w:rPr>
              <w:t xml:space="preserve"> et al (2007) – Chapter 3 pages 22 – 33</w:t>
            </w:r>
          </w:p>
          <w:p w:rsidR="00C268C8" w:rsidRPr="00CB47C6" w:rsidRDefault="00C268C8"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Bubeck</w:t>
            </w:r>
            <w:proofErr w:type="spellEnd"/>
            <w:r w:rsidRPr="00CB47C6">
              <w:rPr>
                <w:rFonts w:ascii="Palatino Linotype" w:hAnsi="Palatino Linotype"/>
                <w:sz w:val="20"/>
                <w:szCs w:val="20"/>
                <w:lang w:val="en-GB"/>
              </w:rPr>
              <w:t xml:space="preserve"> </w:t>
            </w:r>
            <w:r w:rsidR="00135F78" w:rsidRPr="00CB47C6">
              <w:rPr>
                <w:rFonts w:ascii="Palatino Linotype" w:hAnsi="Palatino Linotype"/>
                <w:sz w:val="20"/>
                <w:szCs w:val="20"/>
                <w:lang w:val="en-GB"/>
              </w:rPr>
              <w:t>et al.</w:t>
            </w:r>
            <w:r w:rsidRPr="00CB47C6">
              <w:rPr>
                <w:rFonts w:ascii="Palatino Linotype" w:hAnsi="Palatino Linotype"/>
                <w:sz w:val="20"/>
                <w:szCs w:val="20"/>
                <w:lang w:val="en-GB"/>
              </w:rPr>
              <w:t xml:space="preserve"> (2011) – Chapter, pages 10 </w:t>
            </w:r>
            <w:r w:rsidR="001746F8" w:rsidRPr="00CB47C6">
              <w:rPr>
                <w:rFonts w:ascii="Palatino Linotype" w:hAnsi="Palatino Linotype"/>
                <w:sz w:val="20"/>
                <w:szCs w:val="20"/>
                <w:lang w:val="en-GB"/>
              </w:rPr>
              <w:t>–</w:t>
            </w:r>
            <w:r w:rsidRPr="00CB47C6">
              <w:rPr>
                <w:rFonts w:ascii="Palatino Linotype" w:hAnsi="Palatino Linotype"/>
                <w:sz w:val="20"/>
                <w:szCs w:val="20"/>
                <w:lang w:val="en-GB"/>
              </w:rPr>
              <w:t xml:space="preserve"> 16</w:t>
            </w:r>
          </w:p>
          <w:p w:rsidR="001746F8" w:rsidRPr="00CB47C6" w:rsidRDefault="001746F8" w:rsidP="001746F8">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Przyluski</w:t>
            </w:r>
            <w:proofErr w:type="spellEnd"/>
            <w:r w:rsidRPr="00CB47C6">
              <w:rPr>
                <w:rFonts w:ascii="Palatino Linotype" w:hAnsi="Palatino Linotype"/>
                <w:sz w:val="20"/>
                <w:szCs w:val="20"/>
                <w:lang w:val="en-GB"/>
              </w:rPr>
              <w:t xml:space="preserve"> et al. 2011, Ch. 2 p. 9 </w:t>
            </w:r>
          </w:p>
        </w:tc>
        <w:tc>
          <w:tcPr>
            <w:tcW w:w="3268" w:type="dxa"/>
            <w:tcBorders>
              <w:top w:val="single" w:sz="24" w:space="0" w:color="FFFFFF"/>
              <w:left w:val="single" w:sz="8" w:space="0" w:color="FFFFFF"/>
              <w:bottom w:val="single" w:sz="8" w:space="0" w:color="FFFFFF"/>
            </w:tcBorders>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36"/>
            </w:tblGrid>
            <w:tr w:rsidR="0061085F" w:rsidRPr="00CB47C6" w:rsidTr="0061085F">
              <w:tc>
                <w:tcPr>
                  <w:tcW w:w="850" w:type="dxa"/>
                  <w:tcBorders>
                    <w:top w:val="nil"/>
                    <w:bottom w:val="dashSmallGap" w:sz="6" w:space="0" w:color="auto"/>
                    <w:right w:val="dashSmallGap" w:sz="6" w:space="0" w:color="auto"/>
                  </w:tcBorders>
                  <w:shd w:val="clear" w:color="auto" w:fill="auto"/>
                </w:tcPr>
                <w:p w:rsidR="0061085F" w:rsidRPr="00CB47C6" w:rsidRDefault="0061085F" w:rsidP="00113720">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61085F" w:rsidRPr="00CB47C6" w:rsidRDefault="00121B51" w:rsidP="00113720">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146700D0" wp14:editId="4E96E2B6">
                        <wp:extent cx="826770" cy="27813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61085F" w:rsidRPr="00CB47C6" w:rsidTr="0061085F">
              <w:tc>
                <w:tcPr>
                  <w:tcW w:w="850" w:type="dxa"/>
                  <w:tcBorders>
                    <w:top w:val="dashSmallGap" w:sz="6" w:space="0" w:color="auto"/>
                    <w:bottom w:val="dashSmallGap" w:sz="6" w:space="0" w:color="auto"/>
                    <w:right w:val="dashSmallGap" w:sz="6" w:space="0" w:color="auto"/>
                  </w:tcBorders>
                  <w:shd w:val="clear" w:color="auto" w:fill="auto"/>
                </w:tcPr>
                <w:p w:rsidR="0061085F" w:rsidRPr="00CB47C6" w:rsidRDefault="0061085F" w:rsidP="00113720">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61085F" w:rsidRPr="00CB47C6" w:rsidRDefault="00121B51" w:rsidP="00113720">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0D842DF9" wp14:editId="22E4525F">
                        <wp:extent cx="826770" cy="278130"/>
                        <wp:effectExtent l="0" t="0" r="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61085F" w:rsidRPr="00CB47C6" w:rsidTr="0061085F">
              <w:tc>
                <w:tcPr>
                  <w:tcW w:w="850" w:type="dxa"/>
                  <w:tcBorders>
                    <w:top w:val="dashSmallGap" w:sz="6" w:space="0" w:color="auto"/>
                    <w:right w:val="dashSmallGap" w:sz="6" w:space="0" w:color="auto"/>
                  </w:tcBorders>
                  <w:shd w:val="clear" w:color="auto" w:fill="auto"/>
                </w:tcPr>
                <w:p w:rsidR="0061085F" w:rsidRPr="00CB47C6" w:rsidRDefault="0061085F" w:rsidP="00113720">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61085F" w:rsidRPr="00CB47C6" w:rsidRDefault="00121B51" w:rsidP="00113720">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2C38C0BC" wp14:editId="1846A4F2">
                        <wp:extent cx="835025" cy="302260"/>
                        <wp:effectExtent l="0" t="0" r="3175"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bl>
          <w:p w:rsidR="00C268C8" w:rsidRPr="00CB47C6" w:rsidRDefault="00C268C8" w:rsidP="008C3310">
            <w:pPr>
              <w:spacing w:after="0"/>
              <w:rPr>
                <w:rFonts w:ascii="Palatino Linotype" w:hAnsi="Palatino Linotype"/>
                <w:sz w:val="20"/>
                <w:szCs w:val="20"/>
                <w:lang w:val="en-GB"/>
              </w:rPr>
            </w:pPr>
          </w:p>
        </w:tc>
      </w:tr>
      <w:tr w:rsidR="0061085F" w:rsidRPr="00CB47C6" w:rsidTr="00CB47C6">
        <w:tc>
          <w:tcPr>
            <w:tcW w:w="2183" w:type="dxa"/>
            <w:tcBorders>
              <w:right w:val="single" w:sz="24" w:space="0" w:color="FFFFFF"/>
            </w:tcBorders>
            <w:shd w:val="clear" w:color="auto" w:fill="95B3D7" w:themeFill="accent1" w:themeFillTint="99"/>
          </w:tcPr>
          <w:p w:rsidR="00C268C8" w:rsidRPr="00CB47C6" w:rsidRDefault="00B54928" w:rsidP="00B54928">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 xml:space="preserve">Geo-referenced analysis and </w:t>
            </w:r>
            <w:r w:rsidR="00C268C8" w:rsidRPr="00CB47C6">
              <w:rPr>
                <w:rFonts w:ascii="Palatino Linotype" w:hAnsi="Palatino Linotype"/>
                <w:b/>
                <w:bCs/>
                <w:color w:val="FFFFFF"/>
                <w:sz w:val="20"/>
                <w:szCs w:val="20"/>
                <w:lang w:val="en-GB"/>
              </w:rPr>
              <w:t xml:space="preserve">Spatial </w:t>
            </w:r>
            <w:r w:rsidR="00C268C8" w:rsidRPr="00CB47C6">
              <w:rPr>
                <w:rFonts w:ascii="Palatino Linotype" w:hAnsi="Palatino Linotype"/>
                <w:b/>
                <w:bCs/>
                <w:color w:val="FFFFFF"/>
                <w:sz w:val="20"/>
                <w:szCs w:val="20"/>
                <w:lang w:val="en-GB"/>
              </w:rPr>
              <w:lastRenderedPageBreak/>
              <w:t>Coupled hydrological-economic modelling applied to flood</w:t>
            </w:r>
          </w:p>
        </w:tc>
        <w:tc>
          <w:tcPr>
            <w:tcW w:w="2268" w:type="dxa"/>
            <w:shd w:val="clear" w:color="auto" w:fill="B8CCE4" w:themeFill="accent1" w:themeFillTint="66"/>
          </w:tcPr>
          <w:p w:rsidR="00C268C8" w:rsidRPr="00CB47C6" w:rsidRDefault="005E315A"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lastRenderedPageBreak/>
              <w:t>Combination of spatial (GIS)</w:t>
            </w:r>
            <w:r w:rsidR="00B461CB" w:rsidRPr="00CB47C6">
              <w:rPr>
                <w:rFonts w:ascii="Palatino Linotype" w:hAnsi="Palatino Linotype"/>
                <w:sz w:val="20"/>
                <w:szCs w:val="20"/>
                <w:lang w:val="en-GB"/>
              </w:rPr>
              <w:t xml:space="preserve"> </w:t>
            </w:r>
            <w:r w:rsidR="00B54928" w:rsidRPr="00CB47C6">
              <w:rPr>
                <w:rFonts w:ascii="Palatino Linotype" w:hAnsi="Palatino Linotype"/>
                <w:sz w:val="20"/>
                <w:szCs w:val="20"/>
                <w:lang w:val="en-GB"/>
              </w:rPr>
              <w:t xml:space="preserve">geo-referenced </w:t>
            </w:r>
            <w:r w:rsidR="00B461CB" w:rsidRPr="00CB47C6">
              <w:rPr>
                <w:rFonts w:ascii="Palatino Linotype" w:hAnsi="Palatino Linotype"/>
                <w:sz w:val="20"/>
                <w:szCs w:val="20"/>
                <w:lang w:val="en-GB"/>
              </w:rPr>
              <w:lastRenderedPageBreak/>
              <w:t>analysis of the flood characteristics combined with appropriate land use data and damage functions for direct impact assessment.</w:t>
            </w:r>
          </w:p>
        </w:tc>
        <w:tc>
          <w:tcPr>
            <w:tcW w:w="1985" w:type="dxa"/>
            <w:tcBorders>
              <w:bottom w:val="nil"/>
            </w:tcBorders>
            <w:shd w:val="clear" w:color="auto" w:fill="B8CCE4" w:themeFill="accent1" w:themeFillTint="66"/>
          </w:tcPr>
          <w:p w:rsidR="00C268C8" w:rsidRPr="00CB47C6" w:rsidRDefault="00C268C8" w:rsidP="008C3310">
            <w:pPr>
              <w:spacing w:after="0"/>
              <w:rPr>
                <w:rFonts w:ascii="Palatino Linotype" w:hAnsi="Palatino Linotype"/>
                <w:sz w:val="20"/>
                <w:szCs w:val="20"/>
                <w:lang w:val="en-GB"/>
              </w:rPr>
            </w:pPr>
            <w:r w:rsidRPr="00CB47C6">
              <w:rPr>
                <w:rFonts w:ascii="Palatino Linotype" w:hAnsi="Palatino Linotype"/>
                <w:sz w:val="20"/>
                <w:szCs w:val="20"/>
                <w:lang w:val="en-GB"/>
              </w:rPr>
              <w:lastRenderedPageBreak/>
              <w:t xml:space="preserve">PREEMPT (2013) – Chapter 2, pages 16 </w:t>
            </w:r>
            <w:r w:rsidRPr="00CB47C6">
              <w:rPr>
                <w:rFonts w:ascii="Palatino Linotype" w:hAnsi="Palatino Linotype"/>
                <w:sz w:val="20"/>
                <w:szCs w:val="20"/>
                <w:lang w:val="en-GB"/>
              </w:rPr>
              <w:lastRenderedPageBreak/>
              <w:t>– 17</w:t>
            </w:r>
          </w:p>
          <w:p w:rsidR="00C268C8" w:rsidRPr="00CB47C6" w:rsidRDefault="00C268C8"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Messner</w:t>
            </w:r>
            <w:proofErr w:type="spellEnd"/>
            <w:r w:rsidRPr="00CB47C6">
              <w:rPr>
                <w:rFonts w:ascii="Palatino Linotype" w:hAnsi="Palatino Linotype"/>
                <w:sz w:val="20"/>
                <w:szCs w:val="20"/>
                <w:lang w:val="en-GB"/>
              </w:rPr>
              <w:t xml:space="preserve"> et al (2007) – Annex 2.1 pages 19 – 21</w:t>
            </w:r>
          </w:p>
          <w:p w:rsidR="00C268C8" w:rsidRPr="00CB47C6" w:rsidRDefault="00C268C8"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Messner</w:t>
            </w:r>
            <w:proofErr w:type="spellEnd"/>
            <w:r w:rsidRPr="00CB47C6">
              <w:rPr>
                <w:rFonts w:ascii="Palatino Linotype" w:hAnsi="Palatino Linotype"/>
                <w:sz w:val="20"/>
                <w:szCs w:val="20"/>
                <w:lang w:val="en-GB"/>
              </w:rPr>
              <w:t xml:space="preserve"> et al (2007) – Chapter 3 pages 33 </w:t>
            </w:r>
            <w:r w:rsidR="00B54928" w:rsidRPr="00CB47C6">
              <w:rPr>
                <w:rFonts w:ascii="Palatino Linotype" w:hAnsi="Palatino Linotype"/>
                <w:sz w:val="20"/>
                <w:szCs w:val="20"/>
                <w:lang w:val="en-GB"/>
              </w:rPr>
              <w:t>–</w:t>
            </w:r>
            <w:r w:rsidRPr="00CB47C6">
              <w:rPr>
                <w:rFonts w:ascii="Palatino Linotype" w:hAnsi="Palatino Linotype"/>
                <w:sz w:val="20"/>
                <w:szCs w:val="20"/>
                <w:lang w:val="en-GB"/>
              </w:rPr>
              <w:t xml:space="preserve"> 60</w:t>
            </w:r>
          </w:p>
          <w:p w:rsidR="00B54928" w:rsidRPr="00CB47C6" w:rsidRDefault="00B54928" w:rsidP="008C3310">
            <w:pPr>
              <w:spacing w:after="0"/>
              <w:rPr>
                <w:rFonts w:ascii="Palatino Linotype" w:hAnsi="Palatino Linotype"/>
                <w:sz w:val="20"/>
                <w:szCs w:val="20"/>
                <w:lang w:val="en-GB"/>
              </w:rPr>
            </w:pPr>
            <w:r w:rsidRPr="00CB47C6">
              <w:rPr>
                <w:rFonts w:ascii="Palatino Linotype" w:hAnsi="Palatino Linotype"/>
                <w:sz w:val="20"/>
                <w:szCs w:val="20"/>
                <w:lang w:val="en-GB"/>
              </w:rPr>
              <w:t>IPCC (1994) – Chapter 7 page 30</w:t>
            </w:r>
          </w:p>
        </w:tc>
        <w:tc>
          <w:tcPr>
            <w:tcW w:w="3268" w:type="dxa"/>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36"/>
            </w:tblGrid>
            <w:tr w:rsidR="00B057BA" w:rsidRPr="00CB47C6" w:rsidTr="00C92799">
              <w:tc>
                <w:tcPr>
                  <w:tcW w:w="850" w:type="dxa"/>
                  <w:tcBorders>
                    <w:top w:val="nil"/>
                    <w:bottom w:val="dashSmallGap" w:sz="6" w:space="0" w:color="auto"/>
                    <w:right w:val="dashSmallGap" w:sz="6" w:space="0" w:color="auto"/>
                  </w:tcBorders>
                  <w:shd w:val="clear" w:color="auto" w:fill="auto"/>
                </w:tcPr>
                <w:p w:rsidR="00B057BA" w:rsidRPr="00CB47C6" w:rsidRDefault="00B057BA"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lastRenderedPageBreak/>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B057BA"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503D64E0" wp14:editId="5E53BD44">
                        <wp:extent cx="835025" cy="302260"/>
                        <wp:effectExtent l="0" t="0" r="317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B057BA"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B057BA" w:rsidRPr="00CB47C6" w:rsidRDefault="00B057BA"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lastRenderedPageBreak/>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B057BA"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4D90B604" wp14:editId="43A388E6">
                        <wp:extent cx="826770" cy="27813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B057BA" w:rsidRPr="00CB47C6" w:rsidTr="00C92799">
              <w:tc>
                <w:tcPr>
                  <w:tcW w:w="850" w:type="dxa"/>
                  <w:tcBorders>
                    <w:top w:val="dashSmallGap" w:sz="6" w:space="0" w:color="auto"/>
                    <w:right w:val="dashSmallGap" w:sz="6" w:space="0" w:color="auto"/>
                  </w:tcBorders>
                  <w:shd w:val="clear" w:color="auto" w:fill="auto"/>
                </w:tcPr>
                <w:p w:rsidR="00B057BA" w:rsidRPr="00CB47C6" w:rsidRDefault="00B057BA"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B057BA"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73C7CA66" wp14:editId="52ACAC01">
                        <wp:extent cx="835025" cy="302260"/>
                        <wp:effectExtent l="0" t="0" r="3175"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bl>
          <w:p w:rsidR="00C268C8" w:rsidRPr="00CB47C6" w:rsidRDefault="00C268C8" w:rsidP="008C3310">
            <w:pPr>
              <w:spacing w:after="0"/>
              <w:rPr>
                <w:rFonts w:ascii="Palatino Linotype" w:hAnsi="Palatino Linotype"/>
                <w:sz w:val="20"/>
                <w:szCs w:val="20"/>
                <w:lang w:val="en-GB"/>
              </w:rPr>
            </w:pPr>
          </w:p>
        </w:tc>
      </w:tr>
      <w:tr w:rsidR="0061085F" w:rsidRPr="00CB47C6" w:rsidTr="00CB47C6">
        <w:tc>
          <w:tcPr>
            <w:tcW w:w="2183" w:type="dxa"/>
            <w:tcBorders>
              <w:top w:val="single" w:sz="8" w:space="0" w:color="FFFFFF"/>
              <w:right w:val="single" w:sz="24" w:space="0" w:color="FFFFFF"/>
            </w:tcBorders>
            <w:shd w:val="clear" w:color="auto" w:fill="95B3D7" w:themeFill="accent1" w:themeFillTint="99"/>
          </w:tcPr>
          <w:p w:rsidR="00C268C8" w:rsidRPr="00CB47C6" w:rsidRDefault="001746F8"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lastRenderedPageBreak/>
              <w:t xml:space="preserve">Different instruments for different scale </w:t>
            </w:r>
            <w:r w:rsidR="00C268C8" w:rsidRPr="00CB47C6">
              <w:rPr>
                <w:rFonts w:ascii="Palatino Linotype" w:hAnsi="Palatino Linotype"/>
                <w:b/>
                <w:bCs/>
                <w:color w:val="FFFFFF"/>
                <w:sz w:val="20"/>
                <w:szCs w:val="20"/>
                <w:lang w:val="en-GB"/>
              </w:rPr>
              <w:t>of impact</w:t>
            </w:r>
          </w:p>
        </w:tc>
        <w:tc>
          <w:tcPr>
            <w:tcW w:w="2268" w:type="dxa"/>
            <w:tcBorders>
              <w:top w:val="single" w:sz="8" w:space="0" w:color="FFFFFF"/>
              <w:right w:val="single" w:sz="8" w:space="0" w:color="FFFFFF"/>
            </w:tcBorders>
            <w:shd w:val="clear" w:color="auto" w:fill="B8CCE4" w:themeFill="accent1" w:themeFillTint="66"/>
          </w:tcPr>
          <w:p w:rsidR="00C268C8" w:rsidRPr="00CB47C6" w:rsidRDefault="00401612"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For micro-scale analysis, the high data accuracy and the scarce uncertainty linked to the assessment procedure could be favourable for the use of econometric methodologies, while for meso- and  macro-scale analyses model based approaches could be more suitable</w:t>
            </w:r>
          </w:p>
        </w:tc>
        <w:tc>
          <w:tcPr>
            <w:tcW w:w="1985" w:type="dxa"/>
            <w:tcBorders>
              <w:top w:val="single" w:sz="8" w:space="0" w:color="FFFFFF"/>
              <w:left w:val="single" w:sz="8" w:space="0" w:color="FFFFFF"/>
              <w:bottom w:val="nil"/>
              <w:right w:val="single" w:sz="8" w:space="0" w:color="FFFFFF"/>
            </w:tcBorders>
            <w:shd w:val="clear" w:color="auto" w:fill="B8CCE4" w:themeFill="accent1" w:themeFillTint="66"/>
          </w:tcPr>
          <w:p w:rsidR="00C268C8" w:rsidRPr="00CB47C6" w:rsidRDefault="00C268C8" w:rsidP="00B461CB">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Messner</w:t>
            </w:r>
            <w:proofErr w:type="spellEnd"/>
            <w:r w:rsidRPr="00CB47C6">
              <w:rPr>
                <w:rFonts w:ascii="Palatino Linotype" w:hAnsi="Palatino Linotype"/>
                <w:sz w:val="20"/>
                <w:szCs w:val="20"/>
                <w:lang w:val="en-GB"/>
              </w:rPr>
              <w:t xml:space="preserve"> et al (2007) – Chapter 3 pages 29 – 31 and 98 </w:t>
            </w:r>
            <w:r w:rsidR="00401612" w:rsidRPr="00CB47C6">
              <w:rPr>
                <w:rFonts w:ascii="Palatino Linotype" w:hAnsi="Palatino Linotype"/>
                <w:sz w:val="20"/>
                <w:szCs w:val="20"/>
                <w:lang w:val="en-GB"/>
              </w:rPr>
              <w:t>–</w:t>
            </w:r>
            <w:r w:rsidRPr="00CB47C6">
              <w:rPr>
                <w:rFonts w:ascii="Palatino Linotype" w:hAnsi="Palatino Linotype"/>
                <w:sz w:val="20"/>
                <w:szCs w:val="20"/>
                <w:lang w:val="en-GB"/>
              </w:rPr>
              <w:t xml:space="preserve"> 99</w:t>
            </w:r>
          </w:p>
          <w:p w:rsidR="00401612" w:rsidRPr="00CB47C6" w:rsidRDefault="00401612" w:rsidP="00B461CB">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Przyluski</w:t>
            </w:r>
            <w:proofErr w:type="spellEnd"/>
            <w:r w:rsidRPr="00CB47C6">
              <w:rPr>
                <w:rFonts w:ascii="Palatino Linotype" w:hAnsi="Palatino Linotype"/>
                <w:sz w:val="20"/>
                <w:szCs w:val="20"/>
                <w:lang w:val="en-GB"/>
              </w:rPr>
              <w:t xml:space="preserve"> et al. </w:t>
            </w:r>
            <w:r w:rsidR="00135F78" w:rsidRPr="00CB47C6">
              <w:rPr>
                <w:rFonts w:ascii="Palatino Linotype" w:hAnsi="Palatino Linotype"/>
                <w:sz w:val="20"/>
                <w:szCs w:val="20"/>
                <w:lang w:val="en-GB"/>
              </w:rPr>
              <w:t>(</w:t>
            </w:r>
            <w:r w:rsidRPr="00CB47C6">
              <w:rPr>
                <w:rFonts w:ascii="Palatino Linotype" w:hAnsi="Palatino Linotype"/>
                <w:sz w:val="20"/>
                <w:szCs w:val="20"/>
                <w:lang w:val="en-GB"/>
              </w:rPr>
              <w:t>2011</w:t>
            </w:r>
            <w:r w:rsidR="00135F78" w:rsidRPr="00CB47C6">
              <w:rPr>
                <w:rFonts w:ascii="Palatino Linotype" w:hAnsi="Palatino Linotype"/>
                <w:sz w:val="20"/>
                <w:szCs w:val="20"/>
                <w:lang w:val="en-GB"/>
              </w:rPr>
              <w:t>)</w:t>
            </w:r>
            <w:r w:rsidRPr="00CB47C6">
              <w:rPr>
                <w:rFonts w:ascii="Palatino Linotype" w:hAnsi="Palatino Linotype"/>
                <w:sz w:val="20"/>
                <w:szCs w:val="20"/>
                <w:lang w:val="en-GB"/>
              </w:rPr>
              <w:t>, Ch</w:t>
            </w:r>
            <w:r w:rsidR="00135F78" w:rsidRPr="00CB47C6">
              <w:rPr>
                <w:rFonts w:ascii="Palatino Linotype" w:hAnsi="Palatino Linotype"/>
                <w:sz w:val="20"/>
                <w:szCs w:val="20"/>
                <w:lang w:val="en-GB"/>
              </w:rPr>
              <w:t>apter</w:t>
            </w:r>
            <w:r w:rsidRPr="00CB47C6">
              <w:rPr>
                <w:rFonts w:ascii="Palatino Linotype" w:hAnsi="Palatino Linotype"/>
                <w:sz w:val="20"/>
                <w:szCs w:val="20"/>
                <w:lang w:val="en-GB"/>
              </w:rPr>
              <w:t xml:space="preserve"> 2 p</w:t>
            </w:r>
            <w:r w:rsidR="00135F78" w:rsidRPr="00CB47C6">
              <w:rPr>
                <w:rFonts w:ascii="Palatino Linotype" w:hAnsi="Palatino Linotype"/>
                <w:sz w:val="20"/>
                <w:szCs w:val="20"/>
                <w:lang w:val="en-GB"/>
              </w:rPr>
              <w:t>ages</w:t>
            </w:r>
            <w:r w:rsidRPr="00CB47C6">
              <w:rPr>
                <w:rFonts w:ascii="Palatino Linotype" w:hAnsi="Palatino Linotype"/>
                <w:sz w:val="20"/>
                <w:szCs w:val="20"/>
                <w:lang w:val="en-GB"/>
              </w:rPr>
              <w:t xml:space="preserve"> 24 </w:t>
            </w:r>
            <w:r w:rsidR="00CD5820" w:rsidRPr="00CB47C6">
              <w:rPr>
                <w:rFonts w:ascii="Palatino Linotype" w:hAnsi="Palatino Linotype"/>
                <w:sz w:val="20"/>
                <w:szCs w:val="20"/>
                <w:lang w:val="en-GB"/>
              </w:rPr>
              <w:t>–</w:t>
            </w:r>
            <w:r w:rsidRPr="00CB47C6">
              <w:rPr>
                <w:rFonts w:ascii="Palatino Linotype" w:hAnsi="Palatino Linotype"/>
                <w:sz w:val="20"/>
                <w:szCs w:val="20"/>
                <w:lang w:val="en-GB"/>
              </w:rPr>
              <w:t xml:space="preserve"> 25</w:t>
            </w:r>
          </w:p>
          <w:p w:rsidR="00CD5820" w:rsidRPr="00CB47C6" w:rsidRDefault="00CD5820" w:rsidP="00B461CB">
            <w:pPr>
              <w:spacing w:after="0"/>
              <w:rPr>
                <w:rFonts w:ascii="Palatino Linotype" w:hAnsi="Palatino Linotype"/>
                <w:sz w:val="20"/>
                <w:szCs w:val="20"/>
                <w:lang w:val="en-GB"/>
              </w:rPr>
            </w:pPr>
            <w:r w:rsidRPr="00CB47C6">
              <w:rPr>
                <w:rFonts w:ascii="Palatino Linotype" w:hAnsi="Palatino Linotype"/>
                <w:sz w:val="20"/>
                <w:szCs w:val="20"/>
                <w:lang w:val="en-GB"/>
              </w:rPr>
              <w:t>IPCC (1994) – Chapter 4 page 9</w:t>
            </w:r>
          </w:p>
        </w:tc>
        <w:tc>
          <w:tcPr>
            <w:tcW w:w="3268" w:type="dxa"/>
            <w:tcBorders>
              <w:top w:val="single" w:sz="8" w:space="0" w:color="FFFFFF"/>
              <w:left w:val="single" w:sz="8" w:space="0" w:color="FFFFFF"/>
              <w:bottom w:val="single" w:sz="8" w:space="0" w:color="FFFFFF"/>
            </w:tcBorders>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36"/>
            </w:tblGrid>
            <w:tr w:rsidR="00B057BA" w:rsidRPr="00CB47C6" w:rsidTr="00C92799">
              <w:tc>
                <w:tcPr>
                  <w:tcW w:w="850" w:type="dxa"/>
                  <w:tcBorders>
                    <w:top w:val="nil"/>
                    <w:bottom w:val="dashSmallGap" w:sz="6" w:space="0" w:color="auto"/>
                    <w:right w:val="dashSmallGap" w:sz="6" w:space="0" w:color="auto"/>
                  </w:tcBorders>
                  <w:shd w:val="clear" w:color="auto" w:fill="auto"/>
                </w:tcPr>
                <w:p w:rsidR="00B057BA" w:rsidRPr="00CB47C6" w:rsidRDefault="00B057BA"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B057BA"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7351FD6E" wp14:editId="2B7461B8">
                        <wp:extent cx="826770" cy="278130"/>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826770" cy="278130"/>
                                </a:xfrm>
                                <a:prstGeom prst="rect">
                                  <a:avLst/>
                                </a:prstGeom>
                                <a:noFill/>
                                <a:ln>
                                  <a:noFill/>
                                </a:ln>
                              </pic:spPr>
                            </pic:pic>
                          </a:graphicData>
                        </a:graphic>
                      </wp:inline>
                    </w:drawing>
                  </w:r>
                </w:p>
              </w:tc>
            </w:tr>
            <w:tr w:rsidR="00B057BA"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B057BA" w:rsidRPr="00CB47C6" w:rsidRDefault="00B057BA"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B057BA"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2AD593F5" wp14:editId="5E99D5C0">
                        <wp:extent cx="826770" cy="278130"/>
                        <wp:effectExtent l="0" t="0" r="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B057BA" w:rsidRPr="00CB47C6" w:rsidTr="00C92799">
              <w:tc>
                <w:tcPr>
                  <w:tcW w:w="850" w:type="dxa"/>
                  <w:tcBorders>
                    <w:top w:val="dashSmallGap" w:sz="6" w:space="0" w:color="auto"/>
                    <w:right w:val="dashSmallGap" w:sz="6" w:space="0" w:color="auto"/>
                  </w:tcBorders>
                  <w:shd w:val="clear" w:color="auto" w:fill="auto"/>
                </w:tcPr>
                <w:p w:rsidR="00B057BA" w:rsidRPr="00CB47C6" w:rsidRDefault="00B057BA"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B057BA"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4EAA05FC" wp14:editId="6BB46937">
                        <wp:extent cx="835025" cy="302260"/>
                        <wp:effectExtent l="0" t="0" r="3175" b="254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bl>
          <w:p w:rsidR="00C268C8" w:rsidRPr="00CB47C6" w:rsidRDefault="00C268C8" w:rsidP="008C3310">
            <w:pPr>
              <w:spacing w:after="0"/>
              <w:rPr>
                <w:rFonts w:ascii="Palatino Linotype" w:hAnsi="Palatino Linotype"/>
                <w:sz w:val="20"/>
                <w:szCs w:val="20"/>
                <w:lang w:val="en-GB"/>
              </w:rPr>
            </w:pPr>
          </w:p>
        </w:tc>
      </w:tr>
      <w:tr w:rsidR="0061085F" w:rsidRPr="00CB47C6" w:rsidTr="00CB47C6">
        <w:tc>
          <w:tcPr>
            <w:tcW w:w="2183" w:type="dxa"/>
            <w:tcBorders>
              <w:top w:val="single" w:sz="8" w:space="0" w:color="FFFFFF"/>
              <w:left w:val="single" w:sz="8" w:space="0" w:color="FFFFFF"/>
              <w:bottom w:val="single" w:sz="6" w:space="0" w:color="FFFFFF"/>
              <w:right w:val="single" w:sz="24" w:space="0" w:color="FFFFFF"/>
            </w:tcBorders>
            <w:shd w:val="clear" w:color="auto" w:fill="95B3D7" w:themeFill="accent1" w:themeFillTint="99"/>
          </w:tcPr>
          <w:p w:rsidR="00D26117" w:rsidRPr="00CB47C6" w:rsidRDefault="00D26117" w:rsidP="00CA1C8F">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Econometric approaches for indirect impact assessment</w:t>
            </w:r>
          </w:p>
        </w:tc>
        <w:tc>
          <w:tcPr>
            <w:tcW w:w="2268" w:type="dxa"/>
            <w:tcBorders>
              <w:top w:val="single" w:sz="8" w:space="0" w:color="FFFFFF"/>
              <w:left w:val="single" w:sz="6" w:space="0" w:color="FFFFFF"/>
              <w:bottom w:val="single" w:sz="6" w:space="0" w:color="FFFFFF"/>
              <w:right w:val="single" w:sz="8" w:space="0" w:color="FFFFFF"/>
            </w:tcBorders>
            <w:shd w:val="clear" w:color="auto" w:fill="B8CCE4" w:themeFill="accent1" w:themeFillTint="66"/>
          </w:tcPr>
          <w:p w:rsidR="00D26117" w:rsidRPr="00CB47C6" w:rsidRDefault="00D26117"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Linear programming models for the optimal allocation of the post event production capacity; post event economic surveys; econometric models reflecting historical trading patterns.</w:t>
            </w:r>
          </w:p>
        </w:tc>
        <w:tc>
          <w:tcPr>
            <w:tcW w:w="1985" w:type="dxa"/>
            <w:tcBorders>
              <w:top w:val="single" w:sz="8" w:space="0" w:color="FFFFFF"/>
              <w:left w:val="single" w:sz="8" w:space="0" w:color="FFFFFF"/>
              <w:bottom w:val="nil"/>
              <w:right w:val="single" w:sz="8" w:space="0" w:color="FFFFFF"/>
            </w:tcBorders>
            <w:shd w:val="clear" w:color="auto" w:fill="B8CCE4" w:themeFill="accent1" w:themeFillTint="66"/>
          </w:tcPr>
          <w:p w:rsidR="00D26117" w:rsidRPr="00CB47C6" w:rsidRDefault="00D26117" w:rsidP="00CA1C8F">
            <w:pPr>
              <w:spacing w:after="0"/>
              <w:rPr>
                <w:rFonts w:ascii="Palatino Linotype" w:hAnsi="Palatino Linotype"/>
                <w:sz w:val="20"/>
                <w:szCs w:val="20"/>
                <w:lang w:val="en-GB"/>
              </w:rPr>
            </w:pPr>
            <w:r w:rsidRPr="00CB47C6">
              <w:rPr>
                <w:rFonts w:ascii="Palatino Linotype" w:hAnsi="Palatino Linotype"/>
                <w:sz w:val="20"/>
                <w:szCs w:val="20"/>
                <w:lang w:val="en-GB"/>
              </w:rPr>
              <w:t>PREEMPT (2013) – Chapter 2, page 17</w:t>
            </w:r>
          </w:p>
          <w:p w:rsidR="00D26117" w:rsidRPr="00CB47C6" w:rsidRDefault="00135F78" w:rsidP="00D26117">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Przyluski</w:t>
            </w:r>
            <w:proofErr w:type="spellEnd"/>
            <w:r w:rsidRPr="00CB47C6">
              <w:rPr>
                <w:rFonts w:ascii="Palatino Linotype" w:hAnsi="Palatino Linotype"/>
                <w:sz w:val="20"/>
                <w:szCs w:val="20"/>
                <w:lang w:val="en-GB"/>
              </w:rPr>
              <w:t xml:space="preserve"> et al.</w:t>
            </w:r>
            <w:r w:rsidR="00D26117" w:rsidRPr="00CB47C6">
              <w:rPr>
                <w:rFonts w:ascii="Palatino Linotype" w:hAnsi="Palatino Linotype"/>
                <w:sz w:val="20"/>
                <w:szCs w:val="20"/>
                <w:lang w:val="en-GB"/>
              </w:rPr>
              <w:t xml:space="preserve"> </w:t>
            </w:r>
            <w:r w:rsidRPr="00CB47C6">
              <w:rPr>
                <w:rFonts w:ascii="Palatino Linotype" w:hAnsi="Palatino Linotype"/>
                <w:sz w:val="20"/>
                <w:szCs w:val="20"/>
                <w:lang w:val="en-GB"/>
              </w:rPr>
              <w:t>(</w:t>
            </w:r>
            <w:r w:rsidR="00D26117" w:rsidRPr="00CB47C6">
              <w:rPr>
                <w:rFonts w:ascii="Palatino Linotype" w:hAnsi="Palatino Linotype"/>
                <w:sz w:val="20"/>
                <w:szCs w:val="20"/>
                <w:lang w:val="en-GB"/>
              </w:rPr>
              <w:t>2011</w:t>
            </w:r>
            <w:r w:rsidRPr="00CB47C6">
              <w:rPr>
                <w:rFonts w:ascii="Palatino Linotype" w:hAnsi="Palatino Linotype"/>
                <w:sz w:val="20"/>
                <w:szCs w:val="20"/>
                <w:lang w:val="en-GB"/>
              </w:rPr>
              <w:t>)</w:t>
            </w:r>
            <w:r w:rsidR="00D26117" w:rsidRPr="00CB47C6">
              <w:rPr>
                <w:rFonts w:ascii="Palatino Linotype" w:hAnsi="Palatino Linotype"/>
                <w:sz w:val="20"/>
                <w:szCs w:val="20"/>
                <w:lang w:val="en-GB"/>
              </w:rPr>
              <w:t xml:space="preserve"> – Chapter 2 page 23</w:t>
            </w:r>
          </w:p>
          <w:p w:rsidR="00CD5820" w:rsidRPr="00CB47C6" w:rsidRDefault="00CD5820" w:rsidP="00D26117">
            <w:pPr>
              <w:spacing w:after="0"/>
              <w:rPr>
                <w:rFonts w:ascii="Palatino Linotype" w:hAnsi="Palatino Linotype"/>
                <w:sz w:val="20"/>
                <w:szCs w:val="20"/>
                <w:lang w:val="en-GB"/>
              </w:rPr>
            </w:pPr>
            <w:r w:rsidRPr="00CB47C6">
              <w:rPr>
                <w:rFonts w:ascii="Palatino Linotype" w:hAnsi="Palatino Linotype"/>
                <w:sz w:val="20"/>
                <w:szCs w:val="20"/>
                <w:lang w:val="en-GB"/>
              </w:rPr>
              <w:t>IPCC (1994) – Chapter 4 page 8-9</w:t>
            </w:r>
          </w:p>
        </w:tc>
        <w:tc>
          <w:tcPr>
            <w:tcW w:w="326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36"/>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44585D11" wp14:editId="0CF73F94">
                        <wp:extent cx="835025" cy="302260"/>
                        <wp:effectExtent l="0" t="0" r="3175"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044EC18C" wp14:editId="5C63D4D9">
                        <wp:extent cx="835025" cy="302260"/>
                        <wp:effectExtent l="0" t="0" r="3175" b="254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7CE9837C" wp14:editId="25663983">
                        <wp:extent cx="835025" cy="302260"/>
                        <wp:effectExtent l="0" t="0" r="3175"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bl>
          <w:p w:rsidR="00D26117" w:rsidRPr="00CB47C6" w:rsidRDefault="00D26117" w:rsidP="00CA1C8F">
            <w:pPr>
              <w:spacing w:after="0"/>
              <w:rPr>
                <w:rFonts w:ascii="Palatino Linotype" w:hAnsi="Palatino Linotype"/>
                <w:sz w:val="20"/>
                <w:szCs w:val="20"/>
                <w:lang w:val="en-GB"/>
              </w:rPr>
            </w:pPr>
          </w:p>
        </w:tc>
      </w:tr>
      <w:tr w:rsidR="0061085F" w:rsidRPr="00CB47C6" w:rsidTr="00CB47C6">
        <w:tc>
          <w:tcPr>
            <w:tcW w:w="2183" w:type="dxa"/>
            <w:tcBorders>
              <w:right w:val="single" w:sz="24" w:space="0" w:color="FFFFFF"/>
            </w:tcBorders>
            <w:shd w:val="clear" w:color="auto" w:fill="95B3D7" w:themeFill="accent1" w:themeFillTint="99"/>
          </w:tcPr>
          <w:p w:rsidR="00C268C8" w:rsidRPr="00CB47C6" w:rsidRDefault="00D26117" w:rsidP="00D26117">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Model based approaches for indirect impact assessment</w:t>
            </w:r>
          </w:p>
        </w:tc>
        <w:tc>
          <w:tcPr>
            <w:tcW w:w="2268" w:type="dxa"/>
            <w:shd w:val="clear" w:color="auto" w:fill="B8CCE4" w:themeFill="accent1" w:themeFillTint="66"/>
          </w:tcPr>
          <w:p w:rsidR="00C268C8" w:rsidRPr="00CB47C6" w:rsidRDefault="00D26117"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Input Output Models; Computable General Equilibrium Models: hybrid models.</w:t>
            </w:r>
          </w:p>
        </w:tc>
        <w:tc>
          <w:tcPr>
            <w:tcW w:w="1985" w:type="dxa"/>
            <w:tcBorders>
              <w:bottom w:val="nil"/>
            </w:tcBorders>
            <w:shd w:val="clear" w:color="auto" w:fill="B8CCE4" w:themeFill="accent1" w:themeFillTint="66"/>
          </w:tcPr>
          <w:p w:rsidR="00C268C8" w:rsidRPr="00CB47C6" w:rsidRDefault="00C268C8" w:rsidP="008C3310">
            <w:pPr>
              <w:spacing w:after="0"/>
              <w:rPr>
                <w:rFonts w:ascii="Palatino Linotype" w:hAnsi="Palatino Linotype"/>
                <w:sz w:val="20"/>
                <w:szCs w:val="20"/>
                <w:lang w:val="en-GB"/>
              </w:rPr>
            </w:pPr>
            <w:r w:rsidRPr="00CB47C6">
              <w:rPr>
                <w:rFonts w:ascii="Palatino Linotype" w:hAnsi="Palatino Linotype"/>
                <w:sz w:val="20"/>
                <w:szCs w:val="20"/>
                <w:lang w:val="en-GB"/>
              </w:rPr>
              <w:t>PREEMPT (2013) – Chapter 2, page 17</w:t>
            </w:r>
          </w:p>
          <w:p w:rsidR="00C268C8" w:rsidRPr="00CB47C6" w:rsidRDefault="00C268C8"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Przyluski</w:t>
            </w:r>
            <w:proofErr w:type="spellEnd"/>
            <w:r w:rsidRPr="00CB47C6">
              <w:rPr>
                <w:rFonts w:ascii="Palatino Linotype" w:hAnsi="Palatino Linotype"/>
                <w:sz w:val="20"/>
                <w:szCs w:val="20"/>
                <w:lang w:val="en-GB"/>
              </w:rPr>
              <w:t xml:space="preserve"> et al</w:t>
            </w:r>
            <w:r w:rsidR="00135F78" w:rsidRPr="00CB47C6">
              <w:rPr>
                <w:rFonts w:ascii="Palatino Linotype" w:hAnsi="Palatino Linotype"/>
                <w:sz w:val="20"/>
                <w:szCs w:val="20"/>
                <w:lang w:val="en-GB"/>
              </w:rPr>
              <w:t>.</w:t>
            </w:r>
            <w:r w:rsidRPr="00CB47C6">
              <w:rPr>
                <w:rFonts w:ascii="Palatino Linotype" w:hAnsi="Palatino Linotype"/>
                <w:sz w:val="20"/>
                <w:szCs w:val="20"/>
                <w:lang w:val="en-GB"/>
              </w:rPr>
              <w:t xml:space="preserve"> </w:t>
            </w:r>
            <w:r w:rsidR="00135F78" w:rsidRPr="00CB47C6">
              <w:rPr>
                <w:rFonts w:ascii="Palatino Linotype" w:hAnsi="Palatino Linotype"/>
                <w:sz w:val="20"/>
                <w:szCs w:val="20"/>
                <w:lang w:val="en-GB"/>
              </w:rPr>
              <w:t>(</w:t>
            </w:r>
            <w:r w:rsidRPr="00CB47C6">
              <w:rPr>
                <w:rFonts w:ascii="Palatino Linotype" w:hAnsi="Palatino Linotype"/>
                <w:sz w:val="20"/>
                <w:szCs w:val="20"/>
                <w:lang w:val="en-GB"/>
              </w:rPr>
              <w:t>2011</w:t>
            </w:r>
            <w:r w:rsidR="00135F78" w:rsidRPr="00CB47C6">
              <w:rPr>
                <w:rFonts w:ascii="Palatino Linotype" w:hAnsi="Palatino Linotype"/>
                <w:sz w:val="20"/>
                <w:szCs w:val="20"/>
                <w:lang w:val="en-GB"/>
              </w:rPr>
              <w:t>)</w:t>
            </w:r>
            <w:r w:rsidRPr="00CB47C6">
              <w:rPr>
                <w:rFonts w:ascii="Palatino Linotype" w:hAnsi="Palatino Linotype"/>
                <w:sz w:val="20"/>
                <w:szCs w:val="20"/>
                <w:lang w:val="en-GB"/>
              </w:rPr>
              <w:t xml:space="preserve"> – Chapter 2 page 25</w:t>
            </w:r>
          </w:p>
          <w:p w:rsidR="00D26117" w:rsidRPr="00CB47C6" w:rsidRDefault="00D26117" w:rsidP="00D26117">
            <w:pPr>
              <w:spacing w:after="0"/>
              <w:rPr>
                <w:rFonts w:ascii="Palatino Linotype" w:hAnsi="Palatino Linotype"/>
                <w:sz w:val="20"/>
                <w:szCs w:val="20"/>
                <w:lang w:val="en-GB"/>
              </w:rPr>
            </w:pPr>
            <w:r w:rsidRPr="00CB47C6">
              <w:rPr>
                <w:rFonts w:ascii="Palatino Linotype" w:hAnsi="Palatino Linotype"/>
                <w:sz w:val="20"/>
                <w:szCs w:val="20"/>
                <w:lang w:val="en-GB"/>
              </w:rPr>
              <w:t>IPCC (1994) – Chapter 4 pages 8 – 9</w:t>
            </w:r>
          </w:p>
          <w:p w:rsidR="00D26117" w:rsidRPr="00CB47C6" w:rsidRDefault="00D26117" w:rsidP="008C3310">
            <w:pPr>
              <w:spacing w:after="0"/>
              <w:rPr>
                <w:rFonts w:ascii="Palatino Linotype" w:hAnsi="Palatino Linotype"/>
                <w:sz w:val="20"/>
                <w:szCs w:val="20"/>
                <w:lang w:val="en-GB"/>
              </w:rPr>
            </w:pPr>
            <w:r w:rsidRPr="00CB47C6">
              <w:rPr>
                <w:rFonts w:ascii="Palatino Linotype" w:hAnsi="Palatino Linotype"/>
                <w:sz w:val="20"/>
                <w:szCs w:val="20"/>
                <w:lang w:val="en-GB"/>
              </w:rPr>
              <w:t>EMA (2002) – Chapter 2 – Pages 5 – 10</w:t>
            </w:r>
          </w:p>
        </w:tc>
        <w:tc>
          <w:tcPr>
            <w:tcW w:w="3268" w:type="dxa"/>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36"/>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532EAD07" wp14:editId="40B0D230">
                        <wp:extent cx="835025" cy="302260"/>
                        <wp:effectExtent l="0" t="0" r="3175" b="254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5A7C63D0" wp14:editId="710DFD5F">
                        <wp:extent cx="835025" cy="302260"/>
                        <wp:effectExtent l="0" t="0" r="3175" b="254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40BE2B69" wp14:editId="5A942566">
                        <wp:extent cx="826770" cy="278130"/>
                        <wp:effectExtent l="0" t="0" r="0" b="762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bl>
          <w:p w:rsidR="00C268C8" w:rsidRPr="00CB47C6" w:rsidRDefault="00C268C8" w:rsidP="008C3310">
            <w:pPr>
              <w:spacing w:after="0"/>
              <w:rPr>
                <w:rFonts w:ascii="Palatino Linotype" w:hAnsi="Palatino Linotype"/>
                <w:sz w:val="20"/>
                <w:szCs w:val="20"/>
                <w:lang w:val="en-GB"/>
              </w:rPr>
            </w:pPr>
          </w:p>
        </w:tc>
      </w:tr>
      <w:tr w:rsidR="0061085F" w:rsidRPr="00CB47C6" w:rsidTr="00CB47C6">
        <w:tc>
          <w:tcPr>
            <w:tcW w:w="2183" w:type="dxa"/>
            <w:tcBorders>
              <w:top w:val="single" w:sz="6" w:space="0" w:color="FFFFFF"/>
              <w:left w:val="single" w:sz="8" w:space="0" w:color="FFFFFF"/>
              <w:bottom w:val="single" w:sz="6" w:space="0" w:color="FFFFFF"/>
              <w:right w:val="single" w:sz="24" w:space="0" w:color="FFFFFF"/>
            </w:tcBorders>
            <w:shd w:val="clear" w:color="auto" w:fill="95B3D7" w:themeFill="accent1" w:themeFillTint="99"/>
          </w:tcPr>
          <w:p w:rsidR="002A132E" w:rsidRPr="00CB47C6" w:rsidDel="00543FBD" w:rsidRDefault="002A132E" w:rsidP="00CA1C8F">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Revealed preference methods</w:t>
            </w:r>
          </w:p>
        </w:tc>
        <w:tc>
          <w:tcPr>
            <w:tcW w:w="2268" w:type="dxa"/>
            <w:tcBorders>
              <w:top w:val="single" w:sz="6" w:space="0" w:color="FFFFFF"/>
              <w:left w:val="single" w:sz="6" w:space="0" w:color="FFFFFF"/>
              <w:bottom w:val="single" w:sz="6" w:space="0" w:color="FFFFFF"/>
              <w:right w:val="single" w:sz="6" w:space="0" w:color="FFFFFF"/>
            </w:tcBorders>
            <w:shd w:val="clear" w:color="auto" w:fill="B8CCE4" w:themeFill="accent1" w:themeFillTint="66"/>
          </w:tcPr>
          <w:p w:rsidR="002A132E" w:rsidRPr="00CB47C6" w:rsidRDefault="002A132E" w:rsidP="002A132E">
            <w:pPr>
              <w:spacing w:after="0"/>
              <w:jc w:val="both"/>
              <w:rPr>
                <w:rFonts w:ascii="Palatino Linotype" w:hAnsi="Palatino Linotype"/>
                <w:sz w:val="20"/>
                <w:szCs w:val="20"/>
                <w:lang w:val="en-GB"/>
              </w:rPr>
            </w:pPr>
            <w:r w:rsidRPr="00CB47C6">
              <w:rPr>
                <w:rFonts w:ascii="Palatino Linotype" w:hAnsi="Palatino Linotype"/>
                <w:sz w:val="20"/>
                <w:szCs w:val="20"/>
                <w:lang w:val="en-GB"/>
              </w:rPr>
              <w:t xml:space="preserve">Cost-assessment methods estimating the intangible costs of </w:t>
            </w:r>
            <w:r w:rsidRPr="00CB47C6">
              <w:rPr>
                <w:rFonts w:ascii="Palatino Linotype" w:hAnsi="Palatino Linotype"/>
                <w:sz w:val="20"/>
                <w:szCs w:val="20"/>
                <w:lang w:val="en-GB"/>
              </w:rPr>
              <w:lastRenderedPageBreak/>
              <w:t>natural hazards: Hedonic pricing method (HPM); Travel Cost Method (TCM); Cost of Illness Approach (COI); Replacement Cost Method (RCM); Production Function Approach (PFA).</w:t>
            </w:r>
          </w:p>
        </w:tc>
        <w:tc>
          <w:tcPr>
            <w:tcW w:w="1985" w:type="dxa"/>
            <w:tcBorders>
              <w:top w:val="single" w:sz="6" w:space="0" w:color="FFFFFF"/>
              <w:left w:val="single" w:sz="6" w:space="0" w:color="FFFFFF"/>
              <w:bottom w:val="nil"/>
              <w:right w:val="single" w:sz="6" w:space="0" w:color="FFFFFF"/>
            </w:tcBorders>
            <w:shd w:val="clear" w:color="auto" w:fill="B8CCE4" w:themeFill="accent1" w:themeFillTint="66"/>
          </w:tcPr>
          <w:p w:rsidR="002A132E" w:rsidRPr="00CB47C6" w:rsidRDefault="002A132E" w:rsidP="00CA1C8F">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lastRenderedPageBreak/>
              <w:t>Markantonis</w:t>
            </w:r>
            <w:proofErr w:type="spellEnd"/>
            <w:r w:rsidRPr="00CB47C6">
              <w:rPr>
                <w:rFonts w:ascii="Palatino Linotype" w:hAnsi="Palatino Linotype"/>
                <w:sz w:val="20"/>
                <w:szCs w:val="20"/>
                <w:lang w:val="en-GB"/>
              </w:rPr>
              <w:t xml:space="preserve"> et al. (2011)  – Chapter 2, pages 30 - 39</w:t>
            </w:r>
          </w:p>
        </w:tc>
        <w:tc>
          <w:tcPr>
            <w:tcW w:w="3268" w:type="dxa"/>
            <w:tcBorders>
              <w:top w:val="single" w:sz="6" w:space="0" w:color="FFFFFF"/>
              <w:left w:val="single" w:sz="6" w:space="0" w:color="FFFFFF"/>
              <w:bottom w:val="single" w:sz="6" w:space="0" w:color="FFFFFF"/>
              <w:right w:val="single" w:sz="8" w:space="0" w:color="FFFFFF"/>
            </w:tcBorders>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18"/>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35C3BBFF" wp14:editId="3110052C">
                        <wp:extent cx="826770" cy="278130"/>
                        <wp:effectExtent l="0" t="0" r="0" b="762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4EA3332A" wp14:editId="65EEA55A">
                        <wp:extent cx="826770" cy="278130"/>
                        <wp:effectExtent l="0" t="0" r="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lastRenderedPageBreak/>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0F4A5866" wp14:editId="322DE758">
                        <wp:extent cx="826770" cy="278130"/>
                        <wp:effectExtent l="0" t="0" r="0" b="762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bl>
          <w:p w:rsidR="002A132E" w:rsidRPr="00CB47C6" w:rsidRDefault="002A132E" w:rsidP="00CA1C8F">
            <w:pPr>
              <w:spacing w:after="0" w:line="240" w:lineRule="auto"/>
              <w:rPr>
                <w:rFonts w:ascii="Palatino Linotype" w:hAnsi="Palatino Linotype"/>
                <w:sz w:val="20"/>
                <w:szCs w:val="20"/>
                <w:lang w:val="en-GB"/>
              </w:rPr>
            </w:pPr>
          </w:p>
        </w:tc>
      </w:tr>
      <w:tr w:rsidR="0061085F" w:rsidRPr="00CB47C6" w:rsidTr="00CB47C6">
        <w:tc>
          <w:tcPr>
            <w:tcW w:w="2183" w:type="dxa"/>
            <w:tcBorders>
              <w:top w:val="single" w:sz="6" w:space="0" w:color="FFFFFF"/>
              <w:left w:val="single" w:sz="8" w:space="0" w:color="FFFFFF"/>
              <w:bottom w:val="single" w:sz="6" w:space="0" w:color="FFFFFF"/>
              <w:right w:val="single" w:sz="24" w:space="0" w:color="FFFFFF"/>
            </w:tcBorders>
            <w:shd w:val="clear" w:color="auto" w:fill="95B3D7" w:themeFill="accent1" w:themeFillTint="99"/>
          </w:tcPr>
          <w:p w:rsidR="002A132E" w:rsidRPr="00CB47C6" w:rsidRDefault="002A132E" w:rsidP="00CA1C8F">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lastRenderedPageBreak/>
              <w:t>Stated preference methods</w:t>
            </w:r>
          </w:p>
        </w:tc>
        <w:tc>
          <w:tcPr>
            <w:tcW w:w="2268" w:type="dxa"/>
            <w:tcBorders>
              <w:top w:val="single" w:sz="6" w:space="0" w:color="FFFFFF"/>
              <w:left w:val="single" w:sz="6" w:space="0" w:color="FFFFFF"/>
              <w:bottom w:val="single" w:sz="6" w:space="0" w:color="FFFFFF"/>
              <w:right w:val="single" w:sz="6" w:space="0" w:color="FFFFFF"/>
            </w:tcBorders>
            <w:shd w:val="clear" w:color="auto" w:fill="B8CCE4" w:themeFill="accent1" w:themeFillTint="66"/>
          </w:tcPr>
          <w:p w:rsidR="002A132E" w:rsidRPr="00CB47C6" w:rsidRDefault="002A132E" w:rsidP="00CA1C8F">
            <w:pPr>
              <w:spacing w:after="0"/>
              <w:jc w:val="both"/>
              <w:rPr>
                <w:rFonts w:ascii="Palatino Linotype" w:hAnsi="Palatino Linotype"/>
                <w:sz w:val="20"/>
                <w:szCs w:val="20"/>
                <w:lang w:val="en-GB"/>
              </w:rPr>
            </w:pPr>
            <w:r w:rsidRPr="00CB47C6">
              <w:rPr>
                <w:rFonts w:ascii="Palatino Linotype" w:hAnsi="Palatino Linotype"/>
                <w:sz w:val="20"/>
                <w:szCs w:val="20"/>
                <w:lang w:val="en-GB"/>
              </w:rPr>
              <w:t xml:space="preserve">Cost-assessment methods estimating the intangible costs of natural hazards: Contingent Valuation Method (CVM); Choice </w:t>
            </w:r>
            <w:proofErr w:type="spellStart"/>
            <w:r w:rsidRPr="00CB47C6">
              <w:rPr>
                <w:rFonts w:ascii="Palatino Linotype" w:hAnsi="Palatino Linotype"/>
                <w:sz w:val="20"/>
                <w:szCs w:val="20"/>
                <w:lang w:val="en-GB"/>
              </w:rPr>
              <w:t>Modeling</w:t>
            </w:r>
            <w:proofErr w:type="spellEnd"/>
            <w:r w:rsidRPr="00CB47C6">
              <w:rPr>
                <w:rFonts w:ascii="Palatino Linotype" w:hAnsi="Palatino Linotype"/>
                <w:sz w:val="20"/>
                <w:szCs w:val="20"/>
                <w:lang w:val="en-GB"/>
              </w:rPr>
              <w:t xml:space="preserve"> Method (CMM); Life Satisfaction Analysis (LSA)</w:t>
            </w:r>
          </w:p>
        </w:tc>
        <w:tc>
          <w:tcPr>
            <w:tcW w:w="1985" w:type="dxa"/>
            <w:tcBorders>
              <w:top w:val="single" w:sz="6" w:space="0" w:color="FFFFFF"/>
              <w:left w:val="single" w:sz="6" w:space="0" w:color="FFFFFF"/>
              <w:bottom w:val="nil"/>
              <w:right w:val="single" w:sz="6" w:space="0" w:color="FFFFFF"/>
            </w:tcBorders>
            <w:shd w:val="clear" w:color="auto" w:fill="B8CCE4" w:themeFill="accent1" w:themeFillTint="66"/>
          </w:tcPr>
          <w:p w:rsidR="002A132E" w:rsidRPr="00CB47C6" w:rsidRDefault="002A132E" w:rsidP="00CA1C8F">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Markantonis</w:t>
            </w:r>
            <w:proofErr w:type="spellEnd"/>
            <w:r w:rsidRPr="00CB47C6">
              <w:rPr>
                <w:rFonts w:ascii="Palatino Linotype" w:hAnsi="Palatino Linotype"/>
                <w:sz w:val="20"/>
                <w:szCs w:val="20"/>
                <w:lang w:val="en-GB"/>
              </w:rPr>
              <w:t xml:space="preserve"> et al. (2011)  – Chapter 2, pages 39 - 53</w:t>
            </w:r>
          </w:p>
        </w:tc>
        <w:tc>
          <w:tcPr>
            <w:tcW w:w="3268" w:type="dxa"/>
            <w:tcBorders>
              <w:top w:val="single" w:sz="6" w:space="0" w:color="FFFFFF"/>
              <w:left w:val="single" w:sz="6" w:space="0" w:color="FFFFFF"/>
              <w:bottom w:val="single" w:sz="6" w:space="0" w:color="FFFFFF"/>
              <w:right w:val="single" w:sz="8" w:space="0" w:color="FFFFFF"/>
            </w:tcBorders>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36"/>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18BD0CB7" wp14:editId="279D90A3">
                        <wp:extent cx="826770" cy="278130"/>
                        <wp:effectExtent l="0" t="0" r="0" b="762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62C293FB" wp14:editId="5DB3EB0F">
                        <wp:extent cx="826770" cy="278130"/>
                        <wp:effectExtent l="0" t="0" r="0" b="762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5A4D8759" wp14:editId="6B4E468F">
                        <wp:extent cx="835025" cy="302260"/>
                        <wp:effectExtent l="0" t="0" r="3175" b="254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bl>
          <w:p w:rsidR="002A132E" w:rsidRPr="00CB47C6" w:rsidRDefault="002A132E" w:rsidP="00CA1C8F">
            <w:pPr>
              <w:spacing w:after="0"/>
              <w:rPr>
                <w:rFonts w:ascii="Palatino Linotype" w:hAnsi="Palatino Linotype"/>
                <w:sz w:val="20"/>
                <w:szCs w:val="20"/>
                <w:lang w:val="en-GB"/>
              </w:rPr>
            </w:pPr>
          </w:p>
        </w:tc>
      </w:tr>
      <w:tr w:rsidR="0061085F" w:rsidRPr="00CB47C6" w:rsidTr="00CB47C6">
        <w:tc>
          <w:tcPr>
            <w:tcW w:w="2183" w:type="dxa"/>
            <w:tcBorders>
              <w:right w:val="single" w:sz="24" w:space="0" w:color="FFFFFF"/>
            </w:tcBorders>
            <w:shd w:val="clear" w:color="auto" w:fill="95B3D7" w:themeFill="accent1" w:themeFillTint="99"/>
          </w:tcPr>
          <w:p w:rsidR="00C268C8" w:rsidRPr="00CB47C6" w:rsidRDefault="00C268C8"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Benefit transfer</w:t>
            </w:r>
            <w:r w:rsidR="005230C0" w:rsidRPr="00CB47C6">
              <w:rPr>
                <w:rFonts w:ascii="Palatino Linotype" w:hAnsi="Palatino Linotype"/>
                <w:b/>
                <w:bCs/>
                <w:color w:val="FFFFFF"/>
                <w:sz w:val="20"/>
                <w:szCs w:val="20"/>
                <w:lang w:val="en-GB"/>
              </w:rPr>
              <w:t xml:space="preserve"> methods</w:t>
            </w:r>
          </w:p>
        </w:tc>
        <w:tc>
          <w:tcPr>
            <w:tcW w:w="2268" w:type="dxa"/>
            <w:shd w:val="clear" w:color="auto" w:fill="B8CCE4" w:themeFill="accent1" w:themeFillTint="66"/>
          </w:tcPr>
          <w:p w:rsidR="00C268C8" w:rsidRPr="00CB47C6" w:rsidRDefault="005230C0"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 xml:space="preserve">Cost-assessment methods estimating the intangible costs of natural hazards: </w:t>
            </w:r>
            <w:r w:rsidR="00401612" w:rsidRPr="00CB47C6">
              <w:rPr>
                <w:rFonts w:ascii="Palatino Linotype" w:hAnsi="Palatino Linotype"/>
                <w:sz w:val="20"/>
                <w:szCs w:val="20"/>
                <w:lang w:val="en-GB"/>
              </w:rPr>
              <w:t>Benefit estimate transfer; benefit function transfer; and meta-analysis</w:t>
            </w:r>
          </w:p>
        </w:tc>
        <w:tc>
          <w:tcPr>
            <w:tcW w:w="1985" w:type="dxa"/>
            <w:tcBorders>
              <w:bottom w:val="nil"/>
            </w:tcBorders>
            <w:shd w:val="clear" w:color="auto" w:fill="B8CCE4" w:themeFill="accent1" w:themeFillTint="66"/>
          </w:tcPr>
          <w:p w:rsidR="00C268C8" w:rsidRPr="00CB47C6" w:rsidRDefault="00C268C8" w:rsidP="008C3310">
            <w:pPr>
              <w:spacing w:after="0"/>
              <w:rPr>
                <w:rFonts w:ascii="Palatino Linotype" w:hAnsi="Palatino Linotype"/>
                <w:sz w:val="20"/>
                <w:szCs w:val="20"/>
                <w:lang w:val="en-GB"/>
              </w:rPr>
            </w:pPr>
            <w:r w:rsidRPr="00CB47C6">
              <w:rPr>
                <w:rFonts w:ascii="Palatino Linotype" w:hAnsi="Palatino Linotype"/>
                <w:sz w:val="20"/>
                <w:szCs w:val="20"/>
                <w:lang w:val="en-GB"/>
              </w:rPr>
              <w:t>PREEMPT (2013) – Chapter 2, page 18</w:t>
            </w:r>
          </w:p>
          <w:p w:rsidR="00C268C8" w:rsidRPr="00CB47C6" w:rsidRDefault="00CA399A" w:rsidP="00CA399A">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Markantonis</w:t>
            </w:r>
            <w:proofErr w:type="spellEnd"/>
            <w:r w:rsidRPr="00CB47C6">
              <w:rPr>
                <w:rFonts w:ascii="Palatino Linotype" w:hAnsi="Palatino Linotype"/>
                <w:sz w:val="20"/>
                <w:szCs w:val="20"/>
                <w:lang w:val="en-GB"/>
              </w:rPr>
              <w:t xml:space="preserve"> et al. </w:t>
            </w:r>
            <w:r w:rsidR="00C268C8" w:rsidRPr="00CB47C6">
              <w:rPr>
                <w:rFonts w:ascii="Palatino Linotype" w:hAnsi="Palatino Linotype"/>
                <w:sz w:val="20"/>
                <w:szCs w:val="20"/>
                <w:lang w:val="en-GB"/>
              </w:rPr>
              <w:t>(2011) – Chapter 2, pages 55</w:t>
            </w:r>
            <w:r w:rsidR="00401612" w:rsidRPr="00CB47C6">
              <w:rPr>
                <w:rFonts w:ascii="Palatino Linotype" w:hAnsi="Palatino Linotype"/>
                <w:sz w:val="20"/>
                <w:szCs w:val="20"/>
                <w:lang w:val="en-GB"/>
              </w:rPr>
              <w:t xml:space="preserve"> - 56</w:t>
            </w:r>
          </w:p>
        </w:tc>
        <w:tc>
          <w:tcPr>
            <w:tcW w:w="3268" w:type="dxa"/>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36"/>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77EF7674" wp14:editId="38A03734">
                        <wp:extent cx="835025" cy="302260"/>
                        <wp:effectExtent l="0" t="0" r="3175" b="254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7572917E" wp14:editId="4744732D">
                        <wp:extent cx="826770" cy="278130"/>
                        <wp:effectExtent l="0" t="0" r="0" b="762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28036E79" wp14:editId="26B1EBBB">
                        <wp:extent cx="826770" cy="278130"/>
                        <wp:effectExtent l="0" t="0" r="0" b="762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bl>
          <w:p w:rsidR="00C268C8" w:rsidRPr="00CB47C6" w:rsidRDefault="00C268C8" w:rsidP="008C3310">
            <w:pPr>
              <w:spacing w:after="0"/>
              <w:rPr>
                <w:rFonts w:ascii="Palatino Linotype" w:hAnsi="Palatino Linotype"/>
                <w:sz w:val="20"/>
                <w:szCs w:val="20"/>
                <w:lang w:val="en-GB"/>
              </w:rPr>
            </w:pPr>
          </w:p>
        </w:tc>
      </w:tr>
      <w:tr w:rsidR="0061085F" w:rsidRPr="00CB47C6" w:rsidTr="00CB47C6">
        <w:tc>
          <w:tcPr>
            <w:tcW w:w="2183" w:type="dxa"/>
            <w:tcBorders>
              <w:top w:val="single" w:sz="8" w:space="0" w:color="FFFFFF"/>
              <w:right w:val="single" w:sz="24" w:space="0" w:color="FFFFFF"/>
            </w:tcBorders>
            <w:shd w:val="clear" w:color="auto" w:fill="95B3D7" w:themeFill="accent1" w:themeFillTint="99"/>
          </w:tcPr>
          <w:p w:rsidR="00C268C8" w:rsidRPr="00CB47C6" w:rsidRDefault="00C268C8"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Cost-Benefit Analysis</w:t>
            </w:r>
          </w:p>
        </w:tc>
        <w:tc>
          <w:tcPr>
            <w:tcW w:w="2268" w:type="dxa"/>
            <w:tcBorders>
              <w:top w:val="single" w:sz="8" w:space="0" w:color="FFFFFF"/>
              <w:right w:val="single" w:sz="8" w:space="0" w:color="FFFFFF"/>
            </w:tcBorders>
            <w:shd w:val="clear" w:color="auto" w:fill="B8CCE4" w:themeFill="accent1" w:themeFillTint="66"/>
          </w:tcPr>
          <w:p w:rsidR="00C268C8" w:rsidRPr="00CB47C6" w:rsidRDefault="00E832DD"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 xml:space="preserve">Cost-assessment method estimating the intangible costs of natural hazards: </w:t>
            </w:r>
            <w:r w:rsidR="00543FBD" w:rsidRPr="00CB47C6">
              <w:rPr>
                <w:rFonts w:ascii="Palatino Linotype" w:hAnsi="Palatino Linotype"/>
                <w:sz w:val="20"/>
                <w:szCs w:val="20"/>
                <w:lang w:val="en-GB"/>
              </w:rPr>
              <w:t xml:space="preserve">CBA is used to organise and present the costs and benefits, and inherent </w:t>
            </w:r>
            <w:r w:rsidR="00425215" w:rsidRPr="00CB47C6">
              <w:rPr>
                <w:rFonts w:ascii="Palatino Linotype" w:hAnsi="Palatino Linotype"/>
                <w:sz w:val="20"/>
                <w:szCs w:val="20"/>
                <w:lang w:val="en-GB"/>
              </w:rPr>
              <w:t>trade-offs</w:t>
            </w:r>
            <w:r w:rsidR="00543FBD" w:rsidRPr="00CB47C6">
              <w:rPr>
                <w:rFonts w:ascii="Palatino Linotype" w:hAnsi="Palatino Linotype"/>
                <w:sz w:val="20"/>
                <w:szCs w:val="20"/>
                <w:lang w:val="en-GB"/>
              </w:rPr>
              <w:t>, and finally estimate the efficiency of projects</w:t>
            </w:r>
          </w:p>
        </w:tc>
        <w:tc>
          <w:tcPr>
            <w:tcW w:w="1985" w:type="dxa"/>
            <w:tcBorders>
              <w:top w:val="single" w:sz="8" w:space="0" w:color="FFFFFF"/>
              <w:left w:val="single" w:sz="8" w:space="0" w:color="FFFFFF"/>
              <w:bottom w:val="nil"/>
              <w:right w:val="single" w:sz="8" w:space="0" w:color="FFFFFF"/>
            </w:tcBorders>
            <w:shd w:val="clear" w:color="auto" w:fill="B8CCE4" w:themeFill="accent1" w:themeFillTint="66"/>
          </w:tcPr>
          <w:p w:rsidR="00C268C8" w:rsidRPr="00CB47C6" w:rsidRDefault="00C268C8" w:rsidP="008C3310">
            <w:pPr>
              <w:spacing w:after="0"/>
              <w:rPr>
                <w:rFonts w:ascii="Palatino Linotype" w:hAnsi="Palatino Linotype"/>
                <w:sz w:val="20"/>
                <w:szCs w:val="20"/>
                <w:lang w:val="en-GB"/>
              </w:rPr>
            </w:pPr>
            <w:r w:rsidRPr="00CB47C6">
              <w:rPr>
                <w:rFonts w:ascii="Palatino Linotype" w:hAnsi="Palatino Linotype"/>
                <w:sz w:val="20"/>
                <w:szCs w:val="20"/>
                <w:lang w:val="en-GB"/>
              </w:rPr>
              <w:t>DEFRA (2004) – Chapter 5 pages 81 – 90</w:t>
            </w:r>
          </w:p>
          <w:p w:rsidR="00C268C8" w:rsidRPr="00CB47C6" w:rsidRDefault="00C268C8" w:rsidP="008C3310">
            <w:pPr>
              <w:spacing w:after="0"/>
              <w:rPr>
                <w:rFonts w:ascii="Palatino Linotype" w:hAnsi="Palatino Linotype"/>
                <w:sz w:val="20"/>
                <w:szCs w:val="20"/>
                <w:lang w:val="en-GB"/>
              </w:rPr>
            </w:pPr>
            <w:r w:rsidRPr="00CB47C6">
              <w:rPr>
                <w:rFonts w:ascii="Palatino Linotype" w:hAnsi="Palatino Linotype"/>
                <w:sz w:val="20"/>
                <w:szCs w:val="20"/>
                <w:lang w:val="en-GB"/>
              </w:rPr>
              <w:t>IPCC (1994) – Chapter 7 page 29</w:t>
            </w:r>
          </w:p>
          <w:p w:rsidR="00C268C8" w:rsidRPr="00CB47C6" w:rsidRDefault="00CA399A"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Markantonis</w:t>
            </w:r>
            <w:proofErr w:type="spellEnd"/>
            <w:r w:rsidRPr="00CB47C6">
              <w:rPr>
                <w:rFonts w:ascii="Palatino Linotype" w:hAnsi="Palatino Linotype"/>
                <w:sz w:val="20"/>
                <w:szCs w:val="20"/>
                <w:lang w:val="en-GB"/>
              </w:rPr>
              <w:t xml:space="preserve"> et al. (2011) </w:t>
            </w:r>
            <w:r w:rsidR="00C268C8" w:rsidRPr="00CB47C6">
              <w:rPr>
                <w:rFonts w:ascii="Palatino Linotype" w:hAnsi="Palatino Linotype"/>
                <w:sz w:val="20"/>
                <w:szCs w:val="20"/>
                <w:lang w:val="en-GB"/>
              </w:rPr>
              <w:t>– Chapter 2, pages 58 - 60</w:t>
            </w:r>
          </w:p>
        </w:tc>
        <w:tc>
          <w:tcPr>
            <w:tcW w:w="3268" w:type="dxa"/>
            <w:tcBorders>
              <w:top w:val="single" w:sz="8" w:space="0" w:color="FFFFFF"/>
              <w:left w:val="single" w:sz="8" w:space="0" w:color="FFFFFF"/>
              <w:bottom w:val="single" w:sz="8" w:space="0" w:color="FFFFFF"/>
            </w:tcBorders>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18"/>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328CCFE6" wp14:editId="5F106AC4">
                        <wp:extent cx="826770" cy="278130"/>
                        <wp:effectExtent l="0" t="0" r="0" b="762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13DCD499" wp14:editId="19D49A92">
                        <wp:extent cx="826770" cy="278130"/>
                        <wp:effectExtent l="0" t="0" r="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0C3A943B" wp14:editId="3E554FF5">
                        <wp:extent cx="826770" cy="278130"/>
                        <wp:effectExtent l="0" t="0" r="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bl>
          <w:p w:rsidR="00C268C8" w:rsidRPr="00CB47C6" w:rsidRDefault="00C268C8" w:rsidP="008C3310">
            <w:pPr>
              <w:spacing w:after="0"/>
              <w:rPr>
                <w:rFonts w:ascii="Palatino Linotype" w:hAnsi="Palatino Linotype"/>
                <w:sz w:val="20"/>
                <w:szCs w:val="20"/>
                <w:lang w:val="en-GB"/>
              </w:rPr>
            </w:pPr>
          </w:p>
        </w:tc>
      </w:tr>
      <w:tr w:rsidR="0061085F" w:rsidRPr="00CB47C6" w:rsidTr="00CB47C6">
        <w:tc>
          <w:tcPr>
            <w:tcW w:w="2183" w:type="dxa"/>
            <w:tcBorders>
              <w:right w:val="single" w:sz="24" w:space="0" w:color="FFFFFF"/>
            </w:tcBorders>
            <w:shd w:val="clear" w:color="auto" w:fill="95B3D7" w:themeFill="accent1" w:themeFillTint="99"/>
          </w:tcPr>
          <w:p w:rsidR="00C268C8" w:rsidRPr="00CB47C6" w:rsidRDefault="00C268C8"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Multi</w:t>
            </w:r>
            <w:r w:rsidR="0089413D" w:rsidRPr="00CB47C6">
              <w:rPr>
                <w:rFonts w:ascii="Palatino Linotype" w:hAnsi="Palatino Linotype"/>
                <w:b/>
                <w:bCs/>
                <w:color w:val="FFFFFF"/>
                <w:sz w:val="20"/>
                <w:szCs w:val="20"/>
                <w:lang w:val="en-GB"/>
              </w:rPr>
              <w:t>-</w:t>
            </w:r>
            <w:r w:rsidRPr="00CB47C6">
              <w:rPr>
                <w:rFonts w:ascii="Palatino Linotype" w:hAnsi="Palatino Linotype"/>
                <w:b/>
                <w:bCs/>
                <w:color w:val="FFFFFF"/>
                <w:sz w:val="20"/>
                <w:szCs w:val="20"/>
                <w:lang w:val="en-GB"/>
              </w:rPr>
              <w:t>criteria Analysis</w:t>
            </w:r>
          </w:p>
        </w:tc>
        <w:tc>
          <w:tcPr>
            <w:tcW w:w="2268" w:type="dxa"/>
            <w:shd w:val="clear" w:color="auto" w:fill="B8CCE4" w:themeFill="accent1" w:themeFillTint="66"/>
          </w:tcPr>
          <w:p w:rsidR="00C268C8" w:rsidRPr="00CB47C6" w:rsidRDefault="00E832DD"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 xml:space="preserve">Cost-assessment method estimating the intangible costs of natural hazards:  </w:t>
            </w:r>
            <w:r w:rsidR="00543FBD" w:rsidRPr="00CB47C6">
              <w:rPr>
                <w:rFonts w:ascii="Palatino Linotype" w:hAnsi="Palatino Linotype"/>
                <w:sz w:val="20"/>
                <w:szCs w:val="20"/>
                <w:lang w:val="en-GB"/>
              </w:rPr>
              <w:t>MCA is a</w:t>
            </w:r>
            <w:r w:rsidRPr="00CB47C6">
              <w:rPr>
                <w:rFonts w:ascii="Palatino Linotype" w:hAnsi="Palatino Linotype"/>
                <w:sz w:val="20"/>
                <w:szCs w:val="20"/>
                <w:lang w:val="en-GB"/>
              </w:rPr>
              <w:t>n</w:t>
            </w:r>
            <w:r w:rsidR="00543FBD" w:rsidRPr="00CB47C6">
              <w:rPr>
                <w:rFonts w:ascii="Palatino Linotype" w:hAnsi="Palatino Linotype"/>
                <w:sz w:val="20"/>
                <w:szCs w:val="20"/>
                <w:lang w:val="en-GB"/>
              </w:rPr>
              <w:t xml:space="preserve"> approach that involves judging the expected performance </w:t>
            </w:r>
            <w:r w:rsidR="00543FBD" w:rsidRPr="00CB47C6">
              <w:rPr>
                <w:rFonts w:ascii="Palatino Linotype" w:hAnsi="Palatino Linotype"/>
                <w:sz w:val="20"/>
                <w:szCs w:val="20"/>
                <w:lang w:val="en-GB"/>
              </w:rPr>
              <w:lastRenderedPageBreak/>
              <w:t>of each development option against a number of criteria or objectives</w:t>
            </w:r>
          </w:p>
        </w:tc>
        <w:tc>
          <w:tcPr>
            <w:tcW w:w="1985" w:type="dxa"/>
            <w:tcBorders>
              <w:bottom w:val="nil"/>
            </w:tcBorders>
            <w:shd w:val="clear" w:color="auto" w:fill="B8CCE4" w:themeFill="accent1" w:themeFillTint="66"/>
          </w:tcPr>
          <w:p w:rsidR="00C268C8" w:rsidRPr="00CB47C6" w:rsidRDefault="00CA399A"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lastRenderedPageBreak/>
              <w:t>Markantonis</w:t>
            </w:r>
            <w:proofErr w:type="spellEnd"/>
            <w:r w:rsidRPr="00CB47C6">
              <w:rPr>
                <w:rFonts w:ascii="Palatino Linotype" w:hAnsi="Palatino Linotype"/>
                <w:sz w:val="20"/>
                <w:szCs w:val="20"/>
                <w:lang w:val="en-GB"/>
              </w:rPr>
              <w:t xml:space="preserve"> et al. (2011) </w:t>
            </w:r>
            <w:r w:rsidR="00C268C8" w:rsidRPr="00CB47C6">
              <w:rPr>
                <w:rFonts w:ascii="Palatino Linotype" w:hAnsi="Palatino Linotype"/>
                <w:sz w:val="20"/>
                <w:szCs w:val="20"/>
                <w:lang w:val="en-GB"/>
              </w:rPr>
              <w:t>– Chapter 2, pages 60 - 62</w:t>
            </w:r>
          </w:p>
        </w:tc>
        <w:tc>
          <w:tcPr>
            <w:tcW w:w="3268" w:type="dxa"/>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18"/>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56722B4B" wp14:editId="74F3CDC2">
                        <wp:extent cx="826770" cy="278130"/>
                        <wp:effectExtent l="0" t="0" r="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482992CC" wp14:editId="7DF177BE">
                        <wp:extent cx="826770" cy="278130"/>
                        <wp:effectExtent l="0" t="0" r="0" b="762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338BB9D9" wp14:editId="12657D32">
                        <wp:extent cx="826770" cy="278130"/>
                        <wp:effectExtent l="0" t="0" r="0" b="762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bl>
          <w:p w:rsidR="00C268C8" w:rsidRPr="00CB47C6" w:rsidRDefault="00C268C8" w:rsidP="008C3310">
            <w:pPr>
              <w:spacing w:after="0"/>
              <w:rPr>
                <w:rFonts w:ascii="Palatino Linotype" w:hAnsi="Palatino Linotype"/>
                <w:sz w:val="20"/>
                <w:szCs w:val="20"/>
                <w:lang w:val="en-GB"/>
              </w:rPr>
            </w:pPr>
          </w:p>
        </w:tc>
      </w:tr>
      <w:tr w:rsidR="0061085F" w:rsidRPr="00CB47C6" w:rsidTr="00CB47C6">
        <w:tc>
          <w:tcPr>
            <w:tcW w:w="2183" w:type="dxa"/>
            <w:tcBorders>
              <w:top w:val="single" w:sz="8" w:space="0" w:color="FFFFFF"/>
              <w:right w:val="single" w:sz="24" w:space="0" w:color="FFFFFF"/>
            </w:tcBorders>
            <w:shd w:val="clear" w:color="auto" w:fill="95B3D7" w:themeFill="accent1" w:themeFillTint="99"/>
          </w:tcPr>
          <w:p w:rsidR="00C268C8" w:rsidRPr="00CB47C6" w:rsidRDefault="00C268C8"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lastRenderedPageBreak/>
              <w:t>Cost Effectiveness Analysis</w:t>
            </w:r>
          </w:p>
        </w:tc>
        <w:tc>
          <w:tcPr>
            <w:tcW w:w="2268" w:type="dxa"/>
            <w:tcBorders>
              <w:top w:val="single" w:sz="8" w:space="0" w:color="FFFFFF"/>
              <w:right w:val="single" w:sz="8" w:space="0" w:color="FFFFFF"/>
            </w:tcBorders>
            <w:shd w:val="clear" w:color="auto" w:fill="B8CCE4" w:themeFill="accent1" w:themeFillTint="66"/>
          </w:tcPr>
          <w:p w:rsidR="00C268C8" w:rsidRPr="00CB47C6" w:rsidRDefault="00E832DD"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 xml:space="preserve">Cost-assessment method estimating the intangible costs of natural hazards:  </w:t>
            </w:r>
            <w:r w:rsidR="00543FBD" w:rsidRPr="00CB47C6">
              <w:rPr>
                <w:rFonts w:ascii="Palatino Linotype" w:hAnsi="Palatino Linotype"/>
                <w:sz w:val="20"/>
                <w:szCs w:val="20"/>
                <w:lang w:val="en-GB"/>
              </w:rPr>
              <w:t>CEA is an economic approach that compares the relative costs and outcomes of two or more courses of action</w:t>
            </w:r>
          </w:p>
        </w:tc>
        <w:tc>
          <w:tcPr>
            <w:tcW w:w="1985" w:type="dxa"/>
            <w:tcBorders>
              <w:top w:val="single" w:sz="8" w:space="0" w:color="FFFFFF"/>
              <w:left w:val="single" w:sz="8" w:space="0" w:color="FFFFFF"/>
              <w:bottom w:val="nil"/>
              <w:right w:val="single" w:sz="8" w:space="0" w:color="FFFFFF"/>
            </w:tcBorders>
            <w:shd w:val="clear" w:color="auto" w:fill="B8CCE4" w:themeFill="accent1" w:themeFillTint="66"/>
          </w:tcPr>
          <w:p w:rsidR="00C268C8" w:rsidRPr="00CB47C6" w:rsidRDefault="00CA399A"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Markantonis</w:t>
            </w:r>
            <w:proofErr w:type="spellEnd"/>
            <w:r w:rsidRPr="00CB47C6">
              <w:rPr>
                <w:rFonts w:ascii="Palatino Linotype" w:hAnsi="Palatino Linotype"/>
                <w:sz w:val="20"/>
                <w:szCs w:val="20"/>
                <w:lang w:val="en-GB"/>
              </w:rPr>
              <w:t xml:space="preserve"> et al. (2011) </w:t>
            </w:r>
            <w:r w:rsidR="00C268C8" w:rsidRPr="00CB47C6">
              <w:rPr>
                <w:rFonts w:ascii="Palatino Linotype" w:hAnsi="Palatino Linotype"/>
                <w:sz w:val="20"/>
                <w:szCs w:val="20"/>
                <w:lang w:val="en-GB"/>
              </w:rPr>
              <w:t xml:space="preserve"> – Chapter 2, page 63</w:t>
            </w:r>
          </w:p>
        </w:tc>
        <w:tc>
          <w:tcPr>
            <w:tcW w:w="3268" w:type="dxa"/>
            <w:tcBorders>
              <w:top w:val="single" w:sz="8" w:space="0" w:color="FFFFFF"/>
              <w:left w:val="single" w:sz="8" w:space="0" w:color="FFFFFF"/>
              <w:bottom w:val="single" w:sz="8" w:space="0" w:color="FFFFFF"/>
            </w:tcBorders>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18"/>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289E02EB" wp14:editId="50E2C24C">
                        <wp:extent cx="826770" cy="278130"/>
                        <wp:effectExtent l="0" t="0" r="0" b="762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2644AEAF" wp14:editId="33EE3795">
                        <wp:extent cx="826770" cy="278130"/>
                        <wp:effectExtent l="0" t="0" r="0" b="762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54D717F5" wp14:editId="5ABF011F">
                        <wp:extent cx="826770" cy="278130"/>
                        <wp:effectExtent l="0" t="0" r="0" b="762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p>
              </w:tc>
            </w:tr>
          </w:tbl>
          <w:p w:rsidR="00C268C8" w:rsidRPr="00CB47C6" w:rsidRDefault="00C268C8" w:rsidP="008C3310">
            <w:pPr>
              <w:spacing w:after="0"/>
              <w:rPr>
                <w:rFonts w:ascii="Palatino Linotype" w:hAnsi="Palatino Linotype"/>
                <w:sz w:val="20"/>
                <w:szCs w:val="20"/>
                <w:lang w:val="en-GB"/>
              </w:rPr>
            </w:pPr>
          </w:p>
        </w:tc>
      </w:tr>
      <w:tr w:rsidR="0061085F" w:rsidRPr="00CB47C6" w:rsidTr="00CB47C6">
        <w:tc>
          <w:tcPr>
            <w:tcW w:w="2183" w:type="dxa"/>
            <w:tcBorders>
              <w:top w:val="single" w:sz="8" w:space="0" w:color="FFFFFF"/>
              <w:right w:val="single" w:sz="24" w:space="0" w:color="FFFFFF"/>
            </w:tcBorders>
            <w:shd w:val="clear" w:color="auto" w:fill="95B3D7" w:themeFill="accent1" w:themeFillTint="99"/>
          </w:tcPr>
          <w:p w:rsidR="00543FBD" w:rsidRPr="00CB47C6" w:rsidRDefault="00543FBD"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Biophysical Models</w:t>
            </w:r>
          </w:p>
        </w:tc>
        <w:tc>
          <w:tcPr>
            <w:tcW w:w="2268" w:type="dxa"/>
            <w:tcBorders>
              <w:top w:val="single" w:sz="8" w:space="0" w:color="FFFFFF"/>
              <w:right w:val="single" w:sz="8" w:space="0" w:color="FFFFFF"/>
            </w:tcBorders>
            <w:shd w:val="clear" w:color="auto" w:fill="B8CCE4" w:themeFill="accent1" w:themeFillTint="66"/>
          </w:tcPr>
          <w:p w:rsidR="00543FBD" w:rsidRPr="00CB47C6" w:rsidRDefault="00B54928"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Biophysical models are used to evaluate the physical interactions between climate and an exposure unit. Empirical-statistical models are based on the statistical relation; Process-based models are based on the physical relation.</w:t>
            </w:r>
          </w:p>
        </w:tc>
        <w:tc>
          <w:tcPr>
            <w:tcW w:w="1985" w:type="dxa"/>
            <w:tcBorders>
              <w:top w:val="single" w:sz="8" w:space="0" w:color="FFFFFF"/>
              <w:left w:val="single" w:sz="8" w:space="0" w:color="FFFFFF"/>
              <w:bottom w:val="nil"/>
              <w:right w:val="single" w:sz="8" w:space="0" w:color="FFFFFF"/>
            </w:tcBorders>
            <w:shd w:val="clear" w:color="auto" w:fill="B8CCE4" w:themeFill="accent1" w:themeFillTint="66"/>
          </w:tcPr>
          <w:p w:rsidR="00543FBD" w:rsidRPr="00CB47C6" w:rsidRDefault="00543FBD" w:rsidP="008C3310">
            <w:pPr>
              <w:spacing w:after="0"/>
              <w:rPr>
                <w:rFonts w:ascii="Palatino Linotype" w:hAnsi="Palatino Linotype"/>
                <w:sz w:val="20"/>
                <w:szCs w:val="20"/>
                <w:lang w:val="en-GB"/>
              </w:rPr>
            </w:pPr>
            <w:r w:rsidRPr="00CB47C6">
              <w:rPr>
                <w:rFonts w:ascii="Palatino Linotype" w:hAnsi="Palatino Linotype"/>
                <w:sz w:val="20"/>
                <w:szCs w:val="20"/>
                <w:lang w:val="en-GB"/>
              </w:rPr>
              <w:t>IPCC (1994) – Chapter 4 page 8</w:t>
            </w:r>
          </w:p>
        </w:tc>
        <w:tc>
          <w:tcPr>
            <w:tcW w:w="3268" w:type="dxa"/>
            <w:tcBorders>
              <w:top w:val="single" w:sz="8" w:space="0" w:color="FFFFFF"/>
              <w:left w:val="single" w:sz="8" w:space="0" w:color="FFFFFF"/>
              <w:bottom w:val="single" w:sz="8" w:space="0" w:color="FFFFFF"/>
            </w:tcBorders>
            <w:shd w:val="clear" w:color="auto" w:fill="B8CCE4" w:themeFill="accent1" w:themeFillTint="66"/>
          </w:tcPr>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36"/>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7186DFC0" wp14:editId="5E42B000">
                        <wp:extent cx="835025" cy="302260"/>
                        <wp:effectExtent l="0" t="0" r="3175" b="254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3F66D587" wp14:editId="671A7A9A">
                        <wp:extent cx="835025" cy="302260"/>
                        <wp:effectExtent l="0" t="0" r="3175"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7DDE489F" wp14:editId="5395046E">
                        <wp:extent cx="835025" cy="302260"/>
                        <wp:effectExtent l="0" t="0" r="3175" b="254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bl>
          <w:p w:rsidR="00543FBD" w:rsidRPr="00CB47C6" w:rsidRDefault="00543FBD" w:rsidP="008C3310">
            <w:pPr>
              <w:spacing w:after="0"/>
              <w:rPr>
                <w:rFonts w:ascii="Palatino Linotype" w:hAnsi="Palatino Linotype"/>
                <w:sz w:val="20"/>
                <w:szCs w:val="20"/>
                <w:lang w:val="en-GB"/>
              </w:rPr>
            </w:pPr>
          </w:p>
        </w:tc>
      </w:tr>
      <w:tr w:rsidR="0061085F" w:rsidRPr="00CB47C6" w:rsidTr="00CB47C6">
        <w:tc>
          <w:tcPr>
            <w:tcW w:w="2183" w:type="dxa"/>
            <w:tcBorders>
              <w:top w:val="single" w:sz="8" w:space="0" w:color="FFFFFF"/>
              <w:bottom w:val="single" w:sz="8" w:space="0" w:color="FFFFFF"/>
              <w:right w:val="single" w:sz="24" w:space="0" w:color="FFFFFF"/>
            </w:tcBorders>
            <w:shd w:val="clear" w:color="auto" w:fill="95B3D7" w:themeFill="accent1" w:themeFillTint="99"/>
          </w:tcPr>
          <w:p w:rsidR="00543FBD" w:rsidRPr="00CB47C6" w:rsidRDefault="00543FBD" w:rsidP="008C3310">
            <w:pPr>
              <w:spacing w:after="0"/>
              <w:rPr>
                <w:rFonts w:ascii="Palatino Linotype" w:hAnsi="Palatino Linotype"/>
                <w:b/>
                <w:bCs/>
                <w:color w:val="FFFFFF"/>
                <w:sz w:val="20"/>
                <w:szCs w:val="20"/>
                <w:lang w:val="en-GB"/>
              </w:rPr>
            </w:pPr>
            <w:r w:rsidRPr="00CB47C6">
              <w:rPr>
                <w:rFonts w:ascii="Palatino Linotype" w:hAnsi="Palatino Linotype"/>
                <w:b/>
                <w:bCs/>
                <w:color w:val="FFFFFF"/>
                <w:sz w:val="20"/>
                <w:szCs w:val="20"/>
                <w:lang w:val="en-GB"/>
              </w:rPr>
              <w:t>Uncertainty analysis</w:t>
            </w:r>
          </w:p>
        </w:tc>
        <w:tc>
          <w:tcPr>
            <w:tcW w:w="2268" w:type="dxa"/>
            <w:tcBorders>
              <w:top w:val="single" w:sz="8" w:space="0" w:color="FFFFFF"/>
              <w:bottom w:val="single" w:sz="8" w:space="0" w:color="FFFFFF"/>
              <w:right w:val="single" w:sz="8" w:space="0" w:color="FFFFFF"/>
            </w:tcBorders>
            <w:shd w:val="clear" w:color="auto" w:fill="B8CCE4" w:themeFill="accent1" w:themeFillTint="66"/>
          </w:tcPr>
          <w:p w:rsidR="00543FBD" w:rsidRPr="00CB47C6" w:rsidRDefault="00B03028" w:rsidP="00121B51">
            <w:pPr>
              <w:spacing w:after="0"/>
              <w:jc w:val="both"/>
              <w:rPr>
                <w:rFonts w:ascii="Palatino Linotype" w:hAnsi="Palatino Linotype"/>
                <w:sz w:val="20"/>
                <w:szCs w:val="20"/>
                <w:lang w:val="en-GB"/>
              </w:rPr>
            </w:pPr>
            <w:r w:rsidRPr="00CB47C6">
              <w:rPr>
                <w:rFonts w:ascii="Palatino Linotype" w:hAnsi="Palatino Linotype"/>
                <w:sz w:val="20"/>
                <w:szCs w:val="20"/>
                <w:lang w:val="en-GB"/>
              </w:rPr>
              <w:t xml:space="preserve">Methods and techniques aimed at assessing </w:t>
            </w:r>
            <w:r w:rsidR="0089413D" w:rsidRPr="00CB47C6">
              <w:rPr>
                <w:rFonts w:ascii="Palatino Linotype" w:hAnsi="Palatino Linotype"/>
                <w:sz w:val="20"/>
                <w:szCs w:val="20"/>
                <w:lang w:val="en-GB"/>
              </w:rPr>
              <w:t>and managing</w:t>
            </w:r>
            <w:r w:rsidRPr="00CB47C6">
              <w:rPr>
                <w:rFonts w:ascii="Palatino Linotype" w:hAnsi="Palatino Linotype"/>
                <w:sz w:val="20"/>
                <w:szCs w:val="20"/>
                <w:lang w:val="en-GB"/>
              </w:rPr>
              <w:t xml:space="preserve"> uncertainty derived from “errors” and “unknowns” in flood impact assessment.</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543FBD" w:rsidRPr="00CB47C6" w:rsidRDefault="00543FBD" w:rsidP="008C3310">
            <w:pPr>
              <w:spacing w:after="0"/>
              <w:rPr>
                <w:rFonts w:ascii="Palatino Linotype" w:hAnsi="Palatino Linotype"/>
                <w:sz w:val="20"/>
                <w:szCs w:val="20"/>
                <w:lang w:val="en-GB"/>
              </w:rPr>
            </w:pPr>
            <w:r w:rsidRPr="00CB47C6">
              <w:rPr>
                <w:rFonts w:ascii="Palatino Linotype" w:hAnsi="Palatino Linotype"/>
                <w:sz w:val="20"/>
                <w:szCs w:val="20"/>
                <w:lang w:val="en-GB"/>
              </w:rPr>
              <w:t>IPCC (1994) – Chapter 7 page 31</w:t>
            </w:r>
          </w:p>
          <w:p w:rsidR="00543FBD" w:rsidRPr="00CB47C6" w:rsidRDefault="00543FBD" w:rsidP="008C3310">
            <w:pPr>
              <w:spacing w:after="0"/>
              <w:rPr>
                <w:rFonts w:ascii="Palatino Linotype" w:hAnsi="Palatino Linotype"/>
                <w:sz w:val="20"/>
                <w:szCs w:val="20"/>
                <w:lang w:val="en-GB"/>
              </w:rPr>
            </w:pPr>
            <w:r w:rsidRPr="00CB47C6">
              <w:rPr>
                <w:rFonts w:ascii="Palatino Linotype" w:hAnsi="Palatino Linotype"/>
                <w:sz w:val="20"/>
                <w:szCs w:val="20"/>
                <w:lang w:val="en-GB"/>
              </w:rPr>
              <w:t>Government of Queensland (2002) – Chapter 7 – page 53</w:t>
            </w:r>
          </w:p>
          <w:p w:rsidR="00543FBD" w:rsidRPr="00CB47C6" w:rsidRDefault="00543FBD"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Messner</w:t>
            </w:r>
            <w:proofErr w:type="spellEnd"/>
            <w:r w:rsidRPr="00CB47C6">
              <w:rPr>
                <w:rFonts w:ascii="Palatino Linotype" w:hAnsi="Palatino Linotype"/>
                <w:sz w:val="20"/>
                <w:szCs w:val="20"/>
                <w:lang w:val="en-GB"/>
              </w:rPr>
              <w:t xml:space="preserve"> et al (2007) – Chapter 2 pages 14 – 18</w:t>
            </w:r>
          </w:p>
          <w:p w:rsidR="00543FBD" w:rsidRPr="00CB47C6" w:rsidRDefault="007C0BE8" w:rsidP="008C3310">
            <w:pPr>
              <w:spacing w:after="0"/>
              <w:rPr>
                <w:rFonts w:ascii="Palatino Linotype" w:hAnsi="Palatino Linotype"/>
                <w:sz w:val="20"/>
                <w:szCs w:val="20"/>
                <w:lang w:val="en-GB"/>
              </w:rPr>
            </w:pPr>
            <w:proofErr w:type="spellStart"/>
            <w:r w:rsidRPr="00CB47C6">
              <w:rPr>
                <w:rFonts w:ascii="Palatino Linotype" w:hAnsi="Palatino Linotype"/>
                <w:sz w:val="20"/>
                <w:szCs w:val="20"/>
                <w:lang w:val="en-GB"/>
              </w:rPr>
              <w:t>Conhaz</w:t>
            </w:r>
            <w:proofErr w:type="spellEnd"/>
            <w:r w:rsidRPr="00CB47C6">
              <w:rPr>
                <w:rFonts w:ascii="Palatino Linotype" w:hAnsi="Palatino Linotype"/>
                <w:sz w:val="20"/>
                <w:szCs w:val="20"/>
                <w:lang w:val="en-GB"/>
              </w:rPr>
              <w:t xml:space="preserve"> (</w:t>
            </w:r>
            <w:proofErr w:type="spellStart"/>
            <w:r w:rsidR="00543FBD" w:rsidRPr="00CB47C6">
              <w:rPr>
                <w:rFonts w:ascii="Palatino Linotype" w:hAnsi="Palatino Linotype"/>
                <w:sz w:val="20"/>
                <w:szCs w:val="20"/>
                <w:lang w:val="en-GB"/>
              </w:rPr>
              <w:t>Bubeck</w:t>
            </w:r>
            <w:proofErr w:type="spellEnd"/>
            <w:r w:rsidR="00543FBD" w:rsidRPr="00CB47C6">
              <w:rPr>
                <w:rFonts w:ascii="Palatino Linotype" w:hAnsi="Palatino Linotype"/>
                <w:sz w:val="20"/>
                <w:szCs w:val="20"/>
                <w:lang w:val="en-GB"/>
              </w:rPr>
              <w:t xml:space="preserve"> </w:t>
            </w:r>
            <w:r w:rsidR="00135F78" w:rsidRPr="00CB47C6">
              <w:rPr>
                <w:rFonts w:ascii="Palatino Linotype" w:hAnsi="Palatino Linotype"/>
                <w:sz w:val="20"/>
                <w:szCs w:val="20"/>
                <w:lang w:val="en-GB"/>
              </w:rPr>
              <w:t>et al.</w:t>
            </w:r>
            <w:r w:rsidRPr="00CB47C6">
              <w:rPr>
                <w:rFonts w:ascii="Palatino Linotype" w:hAnsi="Palatino Linotype"/>
                <w:sz w:val="20"/>
                <w:szCs w:val="20"/>
                <w:lang w:val="en-GB"/>
              </w:rPr>
              <w:t xml:space="preserve"> </w:t>
            </w:r>
            <w:r w:rsidR="00543FBD" w:rsidRPr="00CB47C6">
              <w:rPr>
                <w:rFonts w:ascii="Palatino Linotype" w:hAnsi="Palatino Linotype"/>
                <w:sz w:val="20"/>
                <w:szCs w:val="20"/>
                <w:lang w:val="en-GB"/>
              </w:rPr>
              <w:t>2011) – Chapter, pages 21 - 23</w:t>
            </w:r>
          </w:p>
          <w:p w:rsidR="00B03028" w:rsidRPr="00CB47C6" w:rsidRDefault="00B03028" w:rsidP="00B03028">
            <w:pPr>
              <w:spacing w:after="0"/>
              <w:rPr>
                <w:rFonts w:ascii="Palatino Linotype" w:hAnsi="Palatino Linotype"/>
                <w:sz w:val="20"/>
                <w:szCs w:val="20"/>
                <w:lang w:val="en-GB"/>
              </w:rPr>
            </w:pPr>
            <w:r w:rsidRPr="00CB47C6">
              <w:rPr>
                <w:rFonts w:ascii="Palatino Linotype" w:hAnsi="Palatino Linotype"/>
                <w:sz w:val="20"/>
                <w:szCs w:val="20"/>
                <w:lang w:val="en-GB"/>
              </w:rPr>
              <w:t xml:space="preserve">Green et al. </w:t>
            </w:r>
            <w:r w:rsidR="00135F78" w:rsidRPr="00CB47C6">
              <w:rPr>
                <w:rFonts w:ascii="Palatino Linotype" w:hAnsi="Palatino Linotype"/>
                <w:sz w:val="20"/>
                <w:szCs w:val="20"/>
                <w:lang w:val="en-GB"/>
              </w:rPr>
              <w:t>(</w:t>
            </w:r>
            <w:r w:rsidRPr="00CB47C6">
              <w:rPr>
                <w:rFonts w:ascii="Palatino Linotype" w:hAnsi="Palatino Linotype"/>
                <w:sz w:val="20"/>
                <w:szCs w:val="20"/>
                <w:lang w:val="en-GB"/>
              </w:rPr>
              <w:t>2011</w:t>
            </w:r>
            <w:r w:rsidR="00135F78" w:rsidRPr="00CB47C6">
              <w:rPr>
                <w:rFonts w:ascii="Palatino Linotype" w:hAnsi="Palatino Linotype"/>
                <w:sz w:val="20"/>
                <w:szCs w:val="20"/>
                <w:lang w:val="en-GB"/>
              </w:rPr>
              <w:t>)</w:t>
            </w:r>
            <w:r w:rsidRPr="00CB47C6">
              <w:rPr>
                <w:rFonts w:ascii="Palatino Linotype" w:hAnsi="Palatino Linotype"/>
                <w:sz w:val="20"/>
                <w:szCs w:val="20"/>
                <w:lang w:val="en-GB"/>
              </w:rPr>
              <w:t>, Ch. 5 p. 76</w:t>
            </w:r>
          </w:p>
        </w:tc>
        <w:tc>
          <w:tcPr>
            <w:tcW w:w="3268" w:type="dxa"/>
            <w:tcBorders>
              <w:top w:val="single" w:sz="8" w:space="0" w:color="FFFFFF"/>
              <w:left w:val="single" w:sz="8" w:space="0" w:color="FFFFFF"/>
              <w:bottom w:val="single" w:sz="8" w:space="0" w:color="FFFFFF"/>
            </w:tcBorders>
            <w:shd w:val="clear" w:color="auto" w:fill="B8CCE4" w:themeFill="accent1" w:themeFillTint="66"/>
          </w:tcPr>
          <w:p w:rsidR="00034411" w:rsidRPr="00CB47C6" w:rsidRDefault="00034411" w:rsidP="008C3310">
            <w:pPr>
              <w:spacing w:after="0" w:line="240" w:lineRule="auto"/>
              <w:rPr>
                <w:rFonts w:ascii="Palatino Linotype" w:hAnsi="Palatino Linotype"/>
                <w:sz w:val="20"/>
                <w:szCs w:val="20"/>
                <w:lang w:val="en-GB"/>
              </w:rPr>
            </w:pPr>
          </w:p>
          <w:tbl>
            <w:tblPr>
              <w:tblW w:w="1701" w:type="dxa"/>
              <w:tblInd w:w="284" w:type="dxa"/>
              <w:tblBorders>
                <w:insideH w:val="dashSmallGap" w:sz="6" w:space="0" w:color="auto"/>
                <w:insideV w:val="dashSmallGap" w:sz="6" w:space="0" w:color="auto"/>
              </w:tblBorders>
              <w:tblLook w:val="00A0" w:firstRow="1" w:lastRow="0" w:firstColumn="1" w:lastColumn="0" w:noHBand="0" w:noVBand="0"/>
            </w:tblPr>
            <w:tblGrid>
              <w:gridCol w:w="1311"/>
              <w:gridCol w:w="1536"/>
            </w:tblGrid>
            <w:tr w:rsidR="00034411" w:rsidRPr="00CB47C6" w:rsidTr="00C92799">
              <w:tc>
                <w:tcPr>
                  <w:tcW w:w="850" w:type="dxa"/>
                  <w:tcBorders>
                    <w:top w:val="nil"/>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Background Knowledge</w:t>
                  </w:r>
                </w:p>
              </w:tc>
              <w:tc>
                <w:tcPr>
                  <w:tcW w:w="851" w:type="dxa"/>
                  <w:tcBorders>
                    <w:top w:val="nil"/>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3F95D71E" wp14:editId="726A7921">
                        <wp:extent cx="835025" cy="302260"/>
                        <wp:effectExtent l="0" t="0" r="3175" b="254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034411" w:rsidRPr="00CB47C6" w:rsidTr="00C92799">
              <w:tc>
                <w:tcPr>
                  <w:tcW w:w="850" w:type="dxa"/>
                  <w:tcBorders>
                    <w:top w:val="dashSmallGap" w:sz="6" w:space="0" w:color="auto"/>
                    <w:bottom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Degree of Complexity</w:t>
                  </w:r>
                </w:p>
              </w:tc>
              <w:tc>
                <w:tcPr>
                  <w:tcW w:w="851" w:type="dxa"/>
                  <w:tcBorders>
                    <w:top w:val="dashSmallGap" w:sz="6" w:space="0" w:color="auto"/>
                    <w:left w:val="dashSmallGap" w:sz="6" w:space="0" w:color="auto"/>
                    <w:bottom w:val="dashSmallGap" w:sz="6" w:space="0" w:color="auto"/>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79B5E204" wp14:editId="51ACBD8C">
                        <wp:extent cx="835025" cy="302260"/>
                        <wp:effectExtent l="0" t="0" r="3175" b="254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r w:rsidR="00034411" w:rsidRPr="00CB47C6" w:rsidTr="00C92799">
              <w:tc>
                <w:tcPr>
                  <w:tcW w:w="850" w:type="dxa"/>
                  <w:tcBorders>
                    <w:top w:val="dashSmallGap" w:sz="6" w:space="0" w:color="auto"/>
                    <w:right w:val="dashSmallGap" w:sz="6" w:space="0" w:color="auto"/>
                  </w:tcBorders>
                  <w:shd w:val="clear" w:color="auto" w:fill="auto"/>
                </w:tcPr>
                <w:p w:rsidR="00034411" w:rsidRPr="00CB47C6" w:rsidRDefault="00034411" w:rsidP="00C92799">
                  <w:pPr>
                    <w:spacing w:after="0" w:line="240" w:lineRule="auto"/>
                    <w:rPr>
                      <w:rFonts w:ascii="Palatino Linotype" w:hAnsi="Palatino Linotype"/>
                      <w:sz w:val="20"/>
                      <w:szCs w:val="20"/>
                      <w:lang w:val="en-GB"/>
                    </w:rPr>
                  </w:pPr>
                  <w:r w:rsidRPr="00CB47C6">
                    <w:rPr>
                      <w:rFonts w:ascii="Palatino Linotype" w:hAnsi="Palatino Linotype"/>
                      <w:sz w:val="20"/>
                      <w:szCs w:val="20"/>
                      <w:lang w:val="en-GB"/>
                    </w:rPr>
                    <w:t>Data requirement</w:t>
                  </w:r>
                </w:p>
              </w:tc>
              <w:tc>
                <w:tcPr>
                  <w:tcW w:w="851" w:type="dxa"/>
                  <w:tcBorders>
                    <w:top w:val="dashSmallGap" w:sz="6" w:space="0" w:color="auto"/>
                    <w:left w:val="dashSmallGap" w:sz="6" w:space="0" w:color="auto"/>
                    <w:bottom w:val="nil"/>
                    <w:right w:val="dashSmallGap" w:sz="6" w:space="0" w:color="auto"/>
                  </w:tcBorders>
                  <w:shd w:val="clear" w:color="auto" w:fill="auto"/>
                </w:tcPr>
                <w:p w:rsidR="00034411" w:rsidRPr="00CB47C6" w:rsidRDefault="00121B51" w:rsidP="00C92799">
                  <w:pPr>
                    <w:spacing w:after="0" w:line="240" w:lineRule="auto"/>
                    <w:rPr>
                      <w:rFonts w:ascii="Palatino Linotype" w:hAnsi="Palatino Linotype"/>
                      <w:sz w:val="20"/>
                      <w:szCs w:val="20"/>
                      <w:lang w:val="en-GB"/>
                    </w:rPr>
                  </w:pPr>
                  <w:r w:rsidRPr="00CB47C6">
                    <w:rPr>
                      <w:rFonts w:ascii="Palatino Linotype" w:hAnsi="Palatino Linotype"/>
                      <w:lang w:val="en-GB" w:eastAsia="en-GB"/>
                    </w:rPr>
                    <w:drawing>
                      <wp:inline distT="0" distB="0" distL="0" distR="0" wp14:anchorId="6AF074B4" wp14:editId="25BA1D38">
                        <wp:extent cx="835025" cy="302260"/>
                        <wp:effectExtent l="0" t="0" r="3175" b="254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835025" cy="302260"/>
                                </a:xfrm>
                                <a:prstGeom prst="rect">
                                  <a:avLst/>
                                </a:prstGeom>
                                <a:noFill/>
                                <a:ln>
                                  <a:noFill/>
                                </a:ln>
                              </pic:spPr>
                            </pic:pic>
                          </a:graphicData>
                        </a:graphic>
                      </wp:inline>
                    </w:drawing>
                  </w:r>
                </w:p>
              </w:tc>
            </w:tr>
          </w:tbl>
          <w:p w:rsidR="00543FBD" w:rsidRPr="00CB47C6" w:rsidRDefault="00543FBD" w:rsidP="008C3310">
            <w:pPr>
              <w:spacing w:after="0" w:line="240" w:lineRule="auto"/>
              <w:rPr>
                <w:rFonts w:ascii="Palatino Linotype" w:hAnsi="Palatino Linotype"/>
                <w:sz w:val="20"/>
                <w:szCs w:val="20"/>
                <w:lang w:val="en-GB"/>
              </w:rPr>
            </w:pPr>
          </w:p>
        </w:tc>
      </w:tr>
    </w:tbl>
    <w:p w:rsidR="00FD5688" w:rsidRPr="00CB47C6" w:rsidRDefault="00FD5688" w:rsidP="006A66F4">
      <w:pPr>
        <w:spacing w:after="0" w:line="240" w:lineRule="auto"/>
        <w:rPr>
          <w:rFonts w:ascii="Palatino Linotype" w:hAnsi="Palatino Linotype"/>
          <w:sz w:val="32"/>
          <w:szCs w:val="32"/>
          <w:lang w:val="en-GB"/>
        </w:rPr>
      </w:pPr>
    </w:p>
    <w:p w:rsidR="006463E5" w:rsidRPr="00CB47C6" w:rsidRDefault="006463E5" w:rsidP="006A66F4">
      <w:pPr>
        <w:spacing w:after="0" w:line="240" w:lineRule="auto"/>
        <w:rPr>
          <w:rFonts w:ascii="Palatino Linotype" w:hAnsi="Palatino Linotype"/>
          <w:b/>
          <w:sz w:val="32"/>
          <w:szCs w:val="32"/>
          <w:lang w:val="en-GB"/>
        </w:rPr>
      </w:pPr>
      <w:r w:rsidRPr="00CB47C6">
        <w:rPr>
          <w:rFonts w:ascii="Palatino Linotype" w:hAnsi="Palatino Linotype"/>
          <w:sz w:val="32"/>
          <w:szCs w:val="32"/>
          <w:lang w:val="en-GB"/>
        </w:rPr>
        <w:t>[Page]</w:t>
      </w:r>
      <w:r w:rsidRPr="00CB47C6">
        <w:rPr>
          <w:rFonts w:ascii="Palatino Linotype" w:hAnsi="Palatino Linotype"/>
          <w:b/>
          <w:sz w:val="32"/>
          <w:szCs w:val="32"/>
          <w:lang w:val="en-GB"/>
        </w:rPr>
        <w:t xml:space="preserve"> Overview of the guidance documents </w:t>
      </w:r>
    </w:p>
    <w:p w:rsidR="00467514" w:rsidRPr="00CB47C6" w:rsidRDefault="007C0BE8" w:rsidP="006A66F4">
      <w:pPr>
        <w:pStyle w:val="Paragrafoelenco"/>
        <w:spacing w:before="200"/>
        <w:ind w:left="0"/>
        <w:jc w:val="both"/>
        <w:rPr>
          <w:rFonts w:ascii="Palatino Linotype" w:hAnsi="Palatino Linotype"/>
          <w:sz w:val="24"/>
          <w:szCs w:val="24"/>
          <w:lang w:val="en-GB"/>
        </w:rPr>
      </w:pPr>
      <w:r w:rsidRPr="00CB47C6">
        <w:rPr>
          <w:rFonts w:ascii="Palatino Linotype" w:hAnsi="Palatino Linotype"/>
          <w:sz w:val="24"/>
          <w:szCs w:val="24"/>
          <w:lang w:val="en-GB"/>
        </w:rPr>
        <w:t xml:space="preserve">The </w:t>
      </w:r>
      <w:r w:rsidR="00AE60D7" w:rsidRPr="00CB47C6">
        <w:rPr>
          <w:rFonts w:ascii="Palatino Linotype" w:hAnsi="Palatino Linotype"/>
          <w:sz w:val="24"/>
          <w:szCs w:val="24"/>
          <w:lang w:val="en-GB"/>
        </w:rPr>
        <w:t xml:space="preserve">methodological </w:t>
      </w:r>
      <w:r w:rsidRPr="00CB47C6">
        <w:rPr>
          <w:rFonts w:ascii="Palatino Linotype" w:hAnsi="Palatino Linotype"/>
          <w:sz w:val="24"/>
          <w:szCs w:val="24"/>
          <w:lang w:val="en-GB"/>
        </w:rPr>
        <w:t xml:space="preserve">analysis exposed above has been conducted </w:t>
      </w:r>
      <w:r w:rsidR="00937E96" w:rsidRPr="00CB47C6">
        <w:rPr>
          <w:rFonts w:ascii="Palatino Linotype" w:hAnsi="Palatino Linotype"/>
          <w:sz w:val="24"/>
          <w:szCs w:val="24"/>
          <w:lang w:val="en-GB"/>
        </w:rPr>
        <w:t>taking into consideration the information provided by the Disaster Risk Reduction</w:t>
      </w:r>
      <w:r w:rsidR="00AE60D7" w:rsidRPr="00CB47C6">
        <w:rPr>
          <w:rFonts w:ascii="Palatino Linotype" w:hAnsi="Palatino Linotype"/>
          <w:sz w:val="24"/>
          <w:szCs w:val="24"/>
          <w:lang w:val="en-GB"/>
        </w:rPr>
        <w:t xml:space="preserve"> literature production</w:t>
      </w:r>
      <w:r w:rsidR="00937E96" w:rsidRPr="00CB47C6">
        <w:rPr>
          <w:rFonts w:ascii="Palatino Linotype" w:hAnsi="Palatino Linotype"/>
          <w:sz w:val="24"/>
          <w:szCs w:val="24"/>
          <w:lang w:val="en-GB"/>
        </w:rPr>
        <w:t xml:space="preserve"> in the recent past.</w:t>
      </w:r>
      <w:r w:rsidR="00AE60D7" w:rsidRPr="00CB47C6">
        <w:rPr>
          <w:rFonts w:ascii="Palatino Linotype" w:hAnsi="Palatino Linotype"/>
          <w:sz w:val="24"/>
          <w:szCs w:val="24"/>
          <w:lang w:val="en-GB"/>
        </w:rPr>
        <w:t xml:space="preserve"> Most of the manuscripts taken into consideration are represented by guidance documents. </w:t>
      </w:r>
      <w:r w:rsidR="00467514" w:rsidRPr="00CB47C6">
        <w:rPr>
          <w:rFonts w:ascii="Palatino Linotype" w:hAnsi="Palatino Linotype"/>
          <w:sz w:val="24"/>
          <w:szCs w:val="24"/>
          <w:lang w:val="en-GB"/>
        </w:rPr>
        <w:t xml:space="preserve">In this section, a sample of the most important guidance documents about </w:t>
      </w:r>
      <w:r w:rsidR="00467514" w:rsidRPr="00CB47C6">
        <w:rPr>
          <w:rFonts w:ascii="Palatino Linotype" w:hAnsi="Palatino Linotype"/>
          <w:sz w:val="24"/>
          <w:szCs w:val="24"/>
          <w:lang w:val="en-GB"/>
        </w:rPr>
        <w:lastRenderedPageBreak/>
        <w:t xml:space="preserve">natural hazard, and more specifically flood, risk and impact assessment is presented and described. The following guidance documents have been selected in base of the importance of their contribution for the topic under consideration. The analysis of these documents provided the background information for the development of this meta-guidance.   </w:t>
      </w:r>
    </w:p>
    <w:p w:rsidR="00467514" w:rsidRPr="00CB47C6" w:rsidRDefault="00467514" w:rsidP="006A66F4">
      <w:pPr>
        <w:pStyle w:val="Paragrafoelenco"/>
        <w:spacing w:before="200"/>
        <w:ind w:left="0"/>
        <w:jc w:val="both"/>
        <w:rPr>
          <w:rFonts w:ascii="Palatino Linotype" w:hAnsi="Palatino Linotype"/>
          <w:sz w:val="24"/>
          <w:szCs w:val="24"/>
          <w:lang w:val="en-GB"/>
        </w:rPr>
      </w:pPr>
    </w:p>
    <w:p w:rsidR="006463E5" w:rsidRPr="00CB47C6" w:rsidRDefault="006463E5" w:rsidP="006A66F4">
      <w:pPr>
        <w:pStyle w:val="Paragrafoelenco"/>
        <w:spacing w:before="200"/>
        <w:ind w:left="0"/>
        <w:jc w:val="both"/>
        <w:rPr>
          <w:rFonts w:ascii="Palatino Linotype" w:hAnsi="Palatino Linotype"/>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Technical guidelines for assessing climate change impact and adaptation</w:t>
      </w:r>
      <w:r w:rsidRPr="00CB47C6">
        <w:rPr>
          <w:rFonts w:ascii="Palatino Linotype" w:hAnsi="Palatino Linotype"/>
          <w:sz w:val="24"/>
          <w:szCs w:val="24"/>
          <w:lang w:val="en-GB"/>
        </w:rPr>
        <w:t xml:space="preserve">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"IPCC", "given" : "", "non-dropping-particle" : "", "parse-names" : false, "suffix" : "" } ], "id" : "ITEM-1", "issued" : { "date-parts" : [ [ "1994" ] ] }, "title" : "IPCC technical guidelines for assessing climate change impact and adaptation", "type" : "article" }, "uris" : [ "http://www.mendeley.com/documents/?uuid=72ae0ebd-545d-4f7d-9e7b-6fab901f4671" ] } ], "mendeley" : { "previouslyFormattedCitation" : "(IPCC 1994)"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(IPCC 1994)</w:t>
      </w:r>
      <w:r w:rsidRPr="00CB47C6">
        <w:rPr>
          <w:rFonts w:ascii="Palatino Linotype" w:hAnsi="Palatino Linotype"/>
          <w:sz w:val="24"/>
          <w:szCs w:val="24"/>
          <w:lang w:val="en-GB"/>
        </w:rPr>
        <w:fldChar w:fldCharType="end"/>
      </w:r>
    </w:p>
    <w:p w:rsidR="00D360C0" w:rsidRPr="00CB47C6" w:rsidRDefault="006463E5" w:rsidP="006A66F4">
      <w:pPr>
        <w:pStyle w:val="Paragrafoelenco"/>
        <w:spacing w:before="200"/>
        <w:ind w:left="0"/>
        <w:jc w:val="both"/>
        <w:rPr>
          <w:rFonts w:ascii="Palatino Linotype" w:hAnsi="Palatino Linotype"/>
          <w:lang w:val="en-GB"/>
        </w:rPr>
      </w:pPr>
      <w:r w:rsidRPr="00CB47C6">
        <w:rPr>
          <w:rFonts w:ascii="Palatino Linotype" w:hAnsi="Palatino Linotype"/>
          <w:sz w:val="24"/>
          <w:szCs w:val="24"/>
          <w:lang w:val="en-GB"/>
        </w:rPr>
        <w:t>Definition of the problem; Selection of methods; Testing the methods; Selection of Scenarios; Assessment of biophysical and socio-economic impacts; Assessment of autonomous adjustments; Evaluation of adaptation strategies.</w:t>
      </w:r>
      <w:r w:rsidR="00117661" w:rsidRPr="00CB47C6">
        <w:rPr>
          <w:rFonts w:ascii="Palatino Linotype" w:hAnsi="Palatino Linotype"/>
          <w:lang w:val="en-GB"/>
        </w:rPr>
        <w:t xml:space="preserve"> </w:t>
      </w:r>
    </w:p>
    <w:p w:rsidR="006463E5" w:rsidRPr="00CB47C6" w:rsidRDefault="00117661" w:rsidP="006A66F4">
      <w:pPr>
        <w:pStyle w:val="Paragrafoelenco"/>
        <w:spacing w:before="200"/>
        <w:ind w:left="0"/>
        <w:jc w:val="both"/>
        <w:rPr>
          <w:rFonts w:ascii="Palatino Linotype" w:hAnsi="Palatino Linotype"/>
          <w:sz w:val="24"/>
          <w:szCs w:val="24"/>
          <w:lang w:val="en-GB"/>
        </w:rPr>
      </w:pPr>
      <w:r w:rsidRPr="00CB47C6">
        <w:rPr>
          <w:rFonts w:ascii="Palatino Linotype" w:hAnsi="Palatino Linotype"/>
          <w:sz w:val="24"/>
          <w:szCs w:val="24"/>
          <w:lang w:val="en-GB"/>
        </w:rPr>
        <w:t>An updated version of these guidelines is currently under development.</w:t>
      </w:r>
      <w:r w:rsidR="007C0BE8" w:rsidRPr="00CB47C6">
        <w:rPr>
          <w:rFonts w:ascii="Palatino Linotype" w:hAnsi="Palatino Linotype"/>
          <w:sz w:val="24"/>
          <w:szCs w:val="24"/>
          <w:lang w:val="en-GB"/>
        </w:rPr>
        <w:t xml:space="preserve"> The new guidance will be available in the last days of 2013 or the first days of 2014.</w:t>
      </w:r>
    </w:p>
    <w:p w:rsidR="002E02A3" w:rsidRPr="00CB47C6" w:rsidRDefault="002E02A3" w:rsidP="007C0BE8">
      <w:pPr>
        <w:pStyle w:val="Paragrafoelenco"/>
        <w:spacing w:before="120" w:after="120" w:line="240" w:lineRule="auto"/>
        <w:ind w:left="0"/>
        <w:contextualSpacing w:val="0"/>
        <w:jc w:val="both"/>
        <w:rPr>
          <w:rFonts w:ascii="Palatino Linotype" w:hAnsi="Palatino Linotype"/>
          <w:sz w:val="24"/>
          <w:szCs w:val="24"/>
          <w:lang w:val="en-GB"/>
        </w:rPr>
      </w:pPr>
    </w:p>
    <w:p w:rsidR="00117661" w:rsidRPr="00CB47C6" w:rsidRDefault="00131EF7" w:rsidP="007C0BE8">
      <w:pPr>
        <w:pStyle w:val="Paragrafoelenco"/>
        <w:spacing w:before="120" w:after="120" w:line="240" w:lineRule="auto"/>
        <w:ind w:left="0"/>
        <w:contextualSpacing w:val="0"/>
        <w:jc w:val="both"/>
        <w:rPr>
          <w:rFonts w:ascii="Palatino Linotype" w:hAnsi="Palatino Linotype"/>
          <w:i/>
          <w:sz w:val="24"/>
          <w:szCs w:val="24"/>
          <w:lang w:val="en-GB"/>
        </w:rPr>
      </w:pPr>
      <w:r w:rsidRPr="00CB47C6">
        <w:rPr>
          <w:rFonts w:ascii="Palatino Linotype" w:hAnsi="Palatino Linotype"/>
          <w:i/>
          <w:sz w:val="24"/>
          <w:szCs w:val="24"/>
          <w:lang w:val="en-GB"/>
        </w:rPr>
        <w:t>Ref: IPCC. (1994). IPCC technical guidelines for assessing climate change impact and adaptation.</w:t>
      </w:r>
    </w:p>
    <w:p w:rsidR="00117661" w:rsidRPr="00CB47C6" w:rsidRDefault="00117661" w:rsidP="007C0BE8">
      <w:pPr>
        <w:pStyle w:val="Paragrafoelenco"/>
        <w:spacing w:after="0" w:line="240" w:lineRule="auto"/>
        <w:ind w:left="0"/>
        <w:contextualSpacing w:val="0"/>
        <w:jc w:val="both"/>
        <w:rPr>
          <w:rFonts w:ascii="Palatino Linotype" w:hAnsi="Palatino Linotype"/>
          <w:sz w:val="24"/>
          <w:szCs w:val="24"/>
          <w:lang w:val="en-GB"/>
        </w:rPr>
      </w:pPr>
    </w:p>
    <w:p w:rsidR="006463E5" w:rsidRPr="00CB47C6" w:rsidRDefault="006463E5" w:rsidP="007C0BE8">
      <w:pPr>
        <w:pStyle w:val="Paragrafoelenco"/>
        <w:spacing w:after="0"/>
        <w:ind w:left="0"/>
        <w:contextualSpacing w:val="0"/>
        <w:jc w:val="both"/>
        <w:rPr>
          <w:rFonts w:ascii="Palatino Linotype" w:hAnsi="Palatino Linotype"/>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w:t>
      </w:r>
      <w:r w:rsidRPr="00CB47C6">
        <w:rPr>
          <w:rFonts w:ascii="Palatino Linotype" w:hAnsi="Palatino Linotype"/>
          <w:b/>
          <w:sz w:val="24"/>
          <w:szCs w:val="24"/>
          <w:lang w:val="en-GB"/>
        </w:rPr>
        <w:t>Handbook for Estimating the Socio-economic and Environmental Effects of Disasters</w:t>
      </w:r>
      <w:r w:rsidRPr="00CB47C6">
        <w:rPr>
          <w:rFonts w:ascii="Palatino Linotype" w:hAnsi="Palatino Linotype"/>
          <w:sz w:val="24"/>
          <w:szCs w:val="24"/>
          <w:lang w:val="en-GB"/>
        </w:rPr>
        <w:t xml:space="preserve">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"ECLAC", "given" : "", "non-dropping-particle" : "", "parse-names" : false, "suffix" : "" } ], "id" : "ITEM-1", "issued" : { "date-parts" : [ [ "2003" ] ] }, "title" : "Handbook for Estimating the Socio-economic and Environmental Effects of Disasters", "type" : "report" }, "uris" : [ "http://www.mendeley.com/documents/?uuid=646d3a8d-0803-4dda-b88e-d9210a438304" ] } ], "mendeley" : { "previouslyFormattedCitation" : "(ECLAC 2003)"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(ECLAC 2003)</w:t>
      </w:r>
      <w:r w:rsidRPr="00CB47C6">
        <w:rPr>
          <w:rFonts w:ascii="Palatino Linotype" w:hAnsi="Palatino Linotype"/>
          <w:sz w:val="24"/>
          <w:szCs w:val="24"/>
          <w:lang w:val="en-GB"/>
        </w:rPr>
        <w:fldChar w:fldCharType="end"/>
      </w: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This new version of the ECLAC Handbook describes the methods required to assess the social, economic and environmental effects of disasters, breaking them down into direct damages and indirect losses and into overall and macroeconomic effects.</w:t>
      </w: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The Handbook focuses on the conceptual and methodological aspects of measuring or estimating the damage caused by disasters to capital stocks and losses in the production flows of goods and services, as well as any temporary effects on the main macroeconomic variables. This new edition also contemplates both damage to and effects on living conditions, economic performance and the environment.</w:t>
      </w:r>
    </w:p>
    <w:p w:rsidR="002E02A3" w:rsidRPr="00CB47C6" w:rsidRDefault="002E02A3" w:rsidP="006A66F4">
      <w:pPr>
        <w:pStyle w:val="Paragrafoelenco"/>
        <w:ind w:left="0"/>
        <w:jc w:val="both"/>
        <w:rPr>
          <w:rFonts w:ascii="Palatino Linotype" w:hAnsi="Palatino Linotype"/>
          <w:sz w:val="24"/>
          <w:szCs w:val="24"/>
          <w:lang w:val="en-GB"/>
        </w:rPr>
      </w:pPr>
    </w:p>
    <w:p w:rsidR="00131EF7" w:rsidRPr="00CB47C6" w:rsidRDefault="00131EF7" w:rsidP="006A66F4">
      <w:pPr>
        <w:pStyle w:val="Paragrafoelenco"/>
        <w:ind w:left="0"/>
        <w:jc w:val="both"/>
        <w:rPr>
          <w:rFonts w:ascii="Palatino Linotype" w:hAnsi="Palatino Linotype"/>
          <w:i/>
          <w:sz w:val="24"/>
          <w:szCs w:val="24"/>
          <w:lang w:val="en-GB"/>
        </w:rPr>
      </w:pPr>
      <w:r w:rsidRPr="00CB47C6">
        <w:rPr>
          <w:rFonts w:ascii="Palatino Linotype" w:hAnsi="Palatino Linotype"/>
          <w:i/>
          <w:sz w:val="24"/>
          <w:szCs w:val="24"/>
          <w:lang w:val="en-GB"/>
        </w:rPr>
        <w:t>Ref: ECLAC. (2003). Handbook for Estimating the Socio-economic and Environmental Effects of Disasters.</w:t>
      </w:r>
    </w:p>
    <w:p w:rsidR="006463E5" w:rsidRPr="00CB47C6" w:rsidRDefault="006463E5" w:rsidP="006A66F4">
      <w:pPr>
        <w:pStyle w:val="Paragrafoelenco"/>
        <w:ind w:left="0"/>
        <w:rPr>
          <w:rFonts w:ascii="Palatino Linotype" w:hAnsi="Palatino Linotype"/>
          <w:sz w:val="24"/>
          <w:szCs w:val="24"/>
          <w:lang w:val="en-GB"/>
        </w:rPr>
      </w:pPr>
    </w:p>
    <w:p w:rsidR="006463E5" w:rsidRPr="00CB47C6" w:rsidRDefault="006463E5" w:rsidP="00D360C0">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w:t>
      </w:r>
      <w:r w:rsidRPr="00CB47C6">
        <w:rPr>
          <w:rFonts w:ascii="Palatino Linotype" w:hAnsi="Palatino Linotype"/>
          <w:b/>
          <w:sz w:val="24"/>
          <w:szCs w:val="24"/>
          <w:lang w:val="en-GB"/>
        </w:rPr>
        <w:t>Evaluating flood damages: guidance and recommendations on principles and methods</w:t>
      </w:r>
      <w:r w:rsidRPr="00CB47C6">
        <w:rPr>
          <w:rFonts w:ascii="Palatino Linotype" w:hAnsi="Palatino Linotype"/>
          <w:sz w:val="24"/>
          <w:szCs w:val="24"/>
          <w:lang w:val="en-GB"/>
        </w:rPr>
        <w:t xml:space="preserve">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"Messner et al", "given" : "Frank", "non-dropping-particle" : "", "parse-names" : false, "suffix" : "" } ], "container-title" : "FLOODsite consortium, 2007. Integrated Flood Risk Analysis and Management Methodologies", "id" : "ITEM-1", "issued" : { "date-parts" : [ [ "2007" ] ] }, "title" : "Evaluating flood damages: guidance and recommendations on principles and methods", "type" : "article-journal" }, "uris" : [ "http://www.mendeley.com/documents/?uuid=1806a4b9-8a50-4722-bb4a-77ff7617fa7e" ] } ], "mendeley" : { "previouslyFormattedCitation" : "(Messner et al 2007)"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Messner</w:t>
      </w:r>
      <w:proofErr w:type="spellEnd"/>
      <w:r w:rsidR="00CB4343" w:rsidRPr="00CB47C6">
        <w:rPr>
          <w:rFonts w:ascii="Palatino Linotype" w:hAnsi="Palatino Linotype"/>
          <w:sz w:val="24"/>
          <w:szCs w:val="24"/>
          <w:lang w:val="en-GB"/>
        </w:rPr>
        <w:t xml:space="preserve"> et al 2007)</w:t>
      </w:r>
      <w:r w:rsidRPr="00CB47C6">
        <w:rPr>
          <w:rFonts w:ascii="Palatino Linotype" w:hAnsi="Palatino Linotype"/>
          <w:sz w:val="24"/>
          <w:szCs w:val="24"/>
          <w:lang w:val="en-GB"/>
        </w:rPr>
        <w:fldChar w:fldCharType="end"/>
      </w:r>
    </w:p>
    <w:p w:rsidR="006463E5" w:rsidRPr="00CB47C6" w:rsidRDefault="006463E5" w:rsidP="00D360C0">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Provide fundamental standard knowledge, specify key principles for economic evaluation of damages and reveal the sources of uncertainty that need to be considered. Hence, to help preventing errors in flood damage studies (chapter 2).</w:t>
      </w:r>
    </w:p>
    <w:p w:rsidR="006463E5" w:rsidRPr="00CB47C6" w:rsidRDefault="006463E5" w:rsidP="00D360C0">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Chapter 3 describes the state-of-the-art in evaluating direct, tangible flood damages.</w:t>
      </w:r>
    </w:p>
    <w:p w:rsidR="006463E5" w:rsidRPr="00CB47C6" w:rsidRDefault="006463E5" w:rsidP="00D360C0">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Chapter 4 reveals the principal rules and the procedure of building up a proper flood damage data base in order to ensure a consistent set of flood damage data.</w:t>
      </w:r>
    </w:p>
    <w:p w:rsidR="006463E5" w:rsidRPr="00CB47C6" w:rsidRDefault="006463E5" w:rsidP="00D360C0">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lastRenderedPageBreak/>
        <w:t xml:space="preserve">Chapter 5 outlines the approaches to evaluate flood effects on industrial production. </w:t>
      </w:r>
    </w:p>
    <w:p w:rsidR="006463E5" w:rsidRPr="00CB47C6" w:rsidRDefault="006463E5" w:rsidP="00D360C0">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Chapter 6 indicates possible procedures to include social flood effects. Environmental flood effects and methods of their evaluation are described in chapter 7.</w:t>
      </w:r>
    </w:p>
    <w:p w:rsidR="006463E5" w:rsidRPr="00CB47C6" w:rsidRDefault="006463E5" w:rsidP="00D360C0">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 xml:space="preserve">Chapter 8 focuses on damage reducing effects of flood warning in order to support specific decisions on flood warning systems. </w:t>
      </w:r>
    </w:p>
    <w:p w:rsidR="006463E5" w:rsidRPr="00CB47C6" w:rsidRDefault="006463E5" w:rsidP="00D360C0">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Chapter 9 gives an overview of flood damage categories which have not been considered in more detail in these guidelines and indicates relevant literature sources for further reading.</w:t>
      </w:r>
    </w:p>
    <w:p w:rsidR="002E02A3" w:rsidRPr="00CB47C6" w:rsidRDefault="002E02A3" w:rsidP="006A66F4">
      <w:pPr>
        <w:pStyle w:val="Paragrafoelenco"/>
        <w:ind w:left="0"/>
        <w:jc w:val="both"/>
        <w:rPr>
          <w:rFonts w:ascii="Palatino Linotype" w:hAnsi="Palatino Linotype"/>
          <w:sz w:val="24"/>
          <w:szCs w:val="24"/>
          <w:lang w:val="en-GB"/>
        </w:rPr>
      </w:pPr>
    </w:p>
    <w:p w:rsidR="00131EF7" w:rsidRPr="00CB47C6" w:rsidRDefault="00131EF7" w:rsidP="006A66F4">
      <w:pPr>
        <w:pStyle w:val="Paragrafoelenco"/>
        <w:ind w:left="0"/>
        <w:jc w:val="both"/>
        <w:rPr>
          <w:rFonts w:ascii="Palatino Linotype" w:hAnsi="Palatino Linotype"/>
          <w:i/>
          <w:sz w:val="24"/>
          <w:szCs w:val="24"/>
          <w:lang w:val="en-GB"/>
        </w:rPr>
      </w:pPr>
      <w:r w:rsidRPr="00CB47C6">
        <w:rPr>
          <w:rFonts w:ascii="Palatino Linotype" w:hAnsi="Palatino Linotype"/>
          <w:i/>
          <w:sz w:val="24"/>
          <w:szCs w:val="24"/>
          <w:lang w:val="en-GB"/>
        </w:rPr>
        <w:t xml:space="preserve">Ref: </w:t>
      </w:r>
      <w:proofErr w:type="spellStart"/>
      <w:r w:rsidRPr="00CB47C6">
        <w:rPr>
          <w:rFonts w:ascii="Palatino Linotype" w:hAnsi="Palatino Linotype"/>
          <w:i/>
          <w:sz w:val="24"/>
          <w:szCs w:val="24"/>
          <w:lang w:val="en-GB"/>
        </w:rPr>
        <w:t>Messner</w:t>
      </w:r>
      <w:proofErr w:type="spellEnd"/>
      <w:r w:rsidRPr="00CB47C6">
        <w:rPr>
          <w:rFonts w:ascii="Palatino Linotype" w:hAnsi="Palatino Linotype"/>
          <w:i/>
          <w:sz w:val="24"/>
          <w:szCs w:val="24"/>
          <w:lang w:val="en-GB"/>
        </w:rPr>
        <w:t xml:space="preserve"> et al, F. (2007). Evaluating flood damages: guidance and recommendations on principles and methods. </w:t>
      </w:r>
      <w:proofErr w:type="spellStart"/>
      <w:r w:rsidRPr="00CB47C6">
        <w:rPr>
          <w:rFonts w:ascii="Palatino Linotype" w:hAnsi="Palatino Linotype"/>
          <w:i/>
          <w:sz w:val="24"/>
          <w:szCs w:val="24"/>
          <w:lang w:val="en-GB"/>
        </w:rPr>
        <w:t>FLOODsite</w:t>
      </w:r>
      <w:proofErr w:type="spellEnd"/>
      <w:r w:rsidRPr="00CB47C6">
        <w:rPr>
          <w:rFonts w:ascii="Palatino Linotype" w:hAnsi="Palatino Linotype"/>
          <w:i/>
          <w:sz w:val="24"/>
          <w:szCs w:val="24"/>
          <w:lang w:val="en-GB"/>
        </w:rPr>
        <w:t xml:space="preserve"> consortium, 2007. Integrated Flood Risk Analysis and Management Methodologies.</w:t>
      </w:r>
    </w:p>
    <w:p w:rsidR="006463E5" w:rsidRPr="00CB47C6" w:rsidRDefault="006463E5" w:rsidP="006A66F4">
      <w:pPr>
        <w:pStyle w:val="Paragrafoelenco"/>
        <w:ind w:left="0"/>
        <w:jc w:val="both"/>
        <w:rPr>
          <w:rFonts w:ascii="Palatino Linotype" w:hAnsi="Palatino Linotype"/>
          <w:b/>
          <w:sz w:val="24"/>
          <w:szCs w:val="24"/>
          <w:lang w:val="en-GB"/>
        </w:rPr>
      </w:pP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w:t>
      </w:r>
      <w:r w:rsidRPr="00CB47C6">
        <w:rPr>
          <w:rFonts w:ascii="Palatino Linotype" w:hAnsi="Palatino Linotype"/>
          <w:b/>
          <w:sz w:val="24"/>
          <w:szCs w:val="24"/>
          <w:lang w:val="en-GB"/>
        </w:rPr>
        <w:t>Current knowledge on relevant methodologies and data requirements as well as lessons learned and gaps identified at different levels, in assessing the risk of loss and damage associated with the adverse effects of climate change</w:t>
      </w:r>
      <w:r w:rsidRPr="00CB47C6">
        <w:rPr>
          <w:rFonts w:ascii="Palatino Linotype" w:hAnsi="Palatino Linotype"/>
          <w:sz w:val="24"/>
          <w:szCs w:val="24"/>
          <w:lang w:val="en-GB"/>
        </w:rPr>
        <w:t xml:space="preserve">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"UNFCCC", "given" : "", "non-dropping-particle" : "", "parse-names" : false, "suffix" : "" } ], "id" : "ITEM-1", "issue" : "May", "issued" : { "date-parts" : [ [ "2012" ] ] }, "title" : "Current knowledge on relevant methodologies and data requirements as well as lessons learned and gaps identified at different levels , in assessing the risk of loss and damage associated with the adverse effects of climate change Technical paper", "type" : "article-journal" }, "uris" : [ "http://www.mendeley.com/documents/?uuid=34334ca1-dee3-4c47-82fb-e6e5cbe988fa" ] } ], "mendeley" : { "previouslyFormattedCitation" : "(UNFCCC 2012)"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(UNFCCC 2012)</w:t>
      </w:r>
      <w:r w:rsidRPr="00CB47C6">
        <w:rPr>
          <w:rFonts w:ascii="Palatino Linotype" w:hAnsi="Palatino Linotype"/>
          <w:sz w:val="24"/>
          <w:szCs w:val="24"/>
          <w:lang w:val="en-GB"/>
        </w:rPr>
        <w:fldChar w:fldCharType="end"/>
      </w: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Chapter 3 outlines the different aspects of loss and damage in order to discuss different conceptual frameworks currently applied to the assessment of the risk of loss and damage, thereby setting the scene for an overview of relevant methods and tools;</w:t>
      </w: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Chapter 4 investigates selected approaches and the applicability of selected methods and tools in the context of loss and damage risks. The focus is on developing countries, with detailed descriptions of some of the most relevant methodologies and a specific assessment of information needs, capacity requirements and their relevance for decision makers;</w:t>
      </w:r>
    </w:p>
    <w:p w:rsidR="00457C6E"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Chapter 5 summarizes the findings and indicates lessons learned and gaps, and points to possible issues for further discussion under the work programme on loss and damage.</w:t>
      </w:r>
    </w:p>
    <w:p w:rsidR="002E02A3" w:rsidRPr="00CB47C6" w:rsidRDefault="002E02A3" w:rsidP="006A66F4">
      <w:pPr>
        <w:pStyle w:val="Paragrafoelenco"/>
        <w:ind w:left="0"/>
        <w:jc w:val="both"/>
        <w:rPr>
          <w:rFonts w:ascii="Palatino Linotype" w:hAnsi="Palatino Linotype"/>
          <w:sz w:val="24"/>
          <w:szCs w:val="24"/>
          <w:lang w:val="en-GB"/>
        </w:rPr>
      </w:pPr>
    </w:p>
    <w:p w:rsidR="00131EF7" w:rsidRPr="00CB47C6" w:rsidRDefault="00131EF7" w:rsidP="006A66F4">
      <w:pPr>
        <w:pStyle w:val="Paragrafoelenco"/>
        <w:ind w:left="0"/>
        <w:jc w:val="both"/>
        <w:rPr>
          <w:rFonts w:ascii="Palatino Linotype" w:hAnsi="Palatino Linotype"/>
          <w:i/>
          <w:sz w:val="24"/>
          <w:szCs w:val="24"/>
          <w:lang w:val="en-GB"/>
        </w:rPr>
      </w:pPr>
      <w:r w:rsidRPr="00CB47C6">
        <w:rPr>
          <w:rFonts w:ascii="Palatino Linotype" w:hAnsi="Palatino Linotype"/>
          <w:i/>
          <w:sz w:val="24"/>
          <w:szCs w:val="24"/>
          <w:lang w:val="en-GB"/>
        </w:rPr>
        <w:t xml:space="preserve">Ref: </w:t>
      </w:r>
      <w:r w:rsidR="00821DD5" w:rsidRPr="00CB47C6">
        <w:rPr>
          <w:rFonts w:ascii="Palatino Linotype" w:hAnsi="Palatino Linotype"/>
          <w:i/>
          <w:sz w:val="24"/>
          <w:szCs w:val="24"/>
          <w:lang w:val="en-GB"/>
        </w:rPr>
        <w:t>UNFCCC. (2012). Current knowledge on relevant methodologies and data requirements as well as lessons learned and gaps identified at different levels , in assessing the risk of loss and damage associated with the adverse effects of climate change Technical paper, (May).</w:t>
      </w:r>
    </w:p>
    <w:p w:rsidR="006463E5" w:rsidRPr="00CB47C6" w:rsidRDefault="006463E5" w:rsidP="00121B51">
      <w:pPr>
        <w:pStyle w:val="Paragrafoelenco"/>
        <w:ind w:left="0"/>
        <w:jc w:val="both"/>
        <w:rPr>
          <w:rFonts w:ascii="Palatino Linotype" w:hAnsi="Palatino Linotype"/>
          <w:lang w:val="en-GB"/>
        </w:rPr>
      </w:pP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w:t>
      </w:r>
      <w:r w:rsidRPr="00CB47C6">
        <w:rPr>
          <w:rFonts w:ascii="Palatino Linotype" w:hAnsi="Palatino Linotype"/>
          <w:b/>
          <w:sz w:val="24"/>
          <w:szCs w:val="24"/>
          <w:lang w:val="en-GB"/>
        </w:rPr>
        <w:t>The appraisal of human related intangible impacts of flooding</w:t>
      </w:r>
      <w:r w:rsidRPr="00CB47C6">
        <w:rPr>
          <w:rFonts w:ascii="Palatino Linotype" w:hAnsi="Palatino Linotype"/>
          <w:sz w:val="24"/>
          <w:szCs w:val="24"/>
          <w:lang w:val="en-GB"/>
        </w:rPr>
        <w:t xml:space="preserve">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"DEFRA", "given" : "", "non-dropping-particle" : "", "parse-names" : false, "suffix" : "" } ], "id" : "ITEM-1", "issued" : { "date-parts" : [ [ "2004" ] ] }, "title" : "The appraisal of human related intangible impacts of flooding", "type" : "report" }, "uris" : [ "http://www.mendeley.com/documents/?uuid=14a9b3b1-d2cf-4cb7-b12a-1ed2d3b2d180" ] } ], "mendeley" : { "previouslyFormattedCitation" : "(DEFRA 2004)"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(DEFRA 2004)</w:t>
      </w:r>
      <w:r w:rsidRPr="00CB47C6">
        <w:rPr>
          <w:rFonts w:ascii="Palatino Linotype" w:hAnsi="Palatino Linotype"/>
          <w:sz w:val="24"/>
          <w:szCs w:val="24"/>
          <w:lang w:val="en-GB"/>
        </w:rPr>
        <w:fldChar w:fldCharType="end"/>
      </w:r>
    </w:p>
    <w:p w:rsidR="00457C6E" w:rsidRPr="00CB47C6" w:rsidRDefault="006463E5" w:rsidP="00121B51">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The degree of health impact was associated with a wide range of factors including socio-demographic factors (especially prior health and age), flood characteristics (especially flood depth) and post flood events (especially problems with insurers in settling claims for flood damage which emerged as the most important factor)</w:t>
      </w:r>
      <w:r w:rsidR="00821DD5" w:rsidRPr="00CB47C6">
        <w:rPr>
          <w:rFonts w:ascii="Palatino Linotype" w:hAnsi="Palatino Linotype"/>
          <w:sz w:val="24"/>
          <w:szCs w:val="24"/>
          <w:lang w:val="en-GB"/>
        </w:rPr>
        <w:t>.</w:t>
      </w:r>
    </w:p>
    <w:p w:rsidR="002E02A3" w:rsidRPr="00CB47C6" w:rsidRDefault="002E02A3" w:rsidP="00121B51">
      <w:pPr>
        <w:pStyle w:val="Paragrafoelenco"/>
        <w:ind w:left="0"/>
        <w:jc w:val="both"/>
        <w:rPr>
          <w:rFonts w:ascii="Palatino Linotype" w:hAnsi="Palatino Linotype"/>
          <w:sz w:val="24"/>
          <w:szCs w:val="24"/>
          <w:lang w:val="en-GB"/>
        </w:rPr>
      </w:pPr>
    </w:p>
    <w:p w:rsidR="00821DD5" w:rsidRPr="00CB47C6" w:rsidRDefault="00821DD5" w:rsidP="00121B51">
      <w:pPr>
        <w:pStyle w:val="Paragrafoelenco"/>
        <w:ind w:left="0"/>
        <w:jc w:val="both"/>
        <w:rPr>
          <w:rFonts w:ascii="Palatino Linotype" w:hAnsi="Palatino Linotype"/>
          <w:i/>
          <w:sz w:val="24"/>
          <w:szCs w:val="24"/>
          <w:lang w:val="en-GB"/>
        </w:rPr>
      </w:pPr>
      <w:r w:rsidRPr="00CB47C6">
        <w:rPr>
          <w:rFonts w:ascii="Palatino Linotype" w:hAnsi="Palatino Linotype"/>
          <w:i/>
          <w:sz w:val="24"/>
          <w:szCs w:val="24"/>
          <w:lang w:val="en-GB"/>
        </w:rPr>
        <w:t>Ref: DEFRA. (2004). The appraisal of human related intangible impacts of flooding.</w:t>
      </w:r>
    </w:p>
    <w:p w:rsidR="006463E5" w:rsidRPr="00CB47C6" w:rsidRDefault="006463E5" w:rsidP="00121B51">
      <w:pPr>
        <w:pStyle w:val="Paragrafoelenco"/>
        <w:ind w:left="0"/>
        <w:jc w:val="both"/>
        <w:rPr>
          <w:rFonts w:ascii="Palatino Linotype" w:hAnsi="Palatino Linotype"/>
          <w:lang w:val="en-GB"/>
        </w:rPr>
      </w:pP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w:t>
      </w:r>
      <w:r w:rsidRPr="00CB47C6">
        <w:rPr>
          <w:rFonts w:ascii="Palatino Linotype" w:hAnsi="Palatino Linotype"/>
          <w:b/>
          <w:sz w:val="24"/>
          <w:szCs w:val="24"/>
          <w:lang w:val="en-GB"/>
        </w:rPr>
        <w:t>Disaster Loss Assessment Guidelines</w:t>
      </w:r>
      <w:r w:rsidRPr="00CB47C6">
        <w:rPr>
          <w:rFonts w:ascii="Palatino Linotype" w:hAnsi="Palatino Linotype"/>
          <w:sz w:val="24"/>
          <w:szCs w:val="24"/>
          <w:lang w:val="en-GB"/>
        </w:rPr>
        <w:t xml:space="preserve">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"ISBN" : "0642502501", "author" : [ { "dropping-particle" : "", "family" : "EMA", "given" : "", "non-dropping-particle" : "", "parse-names" : false, "suffix" : "" } ], "id" : "ITEM-1", "issued" : { "date-parts" : [ [ "2002" ] ] }, "title" : "Disaster Loss Assessment Guidelines", "type" : "report" }, "uris" : [ "http://www.mendeley.com/documents/?uuid=6983ed3f-9789-4e2a-926b-f644680a9866" ] } ], "mendeley" : { "previouslyFormattedCitation" : "(EMA 2002)"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(EMA 2002)</w:t>
      </w:r>
      <w:r w:rsidRPr="00CB47C6">
        <w:rPr>
          <w:rFonts w:ascii="Palatino Linotype" w:hAnsi="Palatino Linotype"/>
          <w:sz w:val="24"/>
          <w:szCs w:val="24"/>
          <w:lang w:val="en-GB"/>
        </w:rPr>
        <w:fldChar w:fldCharType="end"/>
      </w:r>
    </w:p>
    <w:p w:rsidR="00457C6E"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Chapters 1 and 2 set out the framework within which a loss assessment would be carried out. Chapter 3 sets out the process to follow in assessing loss from hypothetical or actual hazard events and includes checklists to follow in progressively developing an overall loss assessment for a typical inundation loss.</w:t>
      </w:r>
    </w:p>
    <w:p w:rsidR="002E02A3" w:rsidRPr="00CB47C6" w:rsidRDefault="002E02A3" w:rsidP="006A66F4">
      <w:pPr>
        <w:pStyle w:val="Paragrafoelenco"/>
        <w:ind w:left="0"/>
        <w:jc w:val="both"/>
        <w:rPr>
          <w:rFonts w:ascii="Palatino Linotype" w:hAnsi="Palatino Linotype"/>
          <w:sz w:val="24"/>
          <w:szCs w:val="24"/>
          <w:lang w:val="en-GB"/>
        </w:rPr>
      </w:pPr>
    </w:p>
    <w:p w:rsidR="00821DD5" w:rsidRPr="00CB47C6" w:rsidRDefault="00821DD5" w:rsidP="006A66F4">
      <w:pPr>
        <w:pStyle w:val="Paragrafoelenco"/>
        <w:ind w:left="0"/>
        <w:jc w:val="both"/>
        <w:rPr>
          <w:rFonts w:ascii="Palatino Linotype" w:hAnsi="Palatino Linotype"/>
          <w:i/>
          <w:sz w:val="24"/>
          <w:szCs w:val="24"/>
          <w:lang w:val="en-GB"/>
        </w:rPr>
      </w:pPr>
      <w:r w:rsidRPr="00CB47C6">
        <w:rPr>
          <w:rFonts w:ascii="Palatino Linotype" w:hAnsi="Palatino Linotype"/>
          <w:i/>
          <w:sz w:val="24"/>
          <w:szCs w:val="24"/>
          <w:lang w:val="en-GB"/>
        </w:rPr>
        <w:t>Ref: EMA. (2002). Disaster Loss Assessment Guidelines.</w:t>
      </w:r>
    </w:p>
    <w:p w:rsidR="00C57E37" w:rsidRPr="00CB47C6" w:rsidRDefault="00C57E37" w:rsidP="006A66F4">
      <w:pPr>
        <w:pStyle w:val="Paragrafoelenco"/>
        <w:ind w:left="0"/>
        <w:jc w:val="both"/>
        <w:rPr>
          <w:rFonts w:ascii="Palatino Linotype" w:hAnsi="Palatino Linotype"/>
          <w:sz w:val="24"/>
          <w:szCs w:val="24"/>
          <w:lang w:val="en-GB"/>
        </w:rPr>
      </w:pP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w:t>
      </w:r>
      <w:r w:rsidRPr="00CB47C6">
        <w:rPr>
          <w:rFonts w:ascii="Palatino Linotype" w:hAnsi="Palatino Linotype"/>
          <w:b/>
          <w:sz w:val="24"/>
          <w:szCs w:val="24"/>
          <w:lang w:val="en-GB"/>
        </w:rPr>
        <w:t>Guidance on the Assessment of Tangible Flood Damages</w:t>
      </w:r>
      <w:r w:rsidRPr="00CB47C6">
        <w:rPr>
          <w:rFonts w:ascii="Palatino Linotype" w:hAnsi="Palatino Linotype"/>
          <w:sz w:val="24"/>
          <w:szCs w:val="24"/>
          <w:lang w:val="en-GB"/>
        </w:rPr>
        <w:t xml:space="preserve">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"Government of Queensland", "given" : "", "non-dropping-particle" : "", "parse-names" : false, "suffix" : "" } ], "id" : "ITEM-1", "issued" : { "date-parts" : [ [ "2002" ] ] }, "title" : "Guidance on the Assessment of Tangible Flood Damages", "type" : "report" }, "uris" : [ "http://www.mendeley.com/documents/?uuid=eaf2ae95-7416-4e51-ab4f-fb1fd01156e4" ] } ], "mendeley" : { "previouslyFormattedCitation" : "(Government of Queensland 2002)"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(Government of Queensland 2002)</w:t>
      </w:r>
      <w:r w:rsidRPr="00CB47C6">
        <w:rPr>
          <w:rFonts w:ascii="Palatino Linotype" w:hAnsi="Palatino Linotype"/>
          <w:sz w:val="24"/>
          <w:szCs w:val="24"/>
          <w:lang w:val="en-GB"/>
        </w:rPr>
        <w:fldChar w:fldCharType="end"/>
      </w:r>
    </w:p>
    <w:p w:rsidR="00457C6E" w:rsidRPr="00CB47C6" w:rsidRDefault="006463E5" w:rsidP="00121B51">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The purpose of this bulletin is to assist applicants to the Regional Flood Mitigation Program to assess tangible flood damages (i.e. those that can be estimated in dollars). The focus is on how to estimate the value of potential1 physical damage caused to property and infrastructure exposed to flood inundation within an urban environment. The common methods and approaches adopted for estimating flood damages, and the conversion of those estimates to an average annual damage figure necessary for cost/benefit calculations, are explained.</w:t>
      </w:r>
    </w:p>
    <w:p w:rsidR="002E02A3" w:rsidRPr="00CB47C6" w:rsidRDefault="002E02A3" w:rsidP="00121B51">
      <w:pPr>
        <w:pStyle w:val="Paragrafoelenco"/>
        <w:ind w:left="0"/>
        <w:jc w:val="both"/>
        <w:rPr>
          <w:rFonts w:ascii="Palatino Linotype" w:hAnsi="Palatino Linotype"/>
          <w:sz w:val="24"/>
          <w:szCs w:val="24"/>
          <w:lang w:val="en-GB"/>
        </w:rPr>
      </w:pPr>
    </w:p>
    <w:p w:rsidR="00821DD5" w:rsidRPr="00CB47C6" w:rsidRDefault="00821DD5" w:rsidP="00121B51">
      <w:pPr>
        <w:pStyle w:val="Paragrafoelenco"/>
        <w:ind w:left="0"/>
        <w:jc w:val="both"/>
        <w:rPr>
          <w:rFonts w:ascii="Palatino Linotype" w:hAnsi="Palatino Linotype"/>
          <w:i/>
          <w:sz w:val="24"/>
          <w:szCs w:val="24"/>
          <w:lang w:val="en-GB"/>
        </w:rPr>
      </w:pPr>
      <w:r w:rsidRPr="00CB47C6">
        <w:rPr>
          <w:rFonts w:ascii="Palatino Linotype" w:hAnsi="Palatino Linotype"/>
          <w:i/>
          <w:sz w:val="24"/>
          <w:szCs w:val="24"/>
          <w:lang w:val="en-GB"/>
        </w:rPr>
        <w:t>Ref: Government of Queensland. (2002). Guidance on the Assessment of Tangible Flood Damages.</w:t>
      </w:r>
    </w:p>
    <w:p w:rsidR="006463E5" w:rsidRPr="00CB47C6" w:rsidRDefault="006463E5" w:rsidP="00121B51">
      <w:pPr>
        <w:pStyle w:val="Paragrafoelenco"/>
        <w:ind w:left="0"/>
        <w:jc w:val="both"/>
        <w:rPr>
          <w:rFonts w:ascii="Palatino Linotype" w:hAnsi="Palatino Linotype"/>
          <w:lang w:val="en-GB"/>
        </w:rPr>
      </w:pP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w:t>
      </w:r>
      <w:proofErr w:type="spellStart"/>
      <w:r w:rsidRPr="00CB47C6">
        <w:rPr>
          <w:rFonts w:ascii="Palatino Linotype" w:hAnsi="Palatino Linotype"/>
          <w:b/>
          <w:sz w:val="24"/>
          <w:szCs w:val="24"/>
          <w:lang w:val="en-GB"/>
        </w:rPr>
        <w:t>ConHaz</w:t>
      </w:r>
      <w:proofErr w:type="spellEnd"/>
      <w:r w:rsidRPr="00CB47C6">
        <w:rPr>
          <w:rFonts w:ascii="Palatino Linotype" w:hAnsi="Palatino Linotype"/>
          <w:b/>
          <w:sz w:val="24"/>
          <w:szCs w:val="24"/>
          <w:lang w:val="en-GB"/>
        </w:rPr>
        <w:t xml:space="preserve"> Synthesis Reports </w:t>
      </w:r>
      <w:r w:rsidRPr="00CB47C6">
        <w:rPr>
          <w:rFonts w:ascii="Palatino Linotype" w:hAnsi="Palatino Linotype"/>
          <w:sz w:val="24"/>
          <w:szCs w:val="24"/>
          <w:lang w:val="en-GB"/>
        </w:rPr>
        <w:t>(Coordination Action project funded by the EU 7th Framework Programme. Contract no 244159)</w:t>
      </w:r>
    </w:p>
    <w:p w:rsidR="006463E5" w:rsidRPr="00CB47C6" w:rsidRDefault="006463E5" w:rsidP="00665116">
      <w:pPr>
        <w:jc w:val="both"/>
        <w:rPr>
          <w:rFonts w:ascii="Palatino Linotype" w:hAnsi="Palatino Linotype"/>
          <w:sz w:val="24"/>
          <w:szCs w:val="24"/>
          <w:lang w:val="en-GB"/>
        </w:rPr>
      </w:pPr>
      <w:proofErr w:type="spellStart"/>
      <w:r w:rsidRPr="00CB47C6">
        <w:rPr>
          <w:rFonts w:ascii="Palatino Linotype" w:hAnsi="Palatino Linotype"/>
          <w:sz w:val="24"/>
          <w:szCs w:val="24"/>
          <w:lang w:val="en-GB"/>
        </w:rPr>
        <w:t>ConHaz</w:t>
      </w:r>
      <w:proofErr w:type="spellEnd"/>
      <w:r w:rsidRPr="00CB47C6">
        <w:rPr>
          <w:rFonts w:ascii="Palatino Linotype" w:hAnsi="Palatino Linotype"/>
          <w:sz w:val="24"/>
          <w:szCs w:val="24"/>
          <w:lang w:val="en-GB"/>
        </w:rPr>
        <w:t xml:space="preserve"> synthesises current cost assessment methods and strengthens the role of cost assessments in the development of integrated natural hazard management and adaptation planning.</w:t>
      </w:r>
    </w:p>
    <w:p w:rsidR="006463E5" w:rsidRPr="00CB47C6" w:rsidRDefault="006463E5" w:rsidP="006A66F4">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[Pull-down menu]</w:t>
      </w:r>
      <w:r w:rsidRPr="00CB47C6">
        <w:rPr>
          <w:rFonts w:ascii="Palatino Linotype" w:hAnsi="Palatino Linotype"/>
          <w:b/>
          <w:i/>
          <w:sz w:val="24"/>
          <w:szCs w:val="24"/>
          <w:lang w:val="en-GB"/>
        </w:rPr>
        <w:t xml:space="preserve"> </w:t>
      </w:r>
      <w:r w:rsidRPr="00CB47C6">
        <w:rPr>
          <w:rFonts w:ascii="Palatino Linotype" w:hAnsi="Palatino Linotype"/>
          <w:sz w:val="24"/>
          <w:szCs w:val="24"/>
          <w:lang w:val="en-GB"/>
        </w:rPr>
        <w:t xml:space="preserve">Natural Hazards: direct costs and losses due to the disruption of production processes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"Bubeck", "given" : "Philip", "non-dropping-particle" : "", "parse-names" : false, "suffix" : "" }, { "dropping-particle" : "", "family" : "Kreibich", "given" : "Heidi", "non-dropping-particle" : "", "parse-names" : false, "suffix" : "" } ], "id" : "ITEM-1", "issue" : "September", "issued" : { "date-parts" : [ [ "2011" ] ] }, "page" : "1-68", "title" : "Natural Hazards : direct costs and losses due to the disruption of production processes - CONHAZ Report", "type" : "report" }, "uris" : [ "http://www.mendeley.com/documents/?uuid=591f13f3-1714-4003-85df-35df28d4e09e" ] } ], "mendeley" : { "previouslyFormattedCitation" : "(Bubeck &amp; Kreibich 2011)"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Bubeck</w:t>
      </w:r>
      <w:proofErr w:type="spellEnd"/>
      <w:r w:rsidR="00CB4343" w:rsidRPr="00CB47C6">
        <w:rPr>
          <w:rFonts w:ascii="Palatino Linotype" w:hAnsi="Palatino Linotype"/>
          <w:sz w:val="24"/>
          <w:szCs w:val="24"/>
          <w:lang w:val="en-GB"/>
        </w:rPr>
        <w:t xml:space="preserve"> </w:t>
      </w:r>
      <w:r w:rsidR="005E553E" w:rsidRPr="00CB47C6">
        <w:rPr>
          <w:rFonts w:ascii="Palatino Linotype" w:hAnsi="Palatino Linotype"/>
          <w:sz w:val="24"/>
          <w:szCs w:val="24"/>
          <w:lang w:val="en-GB"/>
        </w:rPr>
        <w:t>et al.</w:t>
      </w:r>
      <w:r w:rsidR="00CB4343" w:rsidRPr="00CB47C6">
        <w:rPr>
          <w:rFonts w:ascii="Palatino Linotype" w:hAnsi="Palatino Linotype"/>
          <w:sz w:val="24"/>
          <w:szCs w:val="24"/>
          <w:lang w:val="en-GB"/>
        </w:rPr>
        <w:t xml:space="preserve"> 2011)</w:t>
      </w:r>
      <w:r w:rsidRPr="00CB47C6">
        <w:rPr>
          <w:rFonts w:ascii="Palatino Linotype" w:hAnsi="Palatino Linotype"/>
          <w:sz w:val="24"/>
          <w:szCs w:val="24"/>
          <w:lang w:val="en-GB"/>
        </w:rPr>
        <w:fldChar w:fldCharType="end"/>
      </w:r>
    </w:p>
    <w:p w:rsidR="006463E5" w:rsidRPr="00CB47C6" w:rsidRDefault="006463E5" w:rsidP="007B6625">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 xml:space="preserve">Indirect Costs of Natural Hazards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"Przyluski", "given" : "Valentin", "non-dropping-particle" : "", "parse-names" : false, "suffix" : "" }, { "dropping-particle" : "", "family" : "Hallegatte", "given" : "St\u00e9phane", "non-dropping-particle" : "", "parse-names" : false, "suffix" : "" } ], "id" : "ITEM-1", "issue" : "September", "issued" : { "date-parts" : [ [ "2011" ] ] }, "page" : "1-41", "title" : "Indirect Costs of Natural Hazards - CONHAZ Report", "type" : "report" }, "uris" : [ "http://www.mendeley.com/documents/?uuid=9f2364ed-1cfe-4fdd-9c36-2920d1fad0de" ] } ], "mendeley" : { "previouslyFormattedCitation" : "(Przyluski &amp; Hallegatte 2011)"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Przyluski</w:t>
      </w:r>
      <w:proofErr w:type="spellEnd"/>
      <w:r w:rsidR="00CB4343" w:rsidRPr="00CB47C6">
        <w:rPr>
          <w:rFonts w:ascii="Palatino Linotype" w:hAnsi="Palatino Linotype"/>
          <w:sz w:val="24"/>
          <w:szCs w:val="24"/>
          <w:lang w:val="en-GB"/>
        </w:rPr>
        <w:t xml:space="preserve"> </w:t>
      </w:r>
      <w:r w:rsidR="005E553E" w:rsidRPr="00CB47C6">
        <w:rPr>
          <w:rFonts w:ascii="Palatino Linotype" w:hAnsi="Palatino Linotype"/>
          <w:sz w:val="24"/>
          <w:szCs w:val="24"/>
          <w:lang w:val="en-GB"/>
        </w:rPr>
        <w:t>et al.</w:t>
      </w:r>
      <w:r w:rsidR="00CB4343" w:rsidRPr="00CB47C6">
        <w:rPr>
          <w:rFonts w:ascii="Palatino Linotype" w:hAnsi="Palatino Linotype"/>
          <w:sz w:val="24"/>
          <w:szCs w:val="24"/>
          <w:lang w:val="en-GB"/>
        </w:rPr>
        <w:t>2011)</w:t>
      </w:r>
      <w:r w:rsidRPr="00CB47C6">
        <w:rPr>
          <w:rFonts w:ascii="Palatino Linotype" w:hAnsi="Palatino Linotype"/>
          <w:sz w:val="24"/>
          <w:szCs w:val="24"/>
          <w:lang w:val="en-GB"/>
        </w:rPr>
        <w:fldChar w:fldCharType="end"/>
      </w:r>
    </w:p>
    <w:p w:rsidR="006463E5" w:rsidRPr="00CB47C6" w:rsidRDefault="006463E5" w:rsidP="007B6625">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 xml:space="preserve">The intangible effects of Natural Hazards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"Markantonis", "given" : "Vasileios", "non-dropping-particle" : "", "parse-names" : false, "suffix" : "" }, { "dropping-particle" : "", "family" : "Meyer", "given" : "Volker", "non-dropping-particle" : "", "parse-names" : false, "suffix" : "" }, { "dropping-particle" : "", "family" : "Schwarze", "given" : "Reimund", "non-dropping-particle" : "", "parse-names" : false, "suffix" : "" } ], "id" : "ITEM-1", "issue" : "September", "issued" : { "date-parts" : [ [ "2011" ] ] }, "title" : "The intangible effects of Natural Hazards - CONHAZ Report", "type" : "report" }, "uris" : [ "http://www.mendeley.com/documents/?uuid=befa4523-7366-45d8-b02d-b78c8a9fd8a6" ] } ], "mendeley" : { "previouslyFormattedCitation" : "(Markantonis et al. 2011)"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Markantonis</w:t>
      </w:r>
      <w:proofErr w:type="spellEnd"/>
      <w:r w:rsidR="00CB4343" w:rsidRPr="00CB47C6">
        <w:rPr>
          <w:rFonts w:ascii="Palatino Linotype" w:hAnsi="Palatino Linotype"/>
          <w:sz w:val="24"/>
          <w:szCs w:val="24"/>
          <w:lang w:val="en-GB"/>
        </w:rPr>
        <w:t xml:space="preserve"> et al. 2011)</w:t>
      </w:r>
      <w:r w:rsidRPr="00CB47C6">
        <w:rPr>
          <w:rFonts w:ascii="Palatino Linotype" w:hAnsi="Palatino Linotype"/>
          <w:sz w:val="24"/>
          <w:szCs w:val="24"/>
          <w:lang w:val="en-GB"/>
        </w:rPr>
        <w:fldChar w:fldCharType="end"/>
      </w:r>
    </w:p>
    <w:p w:rsidR="006463E5" w:rsidRPr="00CB47C6" w:rsidRDefault="006463E5" w:rsidP="007B6625">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 xml:space="preserve">Methodology report on costs of mitigation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"Bouwer", "given" : "L M", "non-dropping-particle" : "", "parse-names" : false, "suffix" : "" }, { "dropping-particle" : "", "family" : "Poussin", "given" : "J", "non-dropping-particle" : "", "parse-names" : false, "suffix" : "" }, { "dropping-particle" : "", "family" : "Papyrakis", "given" : "E", "non-dropping-particle" : "", "parse-names" : false, "suffix" : "" }, { "dropping-particle" : "", "family" : "Daniel", "given" : "V E", "non-dropping-particle" : "", "parse-names" : false, "suffix" : "" }, { "dropping-particle" : "", "family" : "Pfurtscheller", "given" : "C", "non-dropping-particle" : "", "parse-names" : false, "suffix" : "" }, { "dropping-particle" : "", "family" : "Thieken", "given" : "A H", "non-dropping-particle" : "", "parse-names" : false, "suffix" : "" }, { "dropping-particle" : "", "family" : "Aerts", "given" : "J C J H", "non-dropping-particle" : "", "parse-names" : false, "suffix" : "" } ], "id" : "ITEM-1", "issue" : "September 2011", "issued" : { "date-parts" : [ [ "2011" ] ] }, "page" : "1-69", "title" : "Methodology report on costs of mitigation - CONHAZ Report", "type" : "report" }, "uris" : [ "http://www.mendeley.com/documents/?uuid=40e7542c-05ca-441f-97f6-84d362f5a8c4" ] } ], "mendeley" : { "previouslyFormattedCitation" : "(Bouwer et al. 2011)"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Bouwer</w:t>
      </w:r>
      <w:proofErr w:type="spellEnd"/>
      <w:r w:rsidR="00CB4343" w:rsidRPr="00CB47C6">
        <w:rPr>
          <w:rFonts w:ascii="Palatino Linotype" w:hAnsi="Palatino Linotype"/>
          <w:sz w:val="24"/>
          <w:szCs w:val="24"/>
          <w:lang w:val="en-GB"/>
        </w:rPr>
        <w:t xml:space="preserve"> et al. 2011)</w:t>
      </w:r>
      <w:r w:rsidRPr="00CB47C6">
        <w:rPr>
          <w:rFonts w:ascii="Palatino Linotype" w:hAnsi="Palatino Linotype"/>
          <w:sz w:val="24"/>
          <w:szCs w:val="24"/>
          <w:lang w:val="en-GB"/>
        </w:rPr>
        <w:fldChar w:fldCharType="end"/>
      </w:r>
    </w:p>
    <w:p w:rsidR="006463E5" w:rsidRPr="00CB47C6" w:rsidRDefault="006463E5" w:rsidP="007B6625">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 xml:space="preserve">Methods of Assessment of the Costs of Droughts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"Logar", "given" : "I.", "non-dropping-particle" : "", "parse-names" : false, "suffix" : "" }, { "dropping-particle" : "", "family" : "Bergh", "given" : "J", "non-dropping-particle" : "van den", "parse-names" : false, "suffix" : "" } ], "id" : "ITEM-1", "issued" : { "date-parts" : [ [ "2011" ] ] }, "title" : "Methods of Assessment of the Costs of Droughts - CONHAZ Report", "type" : "report" }, "uris" : [ "http://www.mendeley.com/documents/?uuid=1cd74184-918b-4e45-9086-276812a30145" ] } ], "mendeley" : { "previouslyFormattedCitation" : "(Logar &amp; van den Bergh 2011)"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Logar</w:t>
      </w:r>
      <w:r w:rsidR="005E553E" w:rsidRPr="00CB47C6">
        <w:rPr>
          <w:rFonts w:ascii="Palatino Linotype" w:hAnsi="Palatino Linotype"/>
          <w:sz w:val="24"/>
          <w:szCs w:val="24"/>
          <w:lang w:val="en-GB"/>
        </w:rPr>
        <w:t>et</w:t>
      </w:r>
      <w:proofErr w:type="spellEnd"/>
      <w:r w:rsidR="005E553E" w:rsidRPr="00CB47C6">
        <w:rPr>
          <w:rFonts w:ascii="Palatino Linotype" w:hAnsi="Palatino Linotype"/>
          <w:sz w:val="24"/>
          <w:szCs w:val="24"/>
          <w:lang w:val="en-GB"/>
        </w:rPr>
        <w:t xml:space="preserve"> al.</w:t>
      </w:r>
      <w:r w:rsidR="00CB4343" w:rsidRPr="00CB47C6">
        <w:rPr>
          <w:rFonts w:ascii="Palatino Linotype" w:hAnsi="Palatino Linotype"/>
          <w:sz w:val="24"/>
          <w:szCs w:val="24"/>
          <w:lang w:val="en-GB"/>
        </w:rPr>
        <w:t xml:space="preserve"> 2011)</w:t>
      </w:r>
      <w:r w:rsidRPr="00CB47C6">
        <w:rPr>
          <w:rFonts w:ascii="Palatino Linotype" w:hAnsi="Palatino Linotype"/>
          <w:sz w:val="24"/>
          <w:szCs w:val="24"/>
          <w:lang w:val="en-GB"/>
        </w:rPr>
        <w:fldChar w:fldCharType="end"/>
      </w:r>
    </w:p>
    <w:p w:rsidR="006463E5" w:rsidRPr="00CB47C6" w:rsidRDefault="006463E5" w:rsidP="007B6625">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 xml:space="preserve">Guidance for assessing flood losses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"Green", "given" : "Colin", "non-dropping-particle" : "", "parse-names" : false, "suffix" : "" }, { "dropping-particle" : "", "family" : "Viavattene", "given" : "Christophe", "non-dropping-particle" : "", "parse-names" : false, "suffix" : "" }, { "dropping-particle" : "", "family" : "Thompson", "given" : "Paul", "non-dropping-particle" : "", "parse-names" : false, "suffix" : "" } ], "id" : "ITEM-1", "issue" : "September", "issued" : { "date-parts" : [ [ "2011" ] ] }, "page" : "1-86", "title" : "Guidance for assessing flood losses - CONHAZ Report", "type" : "report" }, "uris" : [ "http://www.mendeley.com/documents/?uuid=257d499c-3b55-4763-91b3-1ee3bd3c746a" ] } ], "mendeley" : { "previouslyFormattedCitation" : "(Green et al. 2011)"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(Green et al. 2011)</w:t>
      </w:r>
      <w:r w:rsidRPr="00CB47C6">
        <w:rPr>
          <w:rFonts w:ascii="Palatino Linotype" w:hAnsi="Palatino Linotype"/>
          <w:sz w:val="24"/>
          <w:szCs w:val="24"/>
          <w:lang w:val="en-GB"/>
        </w:rPr>
        <w:fldChar w:fldCharType="end"/>
      </w:r>
    </w:p>
    <w:p w:rsidR="006463E5" w:rsidRPr="00CB47C6" w:rsidRDefault="006463E5" w:rsidP="007B6625">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 xml:space="preserve">Methods for Estimating the Costs of Coastal Hazards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"Lequeux", "given" : "Quentin", "non-dropping-particle" : "", "parse-names" : false, "suffix" : "" }, { "dropping-particle" : "", "family" : "Ciavola", "given" : "Paolo", "non-dropping-particle" : "", "parse-names" : false, "suffix" : "" } ], "id" : "ITEM-1", "issue" : "February", "issued" : { "date-parts" : [ [ "2011" ] ] }, "page" : "1-67", "title" : "Methods for Estimating the Costs of Coastal Hazards - CONHAZ Report", "type" : "report" }, "uris" : [ "http://www.mendeley.com/documents/?uuid=ca36a25e-a20c-49a3-a5cb-fd47cec93969" ] } ], "mendeley" : { "previouslyFormattedCitation" : "(Lequeux &amp; Ciavola 2011)"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Lequeux</w:t>
      </w:r>
      <w:proofErr w:type="spellEnd"/>
      <w:r w:rsidR="00CB4343" w:rsidRPr="00CB47C6">
        <w:rPr>
          <w:rFonts w:ascii="Palatino Linotype" w:hAnsi="Palatino Linotype"/>
          <w:sz w:val="24"/>
          <w:szCs w:val="24"/>
          <w:lang w:val="en-GB"/>
        </w:rPr>
        <w:t xml:space="preserve"> </w:t>
      </w:r>
      <w:r w:rsidR="005E553E" w:rsidRPr="00CB47C6">
        <w:rPr>
          <w:rFonts w:ascii="Palatino Linotype" w:hAnsi="Palatino Linotype"/>
          <w:sz w:val="24"/>
          <w:szCs w:val="24"/>
          <w:lang w:val="en-GB"/>
        </w:rPr>
        <w:t xml:space="preserve">et al. </w:t>
      </w:r>
      <w:r w:rsidR="00CB4343" w:rsidRPr="00CB47C6">
        <w:rPr>
          <w:rFonts w:ascii="Palatino Linotype" w:hAnsi="Palatino Linotype"/>
          <w:sz w:val="24"/>
          <w:szCs w:val="24"/>
          <w:lang w:val="en-GB"/>
        </w:rPr>
        <w:t>2011)</w:t>
      </w:r>
      <w:r w:rsidRPr="00CB47C6">
        <w:rPr>
          <w:rFonts w:ascii="Palatino Linotype" w:hAnsi="Palatino Linotype"/>
          <w:sz w:val="24"/>
          <w:szCs w:val="24"/>
          <w:lang w:val="en-GB"/>
        </w:rPr>
        <w:fldChar w:fldCharType="end"/>
      </w:r>
    </w:p>
    <w:p w:rsidR="006463E5" w:rsidRPr="00CB47C6" w:rsidRDefault="006463E5" w:rsidP="007B6625">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t xml:space="preserve">Costs of Alpine Hazards Costs of Alpine Hazards </w:t>
      </w:r>
      <w:r w:rsidRPr="00CB47C6">
        <w:rPr>
          <w:rFonts w:ascii="Palatino Linotype" w:hAnsi="Palatino Linotype"/>
          <w:sz w:val="24"/>
          <w:szCs w:val="24"/>
          <w:lang w:val="en-GB"/>
        </w:rPr>
        <w:fldChar w:fldCharType="begin" w:fldLock="1"/>
      </w:r>
      <w:r w:rsidR="00F12FEC" w:rsidRPr="00CB47C6">
        <w:rPr>
          <w:rFonts w:ascii="Palatino Linotype" w:hAnsi="Palatino Linotype"/>
          <w:sz w:val="24"/>
          <w:szCs w:val="24"/>
          <w:lang w:val="en-GB"/>
        </w:rPr>
        <w:instrText>ADDIN CSL_CITATION { "citationItems" : [ { "id" : "ITEM-1", "itemData" : { "author" : [ { "dropping-particle" : "", "family" : "Pfurtscheller", "given" : "Clemens", "non-dropping-particle" : "", "parse-names" : false, "suffix" : "" }, { "dropping-particle" : "", "family" : "Lochner", "given" : "Bernhard", "non-dropping-particle" : "", "parse-names" : false, "suffix" : "" }, { "dropping-particle" : "", "family" : "Thieken", "given" : "Annegret", "non-dropping-particle" : "", "parse-names" : false, "suffix" : "" } ], "id" : "ITEM-1", "issue" : "November", "issued" : { "date-parts" : [ [ "2011" ] ] }, "page" : "1-96", "title" : "CONHAZ Report on Costs of Alpine Hazards Costs of Alpine Hazards", "type" : "report" }, "uris" : [ "http://www.mendeley.com/documents/?uuid=f046b1f0-9050-42c6-bf92-e72fcd389d1e" ] } ], "mendeley" : { "previouslyFormattedCitation" : "(Pfurtscheller et al. 2011)" }, "properties" : { "noteIndex" : 0 }, "schema" : "https://github.com/citation-style-language/schema/raw/master/csl-citation.json" }</w:instrText>
      </w:r>
      <w:r w:rsidRPr="00CB47C6">
        <w:rPr>
          <w:rFonts w:ascii="Palatino Linotype" w:hAnsi="Palatino Linotype"/>
          <w:sz w:val="24"/>
          <w:szCs w:val="24"/>
          <w:lang w:val="en-GB"/>
        </w:rPr>
        <w:fldChar w:fldCharType="separate"/>
      </w:r>
      <w:r w:rsidR="00CB4343" w:rsidRPr="00CB47C6">
        <w:rPr>
          <w:rFonts w:ascii="Palatino Linotype" w:hAnsi="Palatino Linotype"/>
          <w:sz w:val="24"/>
          <w:szCs w:val="24"/>
          <w:lang w:val="en-GB"/>
        </w:rPr>
        <w:t>(</w:t>
      </w:r>
      <w:proofErr w:type="spellStart"/>
      <w:r w:rsidR="00CB4343" w:rsidRPr="00CB47C6">
        <w:rPr>
          <w:rFonts w:ascii="Palatino Linotype" w:hAnsi="Palatino Linotype"/>
          <w:sz w:val="24"/>
          <w:szCs w:val="24"/>
          <w:lang w:val="en-GB"/>
        </w:rPr>
        <w:t>Pfurtscheller</w:t>
      </w:r>
      <w:proofErr w:type="spellEnd"/>
      <w:r w:rsidR="00CB4343" w:rsidRPr="00CB47C6">
        <w:rPr>
          <w:rFonts w:ascii="Palatino Linotype" w:hAnsi="Palatino Linotype"/>
          <w:sz w:val="24"/>
          <w:szCs w:val="24"/>
          <w:lang w:val="en-GB"/>
        </w:rPr>
        <w:t xml:space="preserve"> et al. 2011)</w:t>
      </w:r>
      <w:r w:rsidRPr="00CB47C6">
        <w:rPr>
          <w:rFonts w:ascii="Palatino Linotype" w:hAnsi="Palatino Linotype"/>
          <w:sz w:val="24"/>
          <w:szCs w:val="24"/>
          <w:lang w:val="en-GB"/>
        </w:rPr>
        <w:fldChar w:fldCharType="end"/>
      </w:r>
    </w:p>
    <w:p w:rsidR="000970CE" w:rsidRPr="00CB47C6" w:rsidRDefault="000970CE" w:rsidP="007B6625">
      <w:pPr>
        <w:pStyle w:val="Paragrafoelenco"/>
        <w:ind w:left="0"/>
        <w:jc w:val="both"/>
        <w:rPr>
          <w:rFonts w:ascii="Palatino Linotype" w:hAnsi="Palatino Linotype"/>
          <w:sz w:val="24"/>
          <w:szCs w:val="24"/>
          <w:lang w:val="en-GB"/>
        </w:rPr>
      </w:pPr>
      <w:r w:rsidRPr="00CB47C6">
        <w:rPr>
          <w:rFonts w:ascii="Palatino Linotype" w:hAnsi="Palatino Linotype"/>
          <w:sz w:val="24"/>
          <w:szCs w:val="24"/>
          <w:lang w:val="en-GB"/>
        </w:rPr>
        <w:lastRenderedPageBreak/>
        <w:t>Synthesis and Overview (Meyer et al. 2012, 2013)</w:t>
      </w:r>
    </w:p>
    <w:p w:rsidR="00FD5688" w:rsidRPr="00CB47C6" w:rsidRDefault="00FD5688" w:rsidP="00665116">
      <w:pPr>
        <w:jc w:val="both"/>
        <w:rPr>
          <w:rFonts w:ascii="Palatino Linotype" w:hAnsi="Palatino Linotype"/>
          <w:sz w:val="24"/>
          <w:szCs w:val="24"/>
          <w:lang w:val="en-GB"/>
        </w:rPr>
      </w:pPr>
      <w:bookmarkStart w:id="0" w:name="_GoBack"/>
      <w:bookmarkEnd w:id="0"/>
    </w:p>
    <w:p w:rsidR="006463E5" w:rsidRPr="00CB47C6" w:rsidRDefault="006463E5" w:rsidP="00665116">
      <w:pPr>
        <w:jc w:val="both"/>
        <w:rPr>
          <w:rFonts w:ascii="Palatino Linotype" w:hAnsi="Palatino Linotype"/>
          <w:b/>
          <w:sz w:val="24"/>
          <w:szCs w:val="24"/>
          <w:lang w:val="en-GB"/>
        </w:rPr>
      </w:pPr>
      <w:r w:rsidRPr="00CB47C6">
        <w:rPr>
          <w:rFonts w:ascii="Palatino Linotype" w:hAnsi="Palatino Linotype"/>
          <w:b/>
          <w:sz w:val="24"/>
          <w:szCs w:val="24"/>
          <w:lang w:val="en-GB"/>
        </w:rPr>
        <w:t>References</w:t>
      </w:r>
    </w:p>
    <w:p w:rsidR="00F12FEC" w:rsidRPr="00CB47C6" w:rsidRDefault="002830C8">
      <w:pPr>
        <w:pStyle w:val="NormaleWeb"/>
        <w:ind w:left="480" w:hanging="480"/>
        <w:divId w:val="314577900"/>
        <w:rPr>
          <w:rFonts w:ascii="Palatino Linotype" w:hAnsi="Palatino Linotype"/>
          <w:lang w:val="en-GB"/>
        </w:rPr>
      </w:pPr>
      <w:r w:rsidRPr="00CB47C6">
        <w:rPr>
          <w:rFonts w:ascii="Palatino Linotype" w:hAnsi="Palatino Linotype"/>
          <w:lang w:val="en-GB"/>
        </w:rPr>
        <w:fldChar w:fldCharType="begin" w:fldLock="1"/>
      </w:r>
      <w:r w:rsidRPr="00CB47C6">
        <w:rPr>
          <w:rFonts w:ascii="Palatino Linotype" w:hAnsi="Palatino Linotype"/>
          <w:lang w:val="en-GB"/>
        </w:rPr>
        <w:instrText xml:space="preserve">ADDIN Mendeley Bibliography CSL_BIBLIOGRAPHY </w:instrText>
      </w:r>
      <w:r w:rsidRPr="00CB47C6">
        <w:rPr>
          <w:rFonts w:ascii="Palatino Linotype" w:hAnsi="Palatino Linotype"/>
          <w:lang w:val="en-GB"/>
        </w:rPr>
        <w:fldChar w:fldCharType="separate"/>
      </w:r>
      <w:proofErr w:type="spellStart"/>
      <w:r w:rsidR="00F12FEC" w:rsidRPr="00CB47C6">
        <w:rPr>
          <w:rFonts w:ascii="Palatino Linotype" w:hAnsi="Palatino Linotype"/>
          <w:lang w:val="en-GB"/>
        </w:rPr>
        <w:t>Bouwer</w:t>
      </w:r>
      <w:proofErr w:type="spellEnd"/>
      <w:r w:rsidR="00F12FEC" w:rsidRPr="00CB47C6">
        <w:rPr>
          <w:rFonts w:ascii="Palatino Linotype" w:hAnsi="Palatino Linotype"/>
          <w:lang w:val="en-GB"/>
        </w:rPr>
        <w:t xml:space="preserve">, L.M. et al., 2011. </w:t>
      </w:r>
      <w:r w:rsidR="00F12FEC" w:rsidRPr="00CB47C6">
        <w:rPr>
          <w:rFonts w:ascii="Palatino Linotype" w:hAnsi="Palatino Linotype"/>
          <w:i/>
          <w:iCs/>
          <w:lang w:val="en-GB"/>
        </w:rPr>
        <w:t>Methodology report on costs of mitigation - CONHAZ Report</w:t>
      </w:r>
      <w:r w:rsidR="00F12FEC" w:rsidRPr="00CB47C6">
        <w:rPr>
          <w:rFonts w:ascii="Palatino Linotype" w:hAnsi="Palatino Linotype"/>
          <w:lang w:val="en-GB"/>
        </w:rPr>
        <w:t>,</w:t>
      </w:r>
    </w:p>
    <w:p w:rsidR="00F12FEC" w:rsidRPr="00CB47C6" w:rsidRDefault="00F12FEC">
      <w:pPr>
        <w:pStyle w:val="NormaleWeb"/>
        <w:ind w:left="480" w:hanging="480"/>
        <w:divId w:val="314577900"/>
        <w:rPr>
          <w:rFonts w:ascii="Palatino Linotype" w:hAnsi="Palatino Linotype"/>
          <w:lang w:val="en-GB"/>
        </w:rPr>
      </w:pPr>
      <w:proofErr w:type="spellStart"/>
      <w:r w:rsidRPr="00CB47C6">
        <w:rPr>
          <w:rFonts w:ascii="Palatino Linotype" w:hAnsi="Palatino Linotype"/>
          <w:lang w:val="en-GB"/>
        </w:rPr>
        <w:t>Bubeck</w:t>
      </w:r>
      <w:proofErr w:type="spellEnd"/>
      <w:r w:rsidRPr="00CB47C6">
        <w:rPr>
          <w:rFonts w:ascii="Palatino Linotype" w:hAnsi="Palatino Linotype"/>
          <w:lang w:val="en-GB"/>
        </w:rPr>
        <w:t xml:space="preserve">, P. &amp; </w:t>
      </w:r>
      <w:proofErr w:type="spellStart"/>
      <w:r w:rsidRPr="00CB47C6">
        <w:rPr>
          <w:rFonts w:ascii="Palatino Linotype" w:hAnsi="Palatino Linotype"/>
          <w:lang w:val="en-GB"/>
        </w:rPr>
        <w:t>Kreibich</w:t>
      </w:r>
      <w:proofErr w:type="spellEnd"/>
      <w:r w:rsidRPr="00CB47C6">
        <w:rPr>
          <w:rFonts w:ascii="Palatino Linotype" w:hAnsi="Palatino Linotype"/>
          <w:lang w:val="en-GB"/>
        </w:rPr>
        <w:t xml:space="preserve">, H., 2011. </w:t>
      </w:r>
      <w:r w:rsidRPr="00CB47C6">
        <w:rPr>
          <w:rFonts w:ascii="Palatino Linotype" w:hAnsi="Palatino Linotype"/>
          <w:i/>
          <w:iCs/>
          <w:lang w:val="en-GB"/>
        </w:rPr>
        <w:t>Natural Hazards</w:t>
      </w:r>
      <w:r w:rsidRPr="00CB47C6">
        <w:rPr>
          <w:i/>
          <w:iCs/>
          <w:lang w:val="en-GB"/>
        </w:rPr>
        <w:t> </w:t>
      </w:r>
      <w:r w:rsidRPr="00CB47C6">
        <w:rPr>
          <w:rFonts w:ascii="Palatino Linotype" w:hAnsi="Palatino Linotype"/>
          <w:i/>
          <w:iCs/>
          <w:lang w:val="en-GB"/>
        </w:rPr>
        <w:t>: direct costs and losses due to the disruption of production processes - CONHAZ Report</w:t>
      </w:r>
      <w:r w:rsidRPr="00CB47C6">
        <w:rPr>
          <w:rFonts w:ascii="Palatino Linotype" w:hAnsi="Palatino Linotype"/>
          <w:lang w:val="en-GB"/>
        </w:rPr>
        <w:t>,</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CDKN, 2012. </w:t>
      </w:r>
      <w:r w:rsidRPr="00CB47C6">
        <w:rPr>
          <w:rFonts w:ascii="Palatino Linotype" w:hAnsi="Palatino Linotype"/>
          <w:i/>
          <w:iCs/>
          <w:lang w:val="en-GB"/>
        </w:rPr>
        <w:t>Managing Climate Extremes and Disasters in the Water Sector</w:t>
      </w:r>
      <w:r w:rsidRPr="00CB47C6">
        <w:rPr>
          <w:i/>
          <w:iCs/>
          <w:lang w:val="en-GB"/>
        </w:rPr>
        <w:t> </w:t>
      </w:r>
      <w:r w:rsidRPr="00CB47C6">
        <w:rPr>
          <w:rFonts w:ascii="Palatino Linotype" w:hAnsi="Palatino Linotype"/>
          <w:i/>
          <w:iCs/>
          <w:lang w:val="en-GB"/>
        </w:rPr>
        <w:t>: Lessons from the IPCC SREX Report Contents</w:t>
      </w:r>
      <w:r w:rsidRPr="00CB47C6">
        <w:rPr>
          <w:rFonts w:ascii="Palatino Linotype" w:hAnsi="Palatino Linotype"/>
          <w:lang w:val="en-GB"/>
        </w:rPr>
        <w:t>, Available at: http://cdkn.org/resource/managing-climate-extremes-and-disasters-in-the-water-sector-lessons-from-the-ipcc-srex-report/?loclang=en_gb.</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DEFRA, 2004. </w:t>
      </w:r>
      <w:r w:rsidRPr="00CB47C6">
        <w:rPr>
          <w:rFonts w:ascii="Palatino Linotype" w:hAnsi="Palatino Linotype"/>
          <w:i/>
          <w:iCs/>
          <w:lang w:val="en-GB"/>
        </w:rPr>
        <w:t>The appraisal of human related intangible impacts of flooding</w:t>
      </w:r>
      <w:r w:rsidRPr="00CB47C6">
        <w:rPr>
          <w:rFonts w:ascii="Palatino Linotype" w:hAnsi="Palatino Linotype"/>
          <w:lang w:val="en-GB"/>
        </w:rPr>
        <w:t>, Available at: http://www.google.it/url?sa=t&amp;rct=j&amp;q=&amp;esrc=s&amp;source=web&amp;cd=1&amp;ved=0CDUQFjAA&amp;url=http://sciencesearch.defra.gov.uk/Document.aspx?Document=FD2005_1855_TRP.pdf&amp;ei=aZ0PUcO1A4jV4QT_loDADg&amp;usg=AFQjCNE7Ag9KLmFceFJ7wAhu2clwQJALVQ&amp;sig2=dkNVfyT4icJ86ZnXNyWoVQ&amp;bvm=bv.41867550,d.bGE.</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ECLAC, 2003. </w:t>
      </w:r>
      <w:r w:rsidRPr="00CB47C6">
        <w:rPr>
          <w:rFonts w:ascii="Palatino Linotype" w:hAnsi="Palatino Linotype"/>
          <w:i/>
          <w:iCs/>
          <w:lang w:val="en-GB"/>
        </w:rPr>
        <w:t>Handbook for Estimating the Socio-economic and Environmental Effects of Disasters</w:t>
      </w:r>
      <w:r w:rsidRPr="00CB47C6">
        <w:rPr>
          <w:rFonts w:ascii="Palatino Linotype" w:hAnsi="Palatino Linotype"/>
          <w:lang w:val="en-GB"/>
        </w:rPr>
        <w:t>, Available at: http://www.eclac.org/publicaciones/xml/4/12774/lcmexg5i_VOLUME_Ia.pdf.</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EEA, 2012. </w:t>
      </w:r>
      <w:r w:rsidRPr="00CB47C6">
        <w:rPr>
          <w:rFonts w:ascii="Palatino Linotype" w:hAnsi="Palatino Linotype"/>
          <w:i/>
          <w:iCs/>
          <w:lang w:val="en-GB"/>
        </w:rPr>
        <w:t>Climate change, impacts and vulnerability in Europe 2012 - EEA Report 12/2012</w:t>
      </w:r>
      <w:r w:rsidRPr="00CB47C6">
        <w:rPr>
          <w:rFonts w:ascii="Palatino Linotype" w:hAnsi="Palatino Linotype"/>
          <w:lang w:val="en-GB"/>
        </w:rPr>
        <w:t>, Available at: http://www.eea.europa.eu/publications/climate-impacts-and-vulnerability-2012.</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EEA, 2010. </w:t>
      </w:r>
      <w:r w:rsidRPr="00CB47C6">
        <w:rPr>
          <w:rFonts w:ascii="Palatino Linotype" w:hAnsi="Palatino Linotype"/>
          <w:i/>
          <w:iCs/>
          <w:lang w:val="en-GB"/>
        </w:rPr>
        <w:t>Mapping the impacts of natural hazards and technological accidents in Europe - An overview of the last decade</w:t>
      </w:r>
      <w:r w:rsidRPr="00CB47C6">
        <w:rPr>
          <w:rFonts w:ascii="Palatino Linotype" w:hAnsi="Palatino Linotype"/>
          <w:lang w:val="en-GB"/>
        </w:rPr>
        <w:t xml:space="preserve"> T. report N. 13/2010 European Environment Agency, ed., Available at: http://www.eea.europa.eu/publications/mapping-the-impacts-of-natural.</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EMA, 2002. </w:t>
      </w:r>
      <w:r w:rsidRPr="00CB47C6">
        <w:rPr>
          <w:rFonts w:ascii="Palatino Linotype" w:hAnsi="Palatino Linotype"/>
          <w:i/>
          <w:iCs/>
          <w:lang w:val="en-GB"/>
        </w:rPr>
        <w:t>Disaster Loss Assessment Guidelines</w:t>
      </w:r>
      <w:r w:rsidRPr="00CB47C6">
        <w:rPr>
          <w:rFonts w:ascii="Palatino Linotype" w:hAnsi="Palatino Linotype"/>
          <w:lang w:val="en-GB"/>
        </w:rPr>
        <w:t>, Available at: http://www.em.gov.au/Documents/Manual27-DisasterLossAssessmentGuidelines.pdf.</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Government of Queensland, 2002. </w:t>
      </w:r>
      <w:r w:rsidRPr="00CB47C6">
        <w:rPr>
          <w:rFonts w:ascii="Palatino Linotype" w:hAnsi="Palatino Linotype"/>
          <w:i/>
          <w:iCs/>
          <w:lang w:val="en-GB"/>
        </w:rPr>
        <w:t>Guidance on the Assessment of Tangible Flood Damages</w:t>
      </w:r>
      <w:r w:rsidRPr="00CB47C6">
        <w:rPr>
          <w:rFonts w:ascii="Palatino Linotype" w:hAnsi="Palatino Linotype"/>
          <w:lang w:val="en-GB"/>
        </w:rPr>
        <w:t>, Available at: http://www.derm.qld.gov.au/water/regulation/pdf/guidelines/flood_risk_management/tangible_flood_damages.pdf.</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Green, C., </w:t>
      </w:r>
      <w:proofErr w:type="spellStart"/>
      <w:r w:rsidRPr="00CB47C6">
        <w:rPr>
          <w:rFonts w:ascii="Palatino Linotype" w:hAnsi="Palatino Linotype"/>
          <w:lang w:val="en-GB"/>
        </w:rPr>
        <w:t>Viavattene</w:t>
      </w:r>
      <w:proofErr w:type="spellEnd"/>
      <w:r w:rsidRPr="00CB47C6">
        <w:rPr>
          <w:rFonts w:ascii="Palatino Linotype" w:hAnsi="Palatino Linotype"/>
          <w:lang w:val="en-GB"/>
        </w:rPr>
        <w:t xml:space="preserve">, C. &amp; Thompson, P., 2011. </w:t>
      </w:r>
      <w:r w:rsidRPr="00CB47C6">
        <w:rPr>
          <w:rFonts w:ascii="Palatino Linotype" w:hAnsi="Palatino Linotype"/>
          <w:i/>
          <w:iCs/>
          <w:lang w:val="en-GB"/>
        </w:rPr>
        <w:t>Guidance for assessing flood losses - CONHAZ Report</w:t>
      </w:r>
      <w:r w:rsidRPr="00CB47C6">
        <w:rPr>
          <w:rFonts w:ascii="Palatino Linotype" w:hAnsi="Palatino Linotype"/>
          <w:lang w:val="en-GB"/>
        </w:rPr>
        <w:t>,</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lastRenderedPageBreak/>
        <w:t xml:space="preserve">De Groot, R.S., Wilson, M.A. &amp; </w:t>
      </w:r>
      <w:proofErr w:type="spellStart"/>
      <w:r w:rsidRPr="00CB47C6">
        <w:rPr>
          <w:rFonts w:ascii="Palatino Linotype" w:hAnsi="Palatino Linotype"/>
          <w:lang w:val="en-GB"/>
        </w:rPr>
        <w:t>Boumans</w:t>
      </w:r>
      <w:proofErr w:type="spellEnd"/>
      <w:r w:rsidRPr="00CB47C6">
        <w:rPr>
          <w:rFonts w:ascii="Palatino Linotype" w:hAnsi="Palatino Linotype"/>
          <w:lang w:val="en-GB"/>
        </w:rPr>
        <w:t xml:space="preserve">, R.M.J., 2002. A typology for the classification, description and valuation of ecosystem functions, goods and services. </w:t>
      </w:r>
      <w:r w:rsidRPr="00CB47C6">
        <w:rPr>
          <w:rFonts w:ascii="Palatino Linotype" w:hAnsi="Palatino Linotype"/>
          <w:i/>
          <w:iCs/>
          <w:lang w:val="en-GB"/>
        </w:rPr>
        <w:t>Ecological Economics</w:t>
      </w:r>
      <w:r w:rsidRPr="00CB47C6">
        <w:rPr>
          <w:rFonts w:ascii="Palatino Linotype" w:hAnsi="Palatino Linotype"/>
          <w:lang w:val="en-GB"/>
        </w:rPr>
        <w:t>, 41(3), pp.393–408. Available at: &lt;Go to ISI&gt;://000177073400003.</w:t>
      </w:r>
    </w:p>
    <w:p w:rsidR="00F12FEC" w:rsidRPr="00CB47C6" w:rsidRDefault="00F12FEC">
      <w:pPr>
        <w:pStyle w:val="NormaleWeb"/>
        <w:ind w:left="480" w:hanging="480"/>
        <w:divId w:val="314577900"/>
        <w:rPr>
          <w:rFonts w:ascii="Palatino Linotype" w:hAnsi="Palatino Linotype"/>
          <w:lang w:val="en-GB"/>
        </w:rPr>
      </w:pPr>
      <w:proofErr w:type="spellStart"/>
      <w:r w:rsidRPr="00CB47C6">
        <w:rPr>
          <w:rFonts w:ascii="Palatino Linotype" w:hAnsi="Palatino Linotype"/>
          <w:lang w:val="en-GB"/>
        </w:rPr>
        <w:t>Hochrainer-stigler</w:t>
      </w:r>
      <w:proofErr w:type="spellEnd"/>
      <w:r w:rsidRPr="00CB47C6">
        <w:rPr>
          <w:rFonts w:ascii="Palatino Linotype" w:hAnsi="Palatino Linotype"/>
          <w:lang w:val="en-GB"/>
        </w:rPr>
        <w:t>, S. et al., 2011. The Costs and Benefits of Reducing Risk from Natural Hazards to Residential Structures in Developing Countries.</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IPCC, 1994. IPCC technical guidelines for assessing climate change impact and adaptation.</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IPCC, 2012a. </w:t>
      </w:r>
      <w:r w:rsidRPr="00CB47C6">
        <w:rPr>
          <w:rFonts w:ascii="Palatino Linotype" w:hAnsi="Palatino Linotype"/>
          <w:i/>
          <w:iCs/>
          <w:lang w:val="en-GB"/>
        </w:rPr>
        <w:t xml:space="preserve">Managing the Risks of Extreme Events and Disasters to Advance Climate Change Adaptation. A Special Report of Working Groups I and II of the Intergovernmental Panel on Climate Change  [Field, C.B., V. Barros, T.F. Stocker, D. Qin, D.J. </w:t>
      </w:r>
      <w:proofErr w:type="spellStart"/>
      <w:r w:rsidRPr="00CB47C6">
        <w:rPr>
          <w:rFonts w:ascii="Palatino Linotype" w:hAnsi="Palatino Linotype"/>
          <w:i/>
          <w:iCs/>
          <w:lang w:val="en-GB"/>
        </w:rPr>
        <w:t>Dokken</w:t>
      </w:r>
      <w:proofErr w:type="spellEnd"/>
      <w:r w:rsidRPr="00CB47C6">
        <w:rPr>
          <w:rFonts w:ascii="Palatino Linotype" w:hAnsi="Palatino Linotype"/>
          <w:i/>
          <w:iCs/>
          <w:lang w:val="en-GB"/>
        </w:rPr>
        <w:t xml:space="preserve">, K.L. </w:t>
      </w:r>
      <w:proofErr w:type="spellStart"/>
      <w:r w:rsidRPr="00CB47C6">
        <w:rPr>
          <w:rFonts w:ascii="Palatino Linotype" w:hAnsi="Palatino Linotype"/>
          <w:i/>
          <w:iCs/>
          <w:lang w:val="en-GB"/>
        </w:rPr>
        <w:t>Ebi</w:t>
      </w:r>
      <w:proofErr w:type="spellEnd"/>
      <w:r w:rsidRPr="00CB47C6">
        <w:rPr>
          <w:rFonts w:ascii="Palatino Linotype" w:hAnsi="Palatino Linotype"/>
          <w:i/>
          <w:iCs/>
          <w:lang w:val="en-GB"/>
        </w:rPr>
        <w:t>, M.</w:t>
      </w:r>
      <w:r w:rsidRPr="00CB47C6">
        <w:rPr>
          <w:rFonts w:ascii="Palatino Linotype" w:hAnsi="Palatino Linotype"/>
          <w:lang w:val="en-GB"/>
        </w:rPr>
        <w:t>, Intergovernmental Panel on Climate Change.</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IPCC, 2012b. </w:t>
      </w:r>
      <w:r w:rsidRPr="00CB47C6">
        <w:rPr>
          <w:rFonts w:ascii="Palatino Linotype" w:hAnsi="Palatino Linotype"/>
          <w:i/>
          <w:iCs/>
          <w:lang w:val="en-GB"/>
        </w:rPr>
        <w:t>Summary for policymakers - Special report on managing the risk of extreme events and disasters to advance climate change adaptation (SREX)</w:t>
      </w:r>
      <w:r w:rsidRPr="00CB47C6">
        <w:rPr>
          <w:rFonts w:ascii="Palatino Linotype" w:hAnsi="Palatino Linotype"/>
          <w:lang w:val="en-GB"/>
        </w:rPr>
        <w:t>, Intergovernmental Panel on Climate Change.</w:t>
      </w:r>
    </w:p>
    <w:p w:rsidR="00F12FEC" w:rsidRPr="00CB47C6" w:rsidRDefault="00F12FEC">
      <w:pPr>
        <w:pStyle w:val="NormaleWeb"/>
        <w:ind w:left="480" w:hanging="480"/>
        <w:divId w:val="314577900"/>
        <w:rPr>
          <w:rFonts w:ascii="Palatino Linotype" w:hAnsi="Palatino Linotype"/>
          <w:lang w:val="en-GB"/>
        </w:rPr>
      </w:pPr>
      <w:proofErr w:type="spellStart"/>
      <w:r w:rsidRPr="00CB47C6">
        <w:rPr>
          <w:rFonts w:ascii="Palatino Linotype" w:hAnsi="Palatino Linotype"/>
          <w:lang w:val="en-GB"/>
        </w:rPr>
        <w:t>Lequeux</w:t>
      </w:r>
      <w:proofErr w:type="spellEnd"/>
      <w:r w:rsidRPr="00CB47C6">
        <w:rPr>
          <w:rFonts w:ascii="Palatino Linotype" w:hAnsi="Palatino Linotype"/>
          <w:lang w:val="en-GB"/>
        </w:rPr>
        <w:t xml:space="preserve">, Q. &amp; </w:t>
      </w:r>
      <w:proofErr w:type="spellStart"/>
      <w:r w:rsidRPr="00CB47C6">
        <w:rPr>
          <w:rFonts w:ascii="Palatino Linotype" w:hAnsi="Palatino Linotype"/>
          <w:lang w:val="en-GB"/>
        </w:rPr>
        <w:t>Ciavola</w:t>
      </w:r>
      <w:proofErr w:type="spellEnd"/>
      <w:r w:rsidRPr="00CB47C6">
        <w:rPr>
          <w:rFonts w:ascii="Palatino Linotype" w:hAnsi="Palatino Linotype"/>
          <w:lang w:val="en-GB"/>
        </w:rPr>
        <w:t xml:space="preserve">, P., 2011. </w:t>
      </w:r>
      <w:r w:rsidRPr="00CB47C6">
        <w:rPr>
          <w:rFonts w:ascii="Palatino Linotype" w:hAnsi="Palatino Linotype"/>
          <w:i/>
          <w:iCs/>
          <w:lang w:val="en-GB"/>
        </w:rPr>
        <w:t>Methods for Estimating the Costs of Coastal Hazards - CONHAZ Report</w:t>
      </w:r>
      <w:r w:rsidRPr="00CB47C6">
        <w:rPr>
          <w:rFonts w:ascii="Palatino Linotype" w:hAnsi="Palatino Linotype"/>
          <w:lang w:val="en-GB"/>
        </w:rPr>
        <w:t>,</w:t>
      </w:r>
    </w:p>
    <w:p w:rsidR="00F12FEC" w:rsidRPr="00CB47C6" w:rsidRDefault="00F12FEC">
      <w:pPr>
        <w:pStyle w:val="NormaleWeb"/>
        <w:ind w:left="480" w:hanging="480"/>
        <w:divId w:val="314577900"/>
        <w:rPr>
          <w:rFonts w:ascii="Palatino Linotype" w:hAnsi="Palatino Linotype"/>
          <w:lang w:val="en-GB"/>
        </w:rPr>
      </w:pPr>
      <w:proofErr w:type="spellStart"/>
      <w:r w:rsidRPr="00CB47C6">
        <w:rPr>
          <w:rFonts w:ascii="Palatino Linotype" w:hAnsi="Palatino Linotype"/>
          <w:lang w:val="en-GB"/>
        </w:rPr>
        <w:t>Logar</w:t>
      </w:r>
      <w:proofErr w:type="spellEnd"/>
      <w:r w:rsidRPr="00CB47C6">
        <w:rPr>
          <w:rFonts w:ascii="Palatino Linotype" w:hAnsi="Palatino Linotype"/>
          <w:lang w:val="en-GB"/>
        </w:rPr>
        <w:t xml:space="preserve">, I. &amp; van den Bergh, J., 2011. </w:t>
      </w:r>
      <w:r w:rsidRPr="00CB47C6">
        <w:rPr>
          <w:rFonts w:ascii="Palatino Linotype" w:hAnsi="Palatino Linotype"/>
          <w:i/>
          <w:iCs/>
          <w:lang w:val="en-GB"/>
        </w:rPr>
        <w:t>Methods of Assessment of the Costs of Droughts - CONHAZ Report</w:t>
      </w:r>
      <w:r w:rsidRPr="00CB47C6">
        <w:rPr>
          <w:rFonts w:ascii="Palatino Linotype" w:hAnsi="Palatino Linotype"/>
          <w:lang w:val="en-GB"/>
        </w:rPr>
        <w:t>, Available at: http://conhaz.org/CONHAZ REPORT WP05_1_FINAL.pdf.</w:t>
      </w:r>
    </w:p>
    <w:p w:rsidR="00F12FEC" w:rsidRPr="00CB47C6" w:rsidRDefault="00F12FEC">
      <w:pPr>
        <w:pStyle w:val="NormaleWeb"/>
        <w:ind w:left="480" w:hanging="480"/>
        <w:divId w:val="314577900"/>
        <w:rPr>
          <w:rFonts w:ascii="Palatino Linotype" w:hAnsi="Palatino Linotype"/>
          <w:lang w:val="en-GB"/>
        </w:rPr>
      </w:pPr>
      <w:proofErr w:type="spellStart"/>
      <w:r w:rsidRPr="00CB47C6">
        <w:rPr>
          <w:rFonts w:ascii="Palatino Linotype" w:hAnsi="Palatino Linotype"/>
          <w:lang w:val="en-GB"/>
        </w:rPr>
        <w:t>Markantonis</w:t>
      </w:r>
      <w:proofErr w:type="spellEnd"/>
      <w:r w:rsidRPr="00CB47C6">
        <w:rPr>
          <w:rFonts w:ascii="Palatino Linotype" w:hAnsi="Palatino Linotype"/>
          <w:lang w:val="en-GB"/>
        </w:rPr>
        <w:t xml:space="preserve">, V., Meyer, V. &amp; </w:t>
      </w:r>
      <w:proofErr w:type="spellStart"/>
      <w:r w:rsidRPr="00CB47C6">
        <w:rPr>
          <w:rFonts w:ascii="Palatino Linotype" w:hAnsi="Palatino Linotype"/>
          <w:lang w:val="en-GB"/>
        </w:rPr>
        <w:t>Schwarze</w:t>
      </w:r>
      <w:proofErr w:type="spellEnd"/>
      <w:r w:rsidRPr="00CB47C6">
        <w:rPr>
          <w:rFonts w:ascii="Palatino Linotype" w:hAnsi="Palatino Linotype"/>
          <w:lang w:val="en-GB"/>
        </w:rPr>
        <w:t xml:space="preserve">, R., 2011. </w:t>
      </w:r>
      <w:r w:rsidRPr="00CB47C6">
        <w:rPr>
          <w:rFonts w:ascii="Palatino Linotype" w:hAnsi="Palatino Linotype"/>
          <w:i/>
          <w:iCs/>
          <w:lang w:val="en-GB"/>
        </w:rPr>
        <w:t>The intangible effects of Natural Hazards - CONHAZ Report</w:t>
      </w:r>
      <w:r w:rsidRPr="00CB47C6">
        <w:rPr>
          <w:rFonts w:ascii="Palatino Linotype" w:hAnsi="Palatino Linotype"/>
          <w:lang w:val="en-GB"/>
        </w:rPr>
        <w:t>,</w:t>
      </w:r>
    </w:p>
    <w:p w:rsidR="00F12FEC" w:rsidRPr="00CB47C6" w:rsidRDefault="00F12FEC">
      <w:pPr>
        <w:pStyle w:val="NormaleWeb"/>
        <w:ind w:left="480" w:hanging="480"/>
        <w:divId w:val="314577900"/>
        <w:rPr>
          <w:rFonts w:ascii="Palatino Linotype" w:hAnsi="Palatino Linotype"/>
          <w:lang w:val="en-GB"/>
        </w:rPr>
      </w:pPr>
      <w:proofErr w:type="spellStart"/>
      <w:r w:rsidRPr="00CB47C6">
        <w:rPr>
          <w:rFonts w:ascii="Palatino Linotype" w:hAnsi="Palatino Linotype"/>
          <w:lang w:val="en-GB"/>
        </w:rPr>
        <w:t>Messner</w:t>
      </w:r>
      <w:proofErr w:type="spellEnd"/>
      <w:r w:rsidRPr="00CB47C6">
        <w:rPr>
          <w:rFonts w:ascii="Palatino Linotype" w:hAnsi="Palatino Linotype"/>
          <w:lang w:val="en-GB"/>
        </w:rPr>
        <w:t xml:space="preserve"> et al, F., 2007. Evaluating flood damages: guidance and recommendations on principles and methods. </w:t>
      </w:r>
      <w:proofErr w:type="spellStart"/>
      <w:r w:rsidRPr="00CB47C6">
        <w:rPr>
          <w:rFonts w:ascii="Palatino Linotype" w:hAnsi="Palatino Linotype"/>
          <w:i/>
          <w:iCs/>
          <w:lang w:val="en-GB"/>
        </w:rPr>
        <w:t>FLOODsite</w:t>
      </w:r>
      <w:proofErr w:type="spellEnd"/>
      <w:r w:rsidRPr="00CB47C6">
        <w:rPr>
          <w:rFonts w:ascii="Palatino Linotype" w:hAnsi="Palatino Linotype"/>
          <w:i/>
          <w:iCs/>
          <w:lang w:val="en-GB"/>
        </w:rPr>
        <w:t xml:space="preserve"> consortium, 2007. Integrated Flood Risk Analysis and Management Methodologies</w:t>
      </w:r>
      <w:r w:rsidRPr="00CB47C6">
        <w:rPr>
          <w:rFonts w:ascii="Palatino Linotype" w:hAnsi="Palatino Linotype"/>
          <w:lang w:val="en-GB"/>
        </w:rPr>
        <w:t>. Available at: http://www.floodsite.net/html/partner_area/project_docs/T09_06_01_Flood_damage_guidelines_D9_1_v2_2_p44.pdf.</w:t>
      </w:r>
    </w:p>
    <w:p w:rsidR="000970CE" w:rsidRPr="00CB47C6" w:rsidRDefault="000970CE" w:rsidP="000970CE">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Meyer V, Becker N, </w:t>
      </w:r>
      <w:proofErr w:type="spellStart"/>
      <w:r w:rsidRPr="00CB47C6">
        <w:rPr>
          <w:rFonts w:ascii="Palatino Linotype" w:hAnsi="Palatino Linotype"/>
          <w:lang w:val="en-GB"/>
        </w:rPr>
        <w:t>Markantonis</w:t>
      </w:r>
      <w:proofErr w:type="spellEnd"/>
      <w:r w:rsidRPr="00CB47C6">
        <w:rPr>
          <w:rFonts w:ascii="Palatino Linotype" w:hAnsi="Palatino Linotype"/>
          <w:lang w:val="en-GB"/>
        </w:rPr>
        <w:t xml:space="preserve"> V, </w:t>
      </w:r>
      <w:proofErr w:type="spellStart"/>
      <w:r w:rsidRPr="00CB47C6">
        <w:rPr>
          <w:rFonts w:ascii="Palatino Linotype" w:hAnsi="Palatino Linotype"/>
          <w:lang w:val="en-GB"/>
        </w:rPr>
        <w:t>Schwarze</w:t>
      </w:r>
      <w:proofErr w:type="spellEnd"/>
      <w:r w:rsidRPr="00CB47C6">
        <w:rPr>
          <w:rFonts w:ascii="Palatino Linotype" w:hAnsi="Palatino Linotype"/>
          <w:lang w:val="en-GB"/>
        </w:rPr>
        <w:t xml:space="preserve"> R, </w:t>
      </w:r>
      <w:proofErr w:type="spellStart"/>
      <w:r w:rsidRPr="00CB47C6">
        <w:rPr>
          <w:rFonts w:ascii="Palatino Linotype" w:hAnsi="Palatino Linotype"/>
          <w:lang w:val="en-GB"/>
        </w:rPr>
        <w:t>Aerts</w:t>
      </w:r>
      <w:proofErr w:type="spellEnd"/>
      <w:r w:rsidRPr="00CB47C6">
        <w:rPr>
          <w:rFonts w:ascii="Palatino Linotype" w:hAnsi="Palatino Linotype"/>
          <w:lang w:val="en-GB"/>
        </w:rPr>
        <w:t xml:space="preserve"> J, van den Bergh J, </w:t>
      </w:r>
      <w:proofErr w:type="spellStart"/>
      <w:r w:rsidRPr="00CB47C6">
        <w:rPr>
          <w:rFonts w:ascii="Palatino Linotype" w:hAnsi="Palatino Linotype"/>
          <w:lang w:val="en-GB"/>
        </w:rPr>
        <w:t>Bouwer</w:t>
      </w:r>
      <w:proofErr w:type="spellEnd"/>
      <w:r w:rsidRPr="00CB47C6">
        <w:rPr>
          <w:rFonts w:ascii="Palatino Linotype" w:hAnsi="Palatino Linotype"/>
          <w:lang w:val="en-GB"/>
        </w:rPr>
        <w:t xml:space="preserve"> L, </w:t>
      </w:r>
      <w:proofErr w:type="spellStart"/>
      <w:r w:rsidRPr="00CB47C6">
        <w:rPr>
          <w:rFonts w:ascii="Palatino Linotype" w:hAnsi="Palatino Linotype"/>
          <w:lang w:val="en-GB"/>
        </w:rPr>
        <w:t>Bubeck</w:t>
      </w:r>
      <w:proofErr w:type="spellEnd"/>
      <w:r w:rsidRPr="00CB47C6">
        <w:rPr>
          <w:rFonts w:ascii="Palatino Linotype" w:hAnsi="Palatino Linotype"/>
          <w:lang w:val="en-GB"/>
        </w:rPr>
        <w:t xml:space="preserve"> P, </w:t>
      </w:r>
      <w:proofErr w:type="spellStart"/>
      <w:r w:rsidRPr="00CB47C6">
        <w:rPr>
          <w:rFonts w:ascii="Palatino Linotype" w:hAnsi="Palatino Linotype"/>
          <w:lang w:val="en-GB"/>
        </w:rPr>
        <w:t>Ciavola</w:t>
      </w:r>
      <w:proofErr w:type="spellEnd"/>
      <w:r w:rsidRPr="00CB47C6">
        <w:rPr>
          <w:rFonts w:ascii="Palatino Linotype" w:hAnsi="Palatino Linotype"/>
          <w:lang w:val="en-GB"/>
        </w:rPr>
        <w:t xml:space="preserve"> P, Daniel V, Genovese E, Green C, </w:t>
      </w:r>
      <w:proofErr w:type="spellStart"/>
      <w:r w:rsidRPr="00CB47C6">
        <w:rPr>
          <w:rFonts w:ascii="Palatino Linotype" w:hAnsi="Palatino Linotype"/>
          <w:lang w:val="en-GB"/>
        </w:rPr>
        <w:t>Hallegatte</w:t>
      </w:r>
      <w:proofErr w:type="spellEnd"/>
      <w:r w:rsidRPr="00CB47C6">
        <w:rPr>
          <w:rFonts w:ascii="Palatino Linotype" w:hAnsi="Palatino Linotype"/>
          <w:lang w:val="en-GB"/>
        </w:rPr>
        <w:t xml:space="preserve"> S, </w:t>
      </w:r>
      <w:proofErr w:type="spellStart"/>
      <w:r w:rsidRPr="00CB47C6">
        <w:rPr>
          <w:rFonts w:ascii="Palatino Linotype" w:hAnsi="Palatino Linotype"/>
          <w:lang w:val="en-GB"/>
        </w:rPr>
        <w:t>Kreibich</w:t>
      </w:r>
      <w:proofErr w:type="spellEnd"/>
      <w:r w:rsidRPr="00CB47C6">
        <w:rPr>
          <w:rFonts w:ascii="Palatino Linotype" w:hAnsi="Palatino Linotype"/>
          <w:lang w:val="en-GB"/>
        </w:rPr>
        <w:t xml:space="preserve"> H, </w:t>
      </w:r>
      <w:proofErr w:type="spellStart"/>
      <w:r w:rsidRPr="00CB47C6">
        <w:rPr>
          <w:rFonts w:ascii="Palatino Linotype" w:hAnsi="Palatino Linotype"/>
          <w:lang w:val="en-GB"/>
        </w:rPr>
        <w:t>Lequeux</w:t>
      </w:r>
      <w:proofErr w:type="spellEnd"/>
      <w:r w:rsidRPr="00CB47C6">
        <w:rPr>
          <w:rFonts w:ascii="Palatino Linotype" w:hAnsi="Palatino Linotype"/>
          <w:lang w:val="en-GB"/>
        </w:rPr>
        <w:t xml:space="preserve"> Q, </w:t>
      </w:r>
      <w:proofErr w:type="spellStart"/>
      <w:r w:rsidRPr="00CB47C6">
        <w:rPr>
          <w:rFonts w:ascii="Palatino Linotype" w:hAnsi="Palatino Linotype"/>
          <w:lang w:val="en-GB"/>
        </w:rPr>
        <w:t>Lochner</w:t>
      </w:r>
      <w:proofErr w:type="spellEnd"/>
      <w:r w:rsidRPr="00CB47C6">
        <w:rPr>
          <w:rFonts w:ascii="Palatino Linotype" w:hAnsi="Palatino Linotype"/>
          <w:lang w:val="en-GB"/>
        </w:rPr>
        <w:t xml:space="preserve"> B, </w:t>
      </w:r>
      <w:proofErr w:type="spellStart"/>
      <w:r w:rsidRPr="00CB47C6">
        <w:rPr>
          <w:rFonts w:ascii="Palatino Linotype" w:hAnsi="Palatino Linotype"/>
          <w:lang w:val="en-GB"/>
        </w:rPr>
        <w:t>Logar</w:t>
      </w:r>
      <w:proofErr w:type="spellEnd"/>
      <w:r w:rsidRPr="00CB47C6">
        <w:rPr>
          <w:rFonts w:ascii="Palatino Linotype" w:hAnsi="Palatino Linotype"/>
          <w:lang w:val="en-GB"/>
        </w:rPr>
        <w:t xml:space="preserve"> I, </w:t>
      </w:r>
      <w:proofErr w:type="spellStart"/>
      <w:r w:rsidRPr="00CB47C6">
        <w:rPr>
          <w:rFonts w:ascii="Palatino Linotype" w:hAnsi="Palatino Linotype"/>
          <w:lang w:val="en-GB"/>
        </w:rPr>
        <w:t>Papyrakis</w:t>
      </w:r>
      <w:proofErr w:type="spellEnd"/>
      <w:r w:rsidRPr="00CB47C6">
        <w:rPr>
          <w:rFonts w:ascii="Palatino Linotype" w:hAnsi="Palatino Linotype"/>
          <w:lang w:val="en-GB"/>
        </w:rPr>
        <w:t xml:space="preserve"> E, </w:t>
      </w:r>
      <w:proofErr w:type="spellStart"/>
      <w:r w:rsidRPr="00CB47C6">
        <w:rPr>
          <w:rFonts w:ascii="Palatino Linotype" w:hAnsi="Palatino Linotype"/>
          <w:lang w:val="en-GB"/>
        </w:rPr>
        <w:t>Pfurtscheller</w:t>
      </w:r>
      <w:proofErr w:type="spellEnd"/>
      <w:r w:rsidRPr="00CB47C6">
        <w:rPr>
          <w:rFonts w:ascii="Palatino Linotype" w:hAnsi="Palatino Linotype"/>
          <w:lang w:val="en-GB"/>
        </w:rPr>
        <w:t xml:space="preserve"> C, </w:t>
      </w:r>
      <w:proofErr w:type="spellStart"/>
      <w:r w:rsidRPr="00CB47C6">
        <w:rPr>
          <w:rFonts w:ascii="Palatino Linotype" w:hAnsi="Palatino Linotype"/>
          <w:lang w:val="en-GB"/>
        </w:rPr>
        <w:t>Poussin</w:t>
      </w:r>
      <w:proofErr w:type="spellEnd"/>
      <w:r w:rsidRPr="00CB47C6">
        <w:rPr>
          <w:rFonts w:ascii="Palatino Linotype" w:hAnsi="Palatino Linotype"/>
          <w:lang w:val="en-GB"/>
        </w:rPr>
        <w:t xml:space="preserve"> J, </w:t>
      </w:r>
      <w:proofErr w:type="spellStart"/>
      <w:r w:rsidRPr="00CB47C6">
        <w:rPr>
          <w:rFonts w:ascii="Palatino Linotype" w:hAnsi="Palatino Linotype"/>
          <w:lang w:val="en-GB"/>
        </w:rPr>
        <w:t>Przyluski</w:t>
      </w:r>
      <w:proofErr w:type="spellEnd"/>
      <w:r w:rsidRPr="00CB47C6">
        <w:rPr>
          <w:rFonts w:ascii="Palatino Linotype" w:hAnsi="Palatino Linotype"/>
          <w:lang w:val="en-GB"/>
        </w:rPr>
        <w:t xml:space="preserve"> V, </w:t>
      </w:r>
      <w:proofErr w:type="spellStart"/>
      <w:r w:rsidRPr="00CB47C6">
        <w:rPr>
          <w:rFonts w:ascii="Palatino Linotype" w:hAnsi="Palatino Linotype"/>
          <w:lang w:val="en-GB"/>
        </w:rPr>
        <w:t>Thieken</w:t>
      </w:r>
      <w:proofErr w:type="spellEnd"/>
      <w:r w:rsidRPr="00CB47C6">
        <w:rPr>
          <w:rFonts w:ascii="Palatino Linotype" w:hAnsi="Palatino Linotype"/>
          <w:lang w:val="en-GB"/>
        </w:rPr>
        <w:t xml:space="preserve"> A, Thompson P, </w:t>
      </w:r>
      <w:proofErr w:type="spellStart"/>
      <w:r w:rsidRPr="00CB47C6">
        <w:rPr>
          <w:rFonts w:ascii="Palatino Linotype" w:hAnsi="Palatino Linotype"/>
          <w:lang w:val="en-GB"/>
        </w:rPr>
        <w:t>Viavattene</w:t>
      </w:r>
      <w:proofErr w:type="spellEnd"/>
      <w:r w:rsidRPr="00CB47C6">
        <w:rPr>
          <w:rFonts w:ascii="Palatino Linotype" w:hAnsi="Palatino Linotype"/>
          <w:lang w:val="en-GB"/>
        </w:rPr>
        <w:t xml:space="preserve"> C (2012) Costs of Natural Hazards - A Synthesis. http://conhaz.org/</w:t>
      </w:r>
    </w:p>
    <w:p w:rsidR="00DD2AB0" w:rsidRPr="00CB47C6" w:rsidRDefault="000970CE" w:rsidP="000970CE">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Meyer V, Becker N, </w:t>
      </w:r>
      <w:proofErr w:type="spellStart"/>
      <w:r w:rsidRPr="00CB47C6">
        <w:rPr>
          <w:rFonts w:ascii="Palatino Linotype" w:hAnsi="Palatino Linotype"/>
          <w:lang w:val="en-GB"/>
        </w:rPr>
        <w:t>Markantonis</w:t>
      </w:r>
      <w:proofErr w:type="spellEnd"/>
      <w:r w:rsidRPr="00CB47C6">
        <w:rPr>
          <w:rFonts w:ascii="Palatino Linotype" w:hAnsi="Palatino Linotype"/>
          <w:lang w:val="en-GB"/>
        </w:rPr>
        <w:t xml:space="preserve"> V, </w:t>
      </w:r>
      <w:proofErr w:type="spellStart"/>
      <w:r w:rsidRPr="00CB47C6">
        <w:rPr>
          <w:rFonts w:ascii="Palatino Linotype" w:hAnsi="Palatino Linotype"/>
          <w:lang w:val="en-GB"/>
        </w:rPr>
        <w:t>Schwarze</w:t>
      </w:r>
      <w:proofErr w:type="spellEnd"/>
      <w:r w:rsidRPr="00CB47C6">
        <w:rPr>
          <w:rFonts w:ascii="Palatino Linotype" w:hAnsi="Palatino Linotype"/>
          <w:lang w:val="en-GB"/>
        </w:rPr>
        <w:t xml:space="preserve"> R, van den Bergh J, </w:t>
      </w:r>
      <w:proofErr w:type="spellStart"/>
      <w:r w:rsidRPr="00CB47C6">
        <w:rPr>
          <w:rFonts w:ascii="Palatino Linotype" w:hAnsi="Palatino Linotype"/>
          <w:lang w:val="en-GB"/>
        </w:rPr>
        <w:t>Bouwer</w:t>
      </w:r>
      <w:proofErr w:type="spellEnd"/>
      <w:r w:rsidRPr="00CB47C6">
        <w:rPr>
          <w:rFonts w:ascii="Palatino Linotype" w:hAnsi="Palatino Linotype"/>
          <w:lang w:val="en-GB"/>
        </w:rPr>
        <w:t xml:space="preserve"> L, </w:t>
      </w:r>
      <w:proofErr w:type="spellStart"/>
      <w:r w:rsidRPr="00CB47C6">
        <w:rPr>
          <w:rFonts w:ascii="Palatino Linotype" w:hAnsi="Palatino Linotype"/>
          <w:lang w:val="en-GB"/>
        </w:rPr>
        <w:t>Bubeck</w:t>
      </w:r>
      <w:proofErr w:type="spellEnd"/>
      <w:r w:rsidRPr="00CB47C6">
        <w:rPr>
          <w:rFonts w:ascii="Palatino Linotype" w:hAnsi="Palatino Linotype"/>
          <w:lang w:val="en-GB"/>
        </w:rPr>
        <w:t xml:space="preserve"> P, </w:t>
      </w:r>
      <w:proofErr w:type="spellStart"/>
      <w:r w:rsidRPr="00CB47C6">
        <w:rPr>
          <w:rFonts w:ascii="Palatino Linotype" w:hAnsi="Palatino Linotype"/>
          <w:lang w:val="en-GB"/>
        </w:rPr>
        <w:t>Ciavola</w:t>
      </w:r>
      <w:proofErr w:type="spellEnd"/>
      <w:r w:rsidRPr="00CB47C6">
        <w:rPr>
          <w:rFonts w:ascii="Palatino Linotype" w:hAnsi="Palatino Linotype"/>
          <w:lang w:val="en-GB"/>
        </w:rPr>
        <w:t xml:space="preserve"> P, Daniel V, Genovese E, Green C, </w:t>
      </w:r>
      <w:proofErr w:type="spellStart"/>
      <w:r w:rsidRPr="00CB47C6">
        <w:rPr>
          <w:rFonts w:ascii="Palatino Linotype" w:hAnsi="Palatino Linotype"/>
          <w:lang w:val="en-GB"/>
        </w:rPr>
        <w:t>Hallegatte</w:t>
      </w:r>
      <w:proofErr w:type="spellEnd"/>
      <w:r w:rsidRPr="00CB47C6">
        <w:rPr>
          <w:rFonts w:ascii="Palatino Linotype" w:hAnsi="Palatino Linotype"/>
          <w:lang w:val="en-GB"/>
        </w:rPr>
        <w:t xml:space="preserve"> S, </w:t>
      </w:r>
      <w:proofErr w:type="spellStart"/>
      <w:r w:rsidRPr="00CB47C6">
        <w:rPr>
          <w:rFonts w:ascii="Palatino Linotype" w:hAnsi="Palatino Linotype"/>
          <w:lang w:val="en-GB"/>
        </w:rPr>
        <w:t>Kreibich</w:t>
      </w:r>
      <w:proofErr w:type="spellEnd"/>
      <w:r w:rsidRPr="00CB47C6">
        <w:rPr>
          <w:rFonts w:ascii="Palatino Linotype" w:hAnsi="Palatino Linotype"/>
          <w:lang w:val="en-GB"/>
        </w:rPr>
        <w:t xml:space="preserve"> H, </w:t>
      </w:r>
      <w:proofErr w:type="spellStart"/>
      <w:r w:rsidRPr="00CB47C6">
        <w:rPr>
          <w:rFonts w:ascii="Palatino Linotype" w:hAnsi="Palatino Linotype"/>
          <w:lang w:val="en-GB"/>
        </w:rPr>
        <w:t>Lequeux</w:t>
      </w:r>
      <w:proofErr w:type="spellEnd"/>
      <w:r w:rsidRPr="00CB47C6">
        <w:rPr>
          <w:rFonts w:ascii="Palatino Linotype" w:hAnsi="Palatino Linotype"/>
          <w:lang w:val="en-GB"/>
        </w:rPr>
        <w:t xml:space="preserve"> Q, </w:t>
      </w:r>
      <w:proofErr w:type="spellStart"/>
      <w:r w:rsidRPr="00CB47C6">
        <w:rPr>
          <w:rFonts w:ascii="Palatino Linotype" w:hAnsi="Palatino Linotype"/>
          <w:lang w:val="en-GB"/>
        </w:rPr>
        <w:t>Logar</w:t>
      </w:r>
      <w:proofErr w:type="spellEnd"/>
      <w:r w:rsidRPr="00CB47C6">
        <w:rPr>
          <w:rFonts w:ascii="Palatino Linotype" w:hAnsi="Palatino Linotype"/>
          <w:lang w:val="en-GB"/>
        </w:rPr>
        <w:t xml:space="preserve"> I, </w:t>
      </w:r>
      <w:proofErr w:type="spellStart"/>
      <w:r w:rsidRPr="00CB47C6">
        <w:rPr>
          <w:rFonts w:ascii="Palatino Linotype" w:hAnsi="Palatino Linotype"/>
          <w:lang w:val="en-GB"/>
        </w:rPr>
        <w:t>Papyrakis</w:t>
      </w:r>
      <w:proofErr w:type="spellEnd"/>
      <w:r w:rsidRPr="00CB47C6">
        <w:rPr>
          <w:rFonts w:ascii="Palatino Linotype" w:hAnsi="Palatino Linotype"/>
          <w:lang w:val="en-GB"/>
        </w:rPr>
        <w:t xml:space="preserve"> E, </w:t>
      </w:r>
      <w:proofErr w:type="spellStart"/>
      <w:r w:rsidRPr="00CB47C6">
        <w:rPr>
          <w:rFonts w:ascii="Palatino Linotype" w:hAnsi="Palatino Linotype"/>
          <w:lang w:val="en-GB"/>
        </w:rPr>
        <w:t>Pfurtscheller</w:t>
      </w:r>
      <w:proofErr w:type="spellEnd"/>
      <w:r w:rsidRPr="00CB47C6">
        <w:rPr>
          <w:rFonts w:ascii="Palatino Linotype" w:hAnsi="Palatino Linotype"/>
          <w:lang w:val="en-GB"/>
        </w:rPr>
        <w:t xml:space="preserve"> C, </w:t>
      </w:r>
      <w:proofErr w:type="spellStart"/>
      <w:r w:rsidRPr="00CB47C6">
        <w:rPr>
          <w:rFonts w:ascii="Palatino Linotype" w:hAnsi="Palatino Linotype"/>
          <w:lang w:val="en-GB"/>
        </w:rPr>
        <w:t>Poussin</w:t>
      </w:r>
      <w:proofErr w:type="spellEnd"/>
      <w:r w:rsidRPr="00CB47C6">
        <w:rPr>
          <w:rFonts w:ascii="Palatino Linotype" w:hAnsi="Palatino Linotype"/>
          <w:lang w:val="en-GB"/>
        </w:rPr>
        <w:t xml:space="preserve"> J, </w:t>
      </w:r>
      <w:proofErr w:type="spellStart"/>
      <w:r w:rsidRPr="00CB47C6">
        <w:rPr>
          <w:rFonts w:ascii="Palatino Linotype" w:hAnsi="Palatino Linotype"/>
          <w:lang w:val="en-GB"/>
        </w:rPr>
        <w:t>Przyluski</w:t>
      </w:r>
      <w:proofErr w:type="spellEnd"/>
      <w:r w:rsidRPr="00CB47C6">
        <w:rPr>
          <w:rFonts w:ascii="Palatino Linotype" w:hAnsi="Palatino Linotype"/>
          <w:lang w:val="en-GB"/>
        </w:rPr>
        <w:t xml:space="preserve"> V, </w:t>
      </w:r>
      <w:proofErr w:type="spellStart"/>
      <w:r w:rsidRPr="00CB47C6">
        <w:rPr>
          <w:rFonts w:ascii="Palatino Linotype" w:hAnsi="Palatino Linotype"/>
          <w:lang w:val="en-GB"/>
        </w:rPr>
        <w:t>Thieken</w:t>
      </w:r>
      <w:proofErr w:type="spellEnd"/>
      <w:r w:rsidRPr="00CB47C6">
        <w:rPr>
          <w:rFonts w:ascii="Palatino Linotype" w:hAnsi="Palatino Linotype"/>
          <w:lang w:val="en-GB"/>
        </w:rPr>
        <w:t xml:space="preserve"> A, </w:t>
      </w:r>
      <w:proofErr w:type="spellStart"/>
      <w:r w:rsidRPr="00CB47C6">
        <w:rPr>
          <w:rFonts w:ascii="Palatino Linotype" w:hAnsi="Palatino Linotype"/>
          <w:lang w:val="en-GB"/>
        </w:rPr>
        <w:t>Viavattene</w:t>
      </w:r>
      <w:proofErr w:type="spellEnd"/>
      <w:r w:rsidRPr="00CB47C6">
        <w:rPr>
          <w:rFonts w:ascii="Palatino Linotype" w:hAnsi="Palatino Linotype"/>
          <w:lang w:val="en-GB"/>
        </w:rPr>
        <w:t xml:space="preserve"> C: Assessing the Costs of Natural Hazards - State-of-the-art and Knowledge Gaps, Nat. Hazards Earth Syst. Sci., 13, 1351-1373</w:t>
      </w:r>
    </w:p>
    <w:p w:rsidR="00F12FEC" w:rsidRPr="00CB47C6" w:rsidRDefault="00F12FEC">
      <w:pPr>
        <w:pStyle w:val="NormaleWeb"/>
        <w:ind w:left="480" w:hanging="480"/>
        <w:divId w:val="314577900"/>
        <w:rPr>
          <w:rFonts w:ascii="Palatino Linotype" w:hAnsi="Palatino Linotype"/>
          <w:lang w:val="en-GB"/>
        </w:rPr>
      </w:pPr>
      <w:proofErr w:type="spellStart"/>
      <w:r w:rsidRPr="00CB47C6">
        <w:rPr>
          <w:rFonts w:ascii="Palatino Linotype" w:hAnsi="Palatino Linotype"/>
          <w:lang w:val="en-GB"/>
        </w:rPr>
        <w:lastRenderedPageBreak/>
        <w:t>Pfurtscheller</w:t>
      </w:r>
      <w:proofErr w:type="spellEnd"/>
      <w:r w:rsidRPr="00CB47C6">
        <w:rPr>
          <w:rFonts w:ascii="Palatino Linotype" w:hAnsi="Palatino Linotype"/>
          <w:lang w:val="en-GB"/>
        </w:rPr>
        <w:t xml:space="preserve">, C., </w:t>
      </w:r>
      <w:proofErr w:type="spellStart"/>
      <w:r w:rsidRPr="00CB47C6">
        <w:rPr>
          <w:rFonts w:ascii="Palatino Linotype" w:hAnsi="Palatino Linotype"/>
          <w:lang w:val="en-GB"/>
        </w:rPr>
        <w:t>Lochner</w:t>
      </w:r>
      <w:proofErr w:type="spellEnd"/>
      <w:r w:rsidRPr="00CB47C6">
        <w:rPr>
          <w:rFonts w:ascii="Palatino Linotype" w:hAnsi="Palatino Linotype"/>
          <w:lang w:val="en-GB"/>
        </w:rPr>
        <w:t xml:space="preserve">, B. &amp; </w:t>
      </w:r>
      <w:proofErr w:type="spellStart"/>
      <w:r w:rsidRPr="00CB47C6">
        <w:rPr>
          <w:rFonts w:ascii="Palatino Linotype" w:hAnsi="Palatino Linotype"/>
          <w:lang w:val="en-GB"/>
        </w:rPr>
        <w:t>Thieken</w:t>
      </w:r>
      <w:proofErr w:type="spellEnd"/>
      <w:r w:rsidRPr="00CB47C6">
        <w:rPr>
          <w:rFonts w:ascii="Palatino Linotype" w:hAnsi="Palatino Linotype"/>
          <w:lang w:val="en-GB"/>
        </w:rPr>
        <w:t xml:space="preserve">, A., 2011. </w:t>
      </w:r>
      <w:r w:rsidRPr="00CB47C6">
        <w:rPr>
          <w:rFonts w:ascii="Palatino Linotype" w:hAnsi="Palatino Linotype"/>
          <w:i/>
          <w:iCs/>
          <w:lang w:val="en-GB"/>
        </w:rPr>
        <w:t>CONHAZ Report on Costs of Alpine Hazards Costs of Alpine Hazards</w:t>
      </w:r>
      <w:r w:rsidRPr="00CB47C6">
        <w:rPr>
          <w:rFonts w:ascii="Palatino Linotype" w:hAnsi="Palatino Linotype"/>
          <w:lang w:val="en-GB"/>
        </w:rPr>
        <w:t>,</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PREEMPT, 2013. </w:t>
      </w:r>
      <w:r w:rsidRPr="00CB47C6">
        <w:rPr>
          <w:rFonts w:ascii="Palatino Linotype" w:hAnsi="Palatino Linotype"/>
          <w:i/>
          <w:iCs/>
          <w:lang w:val="en-GB"/>
        </w:rPr>
        <w:t>PREEMPT “Policy relevant assessment of socio-economic effects of droughts and floods” Guidance Document</w:t>
      </w:r>
      <w:r w:rsidRPr="00CB47C6">
        <w:rPr>
          <w:rFonts w:ascii="Palatino Linotype" w:hAnsi="Palatino Linotype"/>
          <w:lang w:val="en-GB"/>
        </w:rPr>
        <w:t>,</w:t>
      </w:r>
    </w:p>
    <w:p w:rsidR="00F12FEC" w:rsidRPr="00CB47C6" w:rsidRDefault="00F12FEC">
      <w:pPr>
        <w:pStyle w:val="NormaleWeb"/>
        <w:ind w:left="480" w:hanging="480"/>
        <w:divId w:val="314577900"/>
        <w:rPr>
          <w:rFonts w:ascii="Palatino Linotype" w:hAnsi="Palatino Linotype"/>
          <w:lang w:val="en-GB"/>
        </w:rPr>
      </w:pPr>
      <w:proofErr w:type="spellStart"/>
      <w:r w:rsidRPr="00CB47C6">
        <w:rPr>
          <w:rFonts w:ascii="Palatino Linotype" w:hAnsi="Palatino Linotype"/>
          <w:lang w:val="en-GB"/>
        </w:rPr>
        <w:t>Przyluski</w:t>
      </w:r>
      <w:proofErr w:type="spellEnd"/>
      <w:r w:rsidRPr="00CB47C6">
        <w:rPr>
          <w:rFonts w:ascii="Palatino Linotype" w:hAnsi="Palatino Linotype"/>
          <w:lang w:val="en-GB"/>
        </w:rPr>
        <w:t xml:space="preserve">, V. &amp; </w:t>
      </w:r>
      <w:proofErr w:type="spellStart"/>
      <w:r w:rsidRPr="00CB47C6">
        <w:rPr>
          <w:rFonts w:ascii="Palatino Linotype" w:hAnsi="Palatino Linotype"/>
          <w:lang w:val="en-GB"/>
        </w:rPr>
        <w:t>Hallegatte</w:t>
      </w:r>
      <w:proofErr w:type="spellEnd"/>
      <w:r w:rsidRPr="00CB47C6">
        <w:rPr>
          <w:rFonts w:ascii="Palatino Linotype" w:hAnsi="Palatino Linotype"/>
          <w:lang w:val="en-GB"/>
        </w:rPr>
        <w:t xml:space="preserve">, S., 2011. </w:t>
      </w:r>
      <w:r w:rsidRPr="00CB47C6">
        <w:rPr>
          <w:rFonts w:ascii="Palatino Linotype" w:hAnsi="Palatino Linotype"/>
          <w:i/>
          <w:iCs/>
          <w:lang w:val="en-GB"/>
        </w:rPr>
        <w:t>Indirect Costs of Natural Hazards - CONHAZ Report</w:t>
      </w:r>
      <w:r w:rsidRPr="00CB47C6">
        <w:rPr>
          <w:rFonts w:ascii="Palatino Linotype" w:hAnsi="Palatino Linotype"/>
          <w:lang w:val="en-GB"/>
        </w:rPr>
        <w:t>,</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UNFCCC, 2012. Current knowledge on relevant methodologies and data requirements as well as lessons learned and gaps identified at different levels , in assessing the risk of loss and damage associated with the adverse effects of climate change Technical paper. , (May).</w:t>
      </w:r>
    </w:p>
    <w:p w:rsidR="00F12FEC" w:rsidRPr="00CB47C6" w:rsidRDefault="00F12FEC">
      <w:pPr>
        <w:pStyle w:val="NormaleWeb"/>
        <w:ind w:left="480" w:hanging="480"/>
        <w:divId w:val="314577900"/>
        <w:rPr>
          <w:rFonts w:ascii="Palatino Linotype" w:hAnsi="Palatino Linotype"/>
          <w:lang w:val="en-GB"/>
        </w:rPr>
      </w:pPr>
      <w:r w:rsidRPr="00CB47C6">
        <w:rPr>
          <w:rFonts w:ascii="Palatino Linotype" w:hAnsi="Palatino Linotype"/>
          <w:lang w:val="en-GB"/>
        </w:rPr>
        <w:t xml:space="preserve">World Bank, 2010. </w:t>
      </w:r>
      <w:r w:rsidRPr="00CB47C6">
        <w:rPr>
          <w:rFonts w:ascii="Palatino Linotype" w:hAnsi="Palatino Linotype"/>
          <w:i/>
          <w:iCs/>
          <w:lang w:val="en-GB"/>
        </w:rPr>
        <w:t>Economics of Adaptation to Climate Change: Synthesis Report</w:t>
      </w:r>
      <w:r w:rsidRPr="00CB47C6">
        <w:rPr>
          <w:rFonts w:ascii="Palatino Linotype" w:hAnsi="Palatino Linotype"/>
          <w:lang w:val="en-GB"/>
        </w:rPr>
        <w:t>,</w:t>
      </w:r>
    </w:p>
    <w:p w:rsidR="006463E5" w:rsidRPr="00CB47C6" w:rsidRDefault="002830C8" w:rsidP="00121B51">
      <w:pPr>
        <w:pStyle w:val="NormaleWeb"/>
        <w:divId w:val="696196614"/>
        <w:rPr>
          <w:rFonts w:ascii="Palatino Linotype" w:hAnsi="Palatino Linotype"/>
          <w:lang w:val="en-GB"/>
        </w:rPr>
      </w:pPr>
      <w:r w:rsidRPr="00CB47C6">
        <w:rPr>
          <w:rFonts w:ascii="Palatino Linotype" w:hAnsi="Palatino Linotype"/>
          <w:lang w:val="en-GB"/>
        </w:rPr>
        <w:fldChar w:fldCharType="end"/>
      </w:r>
    </w:p>
    <w:sectPr w:rsidR="006463E5" w:rsidRPr="00CB47C6" w:rsidSect="0047139F">
      <w:footnotePr>
        <w:numRestart w:val="eachPage"/>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48" w:rsidRDefault="00767E48" w:rsidP="002830C8">
      <w:pPr>
        <w:spacing w:after="0" w:line="240" w:lineRule="auto"/>
      </w:pPr>
      <w:r>
        <w:separator/>
      </w:r>
    </w:p>
  </w:endnote>
  <w:endnote w:type="continuationSeparator" w:id="0">
    <w:p w:rsidR="00767E48" w:rsidRDefault="00767E48" w:rsidP="0028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48" w:rsidRDefault="00767E48" w:rsidP="002830C8">
      <w:pPr>
        <w:spacing w:after="0" w:line="240" w:lineRule="auto"/>
      </w:pPr>
      <w:r>
        <w:separator/>
      </w:r>
    </w:p>
  </w:footnote>
  <w:footnote w:type="continuationSeparator" w:id="0">
    <w:p w:rsidR="00767E48" w:rsidRDefault="00767E48" w:rsidP="002830C8">
      <w:pPr>
        <w:spacing w:after="0" w:line="240" w:lineRule="auto"/>
      </w:pPr>
      <w:r>
        <w:continuationSeparator/>
      </w:r>
    </w:p>
  </w:footnote>
  <w:footnote w:id="1">
    <w:p w:rsidR="00935192" w:rsidRPr="00121B51" w:rsidRDefault="00935192" w:rsidP="00121B51">
      <w:pPr>
        <w:pStyle w:val="Testonotaapidipagina"/>
        <w:jc w:val="both"/>
        <w:rPr>
          <w:lang w:val="en-US"/>
        </w:rPr>
      </w:pPr>
      <w:r>
        <w:rPr>
          <w:rStyle w:val="Rimandonotaapidipagina"/>
        </w:rPr>
        <w:footnoteRef/>
      </w:r>
      <w:r w:rsidRPr="00121B51">
        <w:rPr>
          <w:lang w:val="en-US"/>
        </w:rPr>
        <w:t xml:space="preserve"> EEA. (2010). Mapping the impacts of natural hazards and technological accidents in Europe - An overview of the last decade</w:t>
      </w:r>
      <w:r>
        <w:rPr>
          <w:lang w:val="en-US"/>
        </w:rPr>
        <w:t xml:space="preserve">, </w:t>
      </w:r>
      <w:r w:rsidRPr="00121B51">
        <w:rPr>
          <w:lang w:val="en-US"/>
        </w:rPr>
        <w:t>T</w:t>
      </w:r>
      <w:r>
        <w:rPr>
          <w:lang w:val="en-US"/>
        </w:rPr>
        <w:t>echnical</w:t>
      </w:r>
      <w:r w:rsidRPr="00121B51">
        <w:rPr>
          <w:lang w:val="en-US"/>
        </w:rPr>
        <w:t xml:space="preserve"> report 13/2010</w:t>
      </w:r>
      <w:r>
        <w:rPr>
          <w:lang w:val="en-US"/>
        </w:rPr>
        <w:t>,</w:t>
      </w:r>
      <w:r w:rsidRPr="00121B51">
        <w:rPr>
          <w:lang w:val="en-US"/>
        </w:rPr>
        <w:t xml:space="preserve"> European Environment Agency</w:t>
      </w:r>
    </w:p>
  </w:footnote>
  <w:footnote w:id="2">
    <w:p w:rsidR="00935192" w:rsidRPr="00121B51"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w:t>
      </w:r>
      <w:r w:rsidRPr="002830C8">
        <w:rPr>
          <w:lang w:val="en-US"/>
        </w:rPr>
        <w:t>IPCC</w:t>
      </w:r>
      <w:r w:rsidRPr="00121B51">
        <w:rPr>
          <w:lang w:val="en-US"/>
        </w:rPr>
        <w:t xml:space="preserve"> (2012a). Summary for policymakers - Special report on managing the risk of extreme events and disasters to advance climate change adaptation (SREX). Intergovernmental Panel on Climate Change.</w:t>
      </w:r>
    </w:p>
    <w:p w:rsidR="00935192" w:rsidRPr="00121B51" w:rsidRDefault="00935192" w:rsidP="00121B51">
      <w:pPr>
        <w:pStyle w:val="Testonotaapidipagina"/>
        <w:spacing w:after="0" w:line="240" w:lineRule="auto"/>
        <w:jc w:val="both"/>
        <w:rPr>
          <w:lang w:val="en-US"/>
        </w:rPr>
      </w:pPr>
      <w:r w:rsidRPr="002830C8">
        <w:rPr>
          <w:lang w:val="en-US"/>
        </w:rPr>
        <w:t>IPCC</w:t>
      </w:r>
      <w:r w:rsidRPr="00121B51">
        <w:rPr>
          <w:lang w:val="en-US"/>
        </w:rPr>
        <w:t xml:space="preserve"> (2012b). Managing the Risks of Extreme Events and Disasters to Advance Climate Change Adaptation. A Special Report of Working Groups I and II of the Intergovernmental Panel on Climate Change  [Field, C.B., V. Barros, T.F. Stocker, D. Qin, D.J. </w:t>
      </w:r>
      <w:proofErr w:type="spellStart"/>
      <w:r w:rsidRPr="00121B51">
        <w:rPr>
          <w:lang w:val="en-US"/>
        </w:rPr>
        <w:t>Dokken</w:t>
      </w:r>
      <w:proofErr w:type="spellEnd"/>
      <w:r w:rsidRPr="00121B51">
        <w:rPr>
          <w:lang w:val="en-US"/>
        </w:rPr>
        <w:t xml:space="preserve">, K.L. </w:t>
      </w:r>
      <w:proofErr w:type="spellStart"/>
      <w:r w:rsidRPr="00121B51">
        <w:rPr>
          <w:lang w:val="en-US"/>
        </w:rPr>
        <w:t>Ebi</w:t>
      </w:r>
      <w:proofErr w:type="spellEnd"/>
      <w:r w:rsidRPr="00121B51">
        <w:rPr>
          <w:lang w:val="en-US"/>
        </w:rPr>
        <w:t>, M. Intergovernmental Panel on Climate Change.</w:t>
      </w:r>
    </w:p>
  </w:footnote>
  <w:footnote w:id="3">
    <w:p w:rsidR="00935192"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w:t>
      </w:r>
      <w:r w:rsidRPr="009A697D">
        <w:rPr>
          <w:lang w:val="en-US"/>
        </w:rPr>
        <w:t xml:space="preserve">CDKN. (2012). Managing Climate Extremes and Disasters in the Water Sector : Lessons from the IPCC SREX Report Contents (p. 36). </w:t>
      </w:r>
    </w:p>
    <w:p w:rsidR="00935192" w:rsidRDefault="00935192" w:rsidP="00121B51">
      <w:pPr>
        <w:pStyle w:val="Testonotaapidipagina"/>
        <w:spacing w:after="0" w:line="240" w:lineRule="auto"/>
        <w:jc w:val="both"/>
        <w:rPr>
          <w:lang w:val="en-US"/>
        </w:rPr>
      </w:pPr>
      <w:r w:rsidRPr="002830C8">
        <w:rPr>
          <w:lang w:val="en-US"/>
        </w:rPr>
        <w:t>EEA</w:t>
      </w:r>
      <w:r w:rsidRPr="00121B51">
        <w:rPr>
          <w:lang w:val="en-US"/>
        </w:rPr>
        <w:t xml:space="preserve"> (2010). Mapping the impacts of natural hazards and technological accidents in Europe - An overview of the last decade. (T. report N. 13/2010 European Environment Agency, Ed.).</w:t>
      </w:r>
    </w:p>
    <w:p w:rsidR="00935192" w:rsidRPr="00121B51" w:rsidRDefault="00935192" w:rsidP="00121B51">
      <w:pPr>
        <w:pStyle w:val="Testonotaapidipagina"/>
        <w:spacing w:after="0" w:line="240" w:lineRule="auto"/>
        <w:jc w:val="both"/>
        <w:rPr>
          <w:lang w:val="en-US"/>
        </w:rPr>
      </w:pPr>
      <w:r w:rsidRPr="00686FF5">
        <w:rPr>
          <w:lang w:val="en-US"/>
        </w:rPr>
        <w:t xml:space="preserve">EEA, </w:t>
      </w:r>
      <w:r>
        <w:rPr>
          <w:lang w:val="en-US"/>
        </w:rPr>
        <w:t>(</w:t>
      </w:r>
      <w:r w:rsidRPr="00686FF5">
        <w:rPr>
          <w:lang w:val="en-US"/>
        </w:rPr>
        <w:t>2012</w:t>
      </w:r>
      <w:r>
        <w:rPr>
          <w:lang w:val="en-US"/>
        </w:rPr>
        <w:t>)</w:t>
      </w:r>
      <w:r w:rsidRPr="00686FF5">
        <w:rPr>
          <w:lang w:val="en-US"/>
        </w:rPr>
        <w:t>. Climate change, impacts and vulnerability in E</w:t>
      </w:r>
      <w:r>
        <w:rPr>
          <w:lang w:val="en-US"/>
        </w:rPr>
        <w:t>urope 2012 - EEA Report 12/2012</w:t>
      </w:r>
      <w:r w:rsidRPr="00686FF5">
        <w:rPr>
          <w:lang w:val="en-US"/>
        </w:rPr>
        <w:t>.</w:t>
      </w:r>
    </w:p>
  </w:footnote>
  <w:footnote w:id="4">
    <w:p w:rsidR="00935192"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CDKN. (2012). Managing Climate Extremes and Disasters in the Water Sector : Lessons from the IPCC SREX Report Contents (p. 36).</w:t>
      </w:r>
    </w:p>
    <w:p w:rsidR="00935192" w:rsidRPr="00121B51" w:rsidRDefault="00935192" w:rsidP="00121B51">
      <w:pPr>
        <w:pStyle w:val="Testonotaapidipagina"/>
        <w:spacing w:after="0" w:line="240" w:lineRule="auto"/>
        <w:jc w:val="both"/>
        <w:rPr>
          <w:lang w:val="en-US"/>
        </w:rPr>
      </w:pPr>
      <w:r w:rsidRPr="002830C8">
        <w:rPr>
          <w:lang w:val="en-US"/>
        </w:rPr>
        <w:t>IPCC</w:t>
      </w:r>
      <w:r w:rsidRPr="002B02E3">
        <w:rPr>
          <w:lang w:val="en-US"/>
        </w:rPr>
        <w:t xml:space="preserve"> (2012a). Summary for policymakers - Special report on managing the risk of extreme events and disasters to advance climate change adaptation (SREX). Intergovernmental Panel on Climate Change.</w:t>
      </w:r>
    </w:p>
  </w:footnote>
  <w:footnote w:id="5">
    <w:p w:rsidR="00935192" w:rsidRPr="00121B51"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w:t>
      </w:r>
      <w:proofErr w:type="spellStart"/>
      <w:r w:rsidRPr="00121B51">
        <w:rPr>
          <w:lang w:val="en-US"/>
        </w:rPr>
        <w:t>Messner</w:t>
      </w:r>
      <w:proofErr w:type="spellEnd"/>
      <w:r w:rsidRPr="00121B51">
        <w:rPr>
          <w:lang w:val="en-US"/>
        </w:rPr>
        <w:t xml:space="preserve"> et al, F. (2007). Evaluating flood damages: guidance and recommendations on principles and methods. </w:t>
      </w:r>
      <w:proofErr w:type="spellStart"/>
      <w:r w:rsidRPr="00121B51">
        <w:rPr>
          <w:lang w:val="en-US"/>
        </w:rPr>
        <w:t>FLOODsite</w:t>
      </w:r>
      <w:proofErr w:type="spellEnd"/>
      <w:r w:rsidRPr="00121B51">
        <w:rPr>
          <w:lang w:val="en-US"/>
        </w:rPr>
        <w:t xml:space="preserve"> consortium, 2007. Integrated Flood Risk Analysis and Management Methodologies. </w:t>
      </w:r>
    </w:p>
  </w:footnote>
  <w:footnote w:id="6">
    <w:p w:rsidR="00935192"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w:t>
      </w:r>
      <w:proofErr w:type="spellStart"/>
      <w:r w:rsidRPr="00121B51">
        <w:rPr>
          <w:lang w:val="en-US"/>
        </w:rPr>
        <w:t>Bubeck</w:t>
      </w:r>
      <w:proofErr w:type="spellEnd"/>
      <w:r w:rsidRPr="00121B51">
        <w:rPr>
          <w:lang w:val="en-US"/>
        </w:rPr>
        <w:t xml:space="preserve">, P., &amp; </w:t>
      </w:r>
      <w:proofErr w:type="spellStart"/>
      <w:r w:rsidRPr="00121B51">
        <w:rPr>
          <w:lang w:val="en-US"/>
        </w:rPr>
        <w:t>Kreibich</w:t>
      </w:r>
      <w:proofErr w:type="spellEnd"/>
      <w:r w:rsidRPr="00121B51">
        <w:rPr>
          <w:lang w:val="en-US"/>
        </w:rPr>
        <w:t>, H. (2011). Natural Hazards : direct costs and losses due to the disruption of production processes - CONHAZ Report, (September), 1–68.</w:t>
      </w:r>
    </w:p>
    <w:p w:rsidR="00935192" w:rsidRPr="00121B51" w:rsidRDefault="00935192" w:rsidP="00121B51">
      <w:pPr>
        <w:pStyle w:val="Testonotaapidipagina"/>
        <w:spacing w:after="0" w:line="240" w:lineRule="auto"/>
        <w:jc w:val="both"/>
        <w:rPr>
          <w:lang w:val="en-US"/>
        </w:rPr>
      </w:pPr>
      <w:r w:rsidRPr="004E1DEE">
        <w:rPr>
          <w:lang w:val="en-US"/>
        </w:rPr>
        <w:t xml:space="preserve">Green, C., </w:t>
      </w:r>
      <w:proofErr w:type="spellStart"/>
      <w:r w:rsidRPr="004E1DEE">
        <w:rPr>
          <w:lang w:val="en-US"/>
        </w:rPr>
        <w:t>Viavattene</w:t>
      </w:r>
      <w:proofErr w:type="spellEnd"/>
      <w:r w:rsidRPr="004E1DEE">
        <w:rPr>
          <w:lang w:val="en-US"/>
        </w:rPr>
        <w:t>, C., &amp; Thompson, P. (2011). Guidance for assessing flood losses - CONHAZ Report (pp. 1–86).</w:t>
      </w:r>
    </w:p>
  </w:footnote>
  <w:footnote w:id="7">
    <w:p w:rsidR="00935192" w:rsidRPr="00121B51"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PREEMPT. (201</w:t>
      </w:r>
      <w:r>
        <w:rPr>
          <w:lang w:val="en-US"/>
        </w:rPr>
        <w:t>3</w:t>
      </w:r>
      <w:r w:rsidRPr="00121B51">
        <w:rPr>
          <w:lang w:val="en-US"/>
        </w:rPr>
        <w:t>). PREEMPT “Policy relevant assessment of socio-economic effects of droughts and floods” Guidance Document</w:t>
      </w:r>
    </w:p>
  </w:footnote>
  <w:footnote w:id="8">
    <w:p w:rsidR="00935192"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w:t>
      </w:r>
      <w:proofErr w:type="spellStart"/>
      <w:r w:rsidRPr="00121B51">
        <w:rPr>
          <w:lang w:val="en-US"/>
        </w:rPr>
        <w:t>Przyluski</w:t>
      </w:r>
      <w:proofErr w:type="spellEnd"/>
      <w:r w:rsidRPr="00121B51">
        <w:rPr>
          <w:lang w:val="en-US"/>
        </w:rPr>
        <w:t xml:space="preserve">, V., &amp; </w:t>
      </w:r>
      <w:proofErr w:type="spellStart"/>
      <w:r w:rsidRPr="00121B51">
        <w:rPr>
          <w:lang w:val="en-US"/>
        </w:rPr>
        <w:t>Hallegatte</w:t>
      </w:r>
      <w:proofErr w:type="spellEnd"/>
      <w:r w:rsidRPr="00121B51">
        <w:rPr>
          <w:lang w:val="en-US"/>
        </w:rPr>
        <w:t>, S. (2011). Indirect Costs of Natural Hazards - CONHAZ Report, (September), 1–41.</w:t>
      </w:r>
    </w:p>
    <w:p w:rsidR="00935192" w:rsidRDefault="00935192" w:rsidP="00121B51">
      <w:pPr>
        <w:pStyle w:val="Testonotaapidipagina"/>
        <w:spacing w:after="0" w:line="240" w:lineRule="auto"/>
        <w:jc w:val="both"/>
        <w:rPr>
          <w:lang w:val="en-US"/>
        </w:rPr>
      </w:pPr>
      <w:r w:rsidRPr="008607E7">
        <w:rPr>
          <w:lang w:val="en-US"/>
        </w:rPr>
        <w:t>ECLAC. (2003). Handbook for Estimating the Socio-economic and Environmental Effects of Disasters.</w:t>
      </w:r>
    </w:p>
    <w:p w:rsidR="00935192" w:rsidRPr="00121B51" w:rsidRDefault="00935192" w:rsidP="00121B51">
      <w:pPr>
        <w:pStyle w:val="Testonotaapidipagina"/>
        <w:spacing w:after="0" w:line="240" w:lineRule="auto"/>
        <w:jc w:val="both"/>
        <w:rPr>
          <w:lang w:val="en-US"/>
        </w:rPr>
      </w:pPr>
      <w:r w:rsidRPr="008607E7">
        <w:rPr>
          <w:lang w:val="en-US"/>
        </w:rPr>
        <w:t>World Bank. (2010). Economics of Adaptation to Climate Change: Synthesis Report</w:t>
      </w:r>
      <w:r>
        <w:rPr>
          <w:lang w:val="en-US"/>
        </w:rPr>
        <w:t>.</w:t>
      </w:r>
    </w:p>
  </w:footnote>
  <w:footnote w:id="9">
    <w:p w:rsidR="00935192"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w:t>
      </w:r>
      <w:r w:rsidRPr="002830C8">
        <w:rPr>
          <w:lang w:val="en-US"/>
        </w:rPr>
        <w:t>IPCC</w:t>
      </w:r>
      <w:r w:rsidRPr="002B02E3">
        <w:rPr>
          <w:lang w:val="en-US"/>
        </w:rPr>
        <w:t xml:space="preserve"> (2012a). Summary for policymakers - Special report on managing the risk of extreme events and disasters to advance climate change adaptation (SREX). Intergovernmental Panel on Climate Change.</w:t>
      </w:r>
    </w:p>
    <w:p w:rsidR="00935192" w:rsidRPr="00121B51" w:rsidRDefault="00935192" w:rsidP="00121B51">
      <w:pPr>
        <w:pStyle w:val="Testonotaapidipagina"/>
        <w:spacing w:after="0" w:line="240" w:lineRule="auto"/>
        <w:jc w:val="both"/>
        <w:rPr>
          <w:lang w:val="en-US"/>
        </w:rPr>
      </w:pPr>
      <w:r w:rsidRPr="00121B51">
        <w:rPr>
          <w:lang w:val="en-US"/>
        </w:rPr>
        <w:t xml:space="preserve">IPCC. (2012b). Managing the Risks of Extreme Events and Disasters to Advance Climate Change Adaptation. A Special Report of Working Groups I and II of the Intergovernmental Panel on Climate Change  [Field, C.B., V. Barros, T.F. Stocker, D. Qin, D.J. </w:t>
      </w:r>
      <w:proofErr w:type="spellStart"/>
      <w:r w:rsidRPr="00121B51">
        <w:rPr>
          <w:lang w:val="en-US"/>
        </w:rPr>
        <w:t>Dokken</w:t>
      </w:r>
      <w:proofErr w:type="spellEnd"/>
      <w:r w:rsidRPr="00121B51">
        <w:rPr>
          <w:lang w:val="en-US"/>
        </w:rPr>
        <w:t xml:space="preserve">, K.L. </w:t>
      </w:r>
      <w:proofErr w:type="spellStart"/>
      <w:r w:rsidRPr="00121B51">
        <w:rPr>
          <w:lang w:val="en-US"/>
        </w:rPr>
        <w:t>Ebi</w:t>
      </w:r>
      <w:proofErr w:type="spellEnd"/>
      <w:r w:rsidRPr="00121B51">
        <w:rPr>
          <w:lang w:val="en-US"/>
        </w:rPr>
        <w:t>, M. Intergovernmental Panel on Climate Change.</w:t>
      </w:r>
    </w:p>
  </w:footnote>
  <w:footnote w:id="10">
    <w:p w:rsidR="00935192" w:rsidRDefault="00935192" w:rsidP="00121B51">
      <w:pPr>
        <w:pStyle w:val="Testonotaapidipagina"/>
        <w:spacing w:after="0" w:line="240" w:lineRule="auto"/>
        <w:jc w:val="both"/>
        <w:rPr>
          <w:lang w:val="en-US"/>
        </w:rPr>
      </w:pPr>
      <w:r w:rsidRPr="00121B51">
        <w:rPr>
          <w:lang w:val="en-US"/>
        </w:rPr>
        <w:footnoteRef/>
      </w:r>
      <w:r w:rsidRPr="002B02E3">
        <w:rPr>
          <w:lang w:val="en-US"/>
        </w:rPr>
        <w:t xml:space="preserve"> PREEMPT. (201</w:t>
      </w:r>
      <w:r>
        <w:rPr>
          <w:lang w:val="en-US"/>
        </w:rPr>
        <w:t>3</w:t>
      </w:r>
      <w:r w:rsidRPr="002B02E3">
        <w:rPr>
          <w:lang w:val="en-US"/>
        </w:rPr>
        <w:t>). PREEMPT “Policy relevant assessment of socio-economic effects of droughts and floods” Guidance Document</w:t>
      </w:r>
    </w:p>
    <w:p w:rsidR="00935192" w:rsidRDefault="00935192" w:rsidP="00121B51">
      <w:pPr>
        <w:pStyle w:val="Testonotaapidipagina"/>
        <w:spacing w:after="0" w:line="240" w:lineRule="auto"/>
        <w:jc w:val="both"/>
        <w:rPr>
          <w:lang w:val="en-US"/>
        </w:rPr>
      </w:pPr>
      <w:r w:rsidRPr="00E82B59">
        <w:rPr>
          <w:lang w:val="en-US"/>
        </w:rPr>
        <w:t xml:space="preserve">Green, P. C., </w:t>
      </w:r>
      <w:proofErr w:type="spellStart"/>
      <w:r w:rsidRPr="00E82B59">
        <w:rPr>
          <w:lang w:val="en-US"/>
        </w:rPr>
        <w:t>Viavattene</w:t>
      </w:r>
      <w:proofErr w:type="spellEnd"/>
      <w:r w:rsidRPr="00E82B59">
        <w:rPr>
          <w:lang w:val="en-US"/>
        </w:rPr>
        <w:t>, C., Thompson, P., &amp; Green, C. (2011). Guidance for assessing flood losses - CONHAZ Report, (September), 1–86.</w:t>
      </w:r>
    </w:p>
    <w:p w:rsidR="00935192" w:rsidRDefault="00935192" w:rsidP="00121B51">
      <w:pPr>
        <w:pStyle w:val="Testonotaapidipagina"/>
        <w:spacing w:after="0" w:line="240" w:lineRule="auto"/>
        <w:jc w:val="both"/>
        <w:rPr>
          <w:lang w:val="en-US"/>
        </w:rPr>
      </w:pPr>
      <w:proofErr w:type="spellStart"/>
      <w:r w:rsidRPr="000C42B6">
        <w:rPr>
          <w:lang w:val="en-US"/>
        </w:rPr>
        <w:t>Przyluski</w:t>
      </w:r>
      <w:proofErr w:type="spellEnd"/>
      <w:r w:rsidRPr="000C42B6">
        <w:rPr>
          <w:lang w:val="en-US"/>
        </w:rPr>
        <w:t xml:space="preserve">, V., &amp; </w:t>
      </w:r>
      <w:proofErr w:type="spellStart"/>
      <w:r w:rsidRPr="000C42B6">
        <w:rPr>
          <w:lang w:val="en-US"/>
        </w:rPr>
        <w:t>Hallegatte</w:t>
      </w:r>
      <w:proofErr w:type="spellEnd"/>
      <w:r w:rsidRPr="000C42B6">
        <w:rPr>
          <w:lang w:val="en-US"/>
        </w:rPr>
        <w:t>, S. (2011). Indirect Costs of Natural Hazards - CONHAZ Report (pp. 1–41).</w:t>
      </w:r>
    </w:p>
    <w:p w:rsidR="00935192" w:rsidRPr="002B02E3" w:rsidRDefault="00935192" w:rsidP="00121B51">
      <w:pPr>
        <w:pStyle w:val="Testonotaapidipagina"/>
        <w:spacing w:after="0" w:line="240" w:lineRule="auto"/>
        <w:jc w:val="both"/>
        <w:rPr>
          <w:lang w:val="en-US"/>
        </w:rPr>
      </w:pPr>
      <w:r>
        <w:rPr>
          <w:lang w:val="en-US"/>
        </w:rPr>
        <w:t>7 Meyer et al. (2013) Assessing the costs of natural hazards. State of the art and knowledge gaps. Natural Hazards Earth Systems Sciences, 13, 1351-1373</w:t>
      </w:r>
    </w:p>
  </w:footnote>
  <w:footnote w:id="11">
    <w:p w:rsidR="00935192" w:rsidRPr="00121B51" w:rsidRDefault="00935192" w:rsidP="00121B51">
      <w:pPr>
        <w:pStyle w:val="Testonotaapidipagina"/>
        <w:spacing w:after="0" w:line="240" w:lineRule="auto"/>
        <w:jc w:val="both"/>
        <w:rPr>
          <w:lang w:val="en-US"/>
        </w:rPr>
      </w:pPr>
      <w:r w:rsidRPr="00121B51">
        <w:footnoteRef/>
      </w:r>
      <w:r w:rsidRPr="00121B51">
        <w:rPr>
          <w:lang w:val="en-US"/>
        </w:rPr>
        <w:t xml:space="preserve"> </w:t>
      </w:r>
      <w:r w:rsidRPr="00C92799">
        <w:rPr>
          <w:lang w:val="en-US"/>
        </w:rPr>
        <w:t>IPCC (2012a). Summary for policymakers - Special report on managing the risk of extreme events and disasters to advance climate change adaptation (SREX). Intergovernmental Panel on Climate Change.</w:t>
      </w:r>
    </w:p>
  </w:footnote>
  <w:footnote w:id="12">
    <w:p w:rsidR="00935192" w:rsidRPr="00121B51" w:rsidRDefault="00935192" w:rsidP="00121B51">
      <w:pPr>
        <w:pStyle w:val="Testonotaapidipagina"/>
        <w:spacing w:after="0" w:line="240" w:lineRule="auto"/>
        <w:jc w:val="both"/>
        <w:rPr>
          <w:lang w:val="en-US"/>
        </w:rPr>
      </w:pPr>
      <w:r w:rsidRPr="00121B51">
        <w:footnoteRef/>
      </w:r>
      <w:r w:rsidRPr="00121B51">
        <w:rPr>
          <w:lang w:val="en-US"/>
        </w:rPr>
        <w:t xml:space="preserve"> </w:t>
      </w:r>
      <w:proofErr w:type="spellStart"/>
      <w:r w:rsidRPr="00C92799">
        <w:rPr>
          <w:lang w:val="en-US"/>
        </w:rPr>
        <w:t>Markantonis</w:t>
      </w:r>
      <w:proofErr w:type="spellEnd"/>
      <w:r w:rsidRPr="00C92799">
        <w:rPr>
          <w:lang w:val="en-US"/>
        </w:rPr>
        <w:t xml:space="preserve">, V., Meyer, V., &amp; </w:t>
      </w:r>
      <w:proofErr w:type="spellStart"/>
      <w:r w:rsidRPr="00C92799">
        <w:rPr>
          <w:lang w:val="en-US"/>
        </w:rPr>
        <w:t>Schwarze</w:t>
      </w:r>
      <w:proofErr w:type="spellEnd"/>
      <w:r w:rsidRPr="00C92799">
        <w:rPr>
          <w:lang w:val="en-US"/>
        </w:rPr>
        <w:t>, R. (2011). The intangible effects of Natural Hazards - CONHAZ Report.</w:t>
      </w:r>
    </w:p>
  </w:footnote>
  <w:footnote w:id="13">
    <w:p w:rsidR="00935192" w:rsidRPr="00121B51" w:rsidRDefault="00935192" w:rsidP="00121B51">
      <w:pPr>
        <w:pStyle w:val="Testonotaapidipagina"/>
        <w:spacing w:after="0" w:line="240" w:lineRule="auto"/>
        <w:jc w:val="both"/>
        <w:rPr>
          <w:lang w:val="en-US"/>
        </w:rPr>
      </w:pPr>
      <w:r w:rsidRPr="00121B51">
        <w:footnoteRef/>
      </w:r>
      <w:r w:rsidRPr="00121B51">
        <w:rPr>
          <w:lang w:val="en-US"/>
        </w:rPr>
        <w:t xml:space="preserve"> </w:t>
      </w:r>
      <w:r w:rsidRPr="00C92799">
        <w:rPr>
          <w:lang w:val="en-US"/>
        </w:rPr>
        <w:t>DEFRA. (2004). The appraisal of human related intangible impacts of flooding.</w:t>
      </w:r>
    </w:p>
    <w:p w:rsidR="00935192" w:rsidRDefault="00935192" w:rsidP="00121B51">
      <w:pPr>
        <w:pStyle w:val="Testonotaapidipagina"/>
        <w:spacing w:after="0" w:line="240" w:lineRule="auto"/>
        <w:jc w:val="both"/>
        <w:rPr>
          <w:lang w:val="en-US"/>
        </w:rPr>
      </w:pPr>
      <w:r w:rsidRPr="00F81871">
        <w:rPr>
          <w:lang w:val="en-US"/>
        </w:rPr>
        <w:t xml:space="preserve">ECLAC. (2003). Handbook for Estimating the Socio-economic and Environmental Effects of Disasters. </w:t>
      </w:r>
    </w:p>
    <w:p w:rsidR="00935192" w:rsidRPr="00121B51" w:rsidRDefault="00935192" w:rsidP="00121B51">
      <w:pPr>
        <w:pStyle w:val="Testonotaapidipagina"/>
        <w:spacing w:after="0" w:line="240" w:lineRule="auto"/>
        <w:jc w:val="both"/>
        <w:rPr>
          <w:lang w:val="en-US"/>
        </w:rPr>
      </w:pPr>
      <w:r w:rsidRPr="00935192">
        <w:rPr>
          <w:lang w:val="nl-NL"/>
        </w:rPr>
        <w:t>4</w:t>
      </w:r>
      <w:r w:rsidRPr="001304B3">
        <w:rPr>
          <w:lang w:val="nl-NL"/>
        </w:rPr>
        <w:t xml:space="preserve"> De Groot, R. S., Wilson, M. A., &amp; Boumans, R. M. J. (2002). </w:t>
      </w:r>
      <w:r w:rsidRPr="00121B51">
        <w:rPr>
          <w:lang w:val="en-US"/>
        </w:rPr>
        <w:t>A typology for the classification, description and valuation of ecosystem functions, goods and services. Ecological Economics, 41(3), 393–408.</w:t>
      </w:r>
    </w:p>
  </w:footnote>
  <w:footnote w:id="14">
    <w:p w:rsidR="00935192" w:rsidRPr="00121B51" w:rsidRDefault="00935192" w:rsidP="00121B51">
      <w:pPr>
        <w:pStyle w:val="Testonotaapidipagina"/>
        <w:spacing w:after="0" w:line="240" w:lineRule="auto"/>
        <w:jc w:val="both"/>
        <w:rPr>
          <w:lang w:val="en-US"/>
        </w:rPr>
      </w:pPr>
    </w:p>
  </w:footnote>
  <w:footnote w:id="15">
    <w:p w:rsidR="00935192" w:rsidRPr="00121B51"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w:t>
      </w:r>
      <w:r w:rsidRPr="000C42B6">
        <w:rPr>
          <w:lang w:val="en-US"/>
        </w:rPr>
        <w:t xml:space="preserve">De Groot, R. S., Wilson, M. A., &amp; </w:t>
      </w:r>
      <w:proofErr w:type="spellStart"/>
      <w:r w:rsidRPr="000C42B6">
        <w:rPr>
          <w:lang w:val="en-US"/>
        </w:rPr>
        <w:t>Boumans</w:t>
      </w:r>
      <w:proofErr w:type="spellEnd"/>
      <w:r w:rsidRPr="000C42B6">
        <w:rPr>
          <w:lang w:val="en-US"/>
        </w:rPr>
        <w:t>, R. M. J. (2002). A typology for the classification, description and valuation of ecosystem functions, goods and services. Ecological Economics, 41(3), 393–408</w:t>
      </w:r>
    </w:p>
  </w:footnote>
  <w:footnote w:id="16">
    <w:p w:rsidR="00935192"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Green, C., </w:t>
      </w:r>
      <w:proofErr w:type="spellStart"/>
      <w:r w:rsidRPr="00121B51">
        <w:rPr>
          <w:lang w:val="en-US"/>
        </w:rPr>
        <w:t>Viavattene</w:t>
      </w:r>
      <w:proofErr w:type="spellEnd"/>
      <w:r w:rsidRPr="00121B51">
        <w:rPr>
          <w:lang w:val="en-US"/>
        </w:rPr>
        <w:t>, C., &amp; Thompson, P. (2011). Guidance for assessing flood losses - CONHAZ Report (pp. 1–86).</w:t>
      </w:r>
    </w:p>
    <w:p w:rsidR="00935192" w:rsidRPr="00121B51" w:rsidRDefault="00935192" w:rsidP="00121B51">
      <w:pPr>
        <w:pStyle w:val="Testonotaapidipagina"/>
        <w:spacing w:after="0" w:line="240" w:lineRule="auto"/>
        <w:jc w:val="both"/>
        <w:rPr>
          <w:lang w:val="en-US"/>
        </w:rPr>
      </w:pPr>
      <w:r w:rsidRPr="000C42B6">
        <w:rPr>
          <w:lang w:val="en-US"/>
        </w:rPr>
        <w:t>DEFRA. (2004). The appraisal of human related intangible impacts of flooding.</w:t>
      </w:r>
    </w:p>
  </w:footnote>
  <w:footnote w:id="17">
    <w:p w:rsidR="00935192" w:rsidRPr="00121B51"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w:t>
      </w:r>
      <w:r w:rsidRPr="002830C8">
        <w:rPr>
          <w:lang w:val="en-US"/>
        </w:rPr>
        <w:t>IPCC</w:t>
      </w:r>
      <w:r w:rsidRPr="002B02E3">
        <w:rPr>
          <w:lang w:val="en-US"/>
        </w:rPr>
        <w:t xml:space="preserve"> (2012a). Summary for policymakers - Special report on managing the risk of extreme events and disasters to advance climate change adaptation (SREX). Intergovernmental Panel on Climate Change.</w:t>
      </w:r>
    </w:p>
  </w:footnote>
  <w:footnote w:id="18">
    <w:p w:rsidR="00935192" w:rsidRDefault="00935192" w:rsidP="00121B51">
      <w:pPr>
        <w:pStyle w:val="Testonotaapidipagina"/>
        <w:spacing w:after="0" w:line="240" w:lineRule="auto"/>
        <w:jc w:val="both"/>
        <w:rPr>
          <w:lang w:val="en-US"/>
        </w:rPr>
      </w:pPr>
      <w:r w:rsidRPr="00121B51">
        <w:rPr>
          <w:lang w:val="en-US"/>
        </w:rPr>
        <w:footnoteRef/>
      </w:r>
      <w:r w:rsidRPr="00121B51">
        <w:rPr>
          <w:lang w:val="en-US"/>
        </w:rPr>
        <w:t xml:space="preserve"> </w:t>
      </w:r>
      <w:proofErr w:type="spellStart"/>
      <w:r w:rsidRPr="00C92799">
        <w:rPr>
          <w:lang w:val="en-US"/>
        </w:rPr>
        <w:t>Messner</w:t>
      </w:r>
      <w:proofErr w:type="spellEnd"/>
      <w:r w:rsidRPr="00C92799">
        <w:rPr>
          <w:lang w:val="en-US"/>
        </w:rPr>
        <w:t xml:space="preserve"> et al, F. (2007b). </w:t>
      </w:r>
      <w:r w:rsidRPr="00CD7D8A">
        <w:rPr>
          <w:lang w:val="en-US"/>
        </w:rPr>
        <w:t xml:space="preserve">Evaluating flood damages: guidance and recommendations on principles and methods. </w:t>
      </w:r>
      <w:proofErr w:type="spellStart"/>
      <w:r w:rsidRPr="00CD7D8A">
        <w:rPr>
          <w:lang w:val="en-US"/>
        </w:rPr>
        <w:t>FLOODsite</w:t>
      </w:r>
      <w:proofErr w:type="spellEnd"/>
      <w:r w:rsidRPr="00CD7D8A">
        <w:rPr>
          <w:lang w:val="en-US"/>
        </w:rPr>
        <w:t xml:space="preserve"> consortium, 2007. Integrated Flood Risk Analysis and Management Methodologies.</w:t>
      </w:r>
    </w:p>
    <w:p w:rsidR="00935192" w:rsidRDefault="00935192" w:rsidP="00121B51">
      <w:pPr>
        <w:pStyle w:val="Testonotaapidipagina"/>
        <w:spacing w:after="0" w:line="240" w:lineRule="auto"/>
        <w:jc w:val="both"/>
        <w:rPr>
          <w:lang w:val="en-US"/>
        </w:rPr>
      </w:pPr>
      <w:proofErr w:type="spellStart"/>
      <w:r w:rsidRPr="00121B51">
        <w:rPr>
          <w:lang w:val="en-US"/>
        </w:rPr>
        <w:t>Bouwer</w:t>
      </w:r>
      <w:proofErr w:type="spellEnd"/>
      <w:r w:rsidRPr="00121B51">
        <w:rPr>
          <w:lang w:val="en-US"/>
        </w:rPr>
        <w:t xml:space="preserve">, L. M., </w:t>
      </w:r>
      <w:proofErr w:type="spellStart"/>
      <w:r w:rsidRPr="00121B51">
        <w:rPr>
          <w:lang w:val="en-US"/>
        </w:rPr>
        <w:t>Poussin</w:t>
      </w:r>
      <w:proofErr w:type="spellEnd"/>
      <w:r w:rsidRPr="00121B51">
        <w:rPr>
          <w:lang w:val="en-US"/>
        </w:rPr>
        <w:t xml:space="preserve">, J., </w:t>
      </w:r>
      <w:proofErr w:type="spellStart"/>
      <w:r w:rsidRPr="00121B51">
        <w:rPr>
          <w:lang w:val="en-US"/>
        </w:rPr>
        <w:t>Papyrakis</w:t>
      </w:r>
      <w:proofErr w:type="spellEnd"/>
      <w:r w:rsidRPr="00121B51">
        <w:rPr>
          <w:lang w:val="en-US"/>
        </w:rPr>
        <w:t xml:space="preserve">, E., Daniel, V. E., </w:t>
      </w:r>
      <w:proofErr w:type="spellStart"/>
      <w:r w:rsidRPr="00121B51">
        <w:rPr>
          <w:lang w:val="en-US"/>
        </w:rPr>
        <w:t>Pfurtscheller</w:t>
      </w:r>
      <w:proofErr w:type="spellEnd"/>
      <w:r w:rsidRPr="00121B51">
        <w:rPr>
          <w:lang w:val="en-US"/>
        </w:rPr>
        <w:t xml:space="preserve">, C., </w:t>
      </w:r>
      <w:proofErr w:type="spellStart"/>
      <w:r w:rsidRPr="00121B51">
        <w:rPr>
          <w:lang w:val="en-US"/>
        </w:rPr>
        <w:t>Thieken</w:t>
      </w:r>
      <w:proofErr w:type="spellEnd"/>
      <w:r w:rsidRPr="00121B51">
        <w:rPr>
          <w:lang w:val="en-US"/>
        </w:rPr>
        <w:t xml:space="preserve">, A. H., &amp; </w:t>
      </w:r>
      <w:proofErr w:type="spellStart"/>
      <w:r w:rsidRPr="00121B51">
        <w:rPr>
          <w:lang w:val="en-US"/>
        </w:rPr>
        <w:t>Aerts</w:t>
      </w:r>
      <w:proofErr w:type="spellEnd"/>
      <w:r w:rsidRPr="00121B51">
        <w:rPr>
          <w:lang w:val="en-US"/>
        </w:rPr>
        <w:t>, J. C. J. H. (2011). Methodology report on costs of mitigation - CONHAZ Report (pp. 1–69).</w:t>
      </w:r>
    </w:p>
    <w:p w:rsidR="00935192" w:rsidRPr="002B02E3" w:rsidRDefault="00935192" w:rsidP="00F42CA7">
      <w:pPr>
        <w:pStyle w:val="Testonotaapidipagina"/>
        <w:spacing w:after="0" w:line="240" w:lineRule="auto"/>
        <w:jc w:val="both"/>
        <w:rPr>
          <w:lang w:val="en-US"/>
        </w:rPr>
      </w:pPr>
      <w:r>
        <w:rPr>
          <w:lang w:val="en-US"/>
        </w:rPr>
        <w:t>5 Meyer et al. (2013) Assessing the costs of natural hazards. State of the art and knowledge gaps. Natural Hazards Earth Systems Sciences, 13, 1351-1373</w:t>
      </w:r>
    </w:p>
    <w:p w:rsidR="00935192" w:rsidRPr="00121B51" w:rsidRDefault="00935192" w:rsidP="00121B51">
      <w:pPr>
        <w:pStyle w:val="Testonotaapidipagina"/>
        <w:spacing w:after="0" w:line="240" w:lineRule="auto"/>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E08"/>
    <w:multiLevelType w:val="hybridMultilevel"/>
    <w:tmpl w:val="B484A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7C56A6"/>
    <w:multiLevelType w:val="hybridMultilevel"/>
    <w:tmpl w:val="2CFE97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1CC76C2"/>
    <w:multiLevelType w:val="hybridMultilevel"/>
    <w:tmpl w:val="8FE01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B57976"/>
    <w:multiLevelType w:val="hybridMultilevel"/>
    <w:tmpl w:val="86A882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8ED6D7C"/>
    <w:multiLevelType w:val="hybridMultilevel"/>
    <w:tmpl w:val="101A2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250A7A"/>
    <w:multiLevelType w:val="hybridMultilevel"/>
    <w:tmpl w:val="29CE1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B5730C"/>
    <w:multiLevelType w:val="hybridMultilevel"/>
    <w:tmpl w:val="424E29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CF05DFF"/>
    <w:multiLevelType w:val="hybridMultilevel"/>
    <w:tmpl w:val="660403FE"/>
    <w:lvl w:ilvl="0" w:tplc="CEF8B61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E"/>
    <w:rsid w:val="00002CD4"/>
    <w:rsid w:val="000034FE"/>
    <w:rsid w:val="000209E6"/>
    <w:rsid w:val="00034411"/>
    <w:rsid w:val="00064B76"/>
    <w:rsid w:val="000667AB"/>
    <w:rsid w:val="00071DF6"/>
    <w:rsid w:val="00073156"/>
    <w:rsid w:val="00076AE2"/>
    <w:rsid w:val="000970CE"/>
    <w:rsid w:val="000B5061"/>
    <w:rsid w:val="000C42B6"/>
    <w:rsid w:val="000E7BD6"/>
    <w:rsid w:val="00100BF3"/>
    <w:rsid w:val="00113720"/>
    <w:rsid w:val="00117661"/>
    <w:rsid w:val="00121B51"/>
    <w:rsid w:val="001304B3"/>
    <w:rsid w:val="00131ADF"/>
    <w:rsid w:val="00131EF7"/>
    <w:rsid w:val="00135F78"/>
    <w:rsid w:val="00137F54"/>
    <w:rsid w:val="00160569"/>
    <w:rsid w:val="00160745"/>
    <w:rsid w:val="001746F8"/>
    <w:rsid w:val="00183B58"/>
    <w:rsid w:val="00191EE6"/>
    <w:rsid w:val="00194821"/>
    <w:rsid w:val="001958E0"/>
    <w:rsid w:val="001A49BC"/>
    <w:rsid w:val="001B0DA8"/>
    <w:rsid w:val="001B7A22"/>
    <w:rsid w:val="001E6FBF"/>
    <w:rsid w:val="001F1605"/>
    <w:rsid w:val="001F77C1"/>
    <w:rsid w:val="00211ADC"/>
    <w:rsid w:val="0023491C"/>
    <w:rsid w:val="00246934"/>
    <w:rsid w:val="00246A00"/>
    <w:rsid w:val="00247AA0"/>
    <w:rsid w:val="002830C8"/>
    <w:rsid w:val="002A1179"/>
    <w:rsid w:val="002A132E"/>
    <w:rsid w:val="002C0C82"/>
    <w:rsid w:val="002E02A3"/>
    <w:rsid w:val="002E5660"/>
    <w:rsid w:val="002F61BA"/>
    <w:rsid w:val="00331578"/>
    <w:rsid w:val="00356716"/>
    <w:rsid w:val="00366909"/>
    <w:rsid w:val="00374553"/>
    <w:rsid w:val="00375469"/>
    <w:rsid w:val="003844A1"/>
    <w:rsid w:val="00386A07"/>
    <w:rsid w:val="00394826"/>
    <w:rsid w:val="003A7ACB"/>
    <w:rsid w:val="003B575B"/>
    <w:rsid w:val="003D2C4C"/>
    <w:rsid w:val="003D30E2"/>
    <w:rsid w:val="003F6022"/>
    <w:rsid w:val="00401612"/>
    <w:rsid w:val="004178D7"/>
    <w:rsid w:val="00425215"/>
    <w:rsid w:val="00426F9F"/>
    <w:rsid w:val="00444E2A"/>
    <w:rsid w:val="00457C6E"/>
    <w:rsid w:val="00467514"/>
    <w:rsid w:val="0047139F"/>
    <w:rsid w:val="004905CC"/>
    <w:rsid w:val="004B22F9"/>
    <w:rsid w:val="004D3989"/>
    <w:rsid w:val="004D7E4F"/>
    <w:rsid w:val="004E1DEE"/>
    <w:rsid w:val="00503593"/>
    <w:rsid w:val="00514385"/>
    <w:rsid w:val="005230C0"/>
    <w:rsid w:val="00542A52"/>
    <w:rsid w:val="00543FBD"/>
    <w:rsid w:val="005929F2"/>
    <w:rsid w:val="005A0D64"/>
    <w:rsid w:val="005B69AA"/>
    <w:rsid w:val="005E315A"/>
    <w:rsid w:val="005E553E"/>
    <w:rsid w:val="005F05BA"/>
    <w:rsid w:val="005F1347"/>
    <w:rsid w:val="005F5BE6"/>
    <w:rsid w:val="0061085F"/>
    <w:rsid w:val="006333FB"/>
    <w:rsid w:val="00635CEF"/>
    <w:rsid w:val="00643666"/>
    <w:rsid w:val="006463E5"/>
    <w:rsid w:val="00665116"/>
    <w:rsid w:val="006666C8"/>
    <w:rsid w:val="00675A4B"/>
    <w:rsid w:val="00686FF5"/>
    <w:rsid w:val="00687163"/>
    <w:rsid w:val="006A66F4"/>
    <w:rsid w:val="006C3662"/>
    <w:rsid w:val="006D6A6B"/>
    <w:rsid w:val="006E07DB"/>
    <w:rsid w:val="006F2087"/>
    <w:rsid w:val="00705FC2"/>
    <w:rsid w:val="00735B8F"/>
    <w:rsid w:val="0073652E"/>
    <w:rsid w:val="007415AC"/>
    <w:rsid w:val="007475BA"/>
    <w:rsid w:val="00767670"/>
    <w:rsid w:val="00767E48"/>
    <w:rsid w:val="00786E78"/>
    <w:rsid w:val="00793C29"/>
    <w:rsid w:val="007B5A5E"/>
    <w:rsid w:val="007B6625"/>
    <w:rsid w:val="007C0BE8"/>
    <w:rsid w:val="007E2BBF"/>
    <w:rsid w:val="007E644A"/>
    <w:rsid w:val="00817178"/>
    <w:rsid w:val="008211A1"/>
    <w:rsid w:val="00821DD5"/>
    <w:rsid w:val="00834300"/>
    <w:rsid w:val="00834F25"/>
    <w:rsid w:val="00851BEE"/>
    <w:rsid w:val="008607E7"/>
    <w:rsid w:val="008627F7"/>
    <w:rsid w:val="0089413D"/>
    <w:rsid w:val="008A0767"/>
    <w:rsid w:val="008A0D43"/>
    <w:rsid w:val="008C2A62"/>
    <w:rsid w:val="008C3310"/>
    <w:rsid w:val="008F3675"/>
    <w:rsid w:val="008F5BA1"/>
    <w:rsid w:val="008F6AD5"/>
    <w:rsid w:val="0091476E"/>
    <w:rsid w:val="009333B4"/>
    <w:rsid w:val="00933888"/>
    <w:rsid w:val="00935192"/>
    <w:rsid w:val="00937E96"/>
    <w:rsid w:val="009460F6"/>
    <w:rsid w:val="00947280"/>
    <w:rsid w:val="0095599C"/>
    <w:rsid w:val="009562D6"/>
    <w:rsid w:val="009645D3"/>
    <w:rsid w:val="0098575C"/>
    <w:rsid w:val="009A209C"/>
    <w:rsid w:val="009A697D"/>
    <w:rsid w:val="009B5711"/>
    <w:rsid w:val="009C027B"/>
    <w:rsid w:val="009C42C4"/>
    <w:rsid w:val="009D1FAB"/>
    <w:rsid w:val="00A30FB2"/>
    <w:rsid w:val="00A415D0"/>
    <w:rsid w:val="00A433FC"/>
    <w:rsid w:val="00A4502A"/>
    <w:rsid w:val="00A51167"/>
    <w:rsid w:val="00A5250A"/>
    <w:rsid w:val="00A91471"/>
    <w:rsid w:val="00A9311F"/>
    <w:rsid w:val="00A9628A"/>
    <w:rsid w:val="00AB44DA"/>
    <w:rsid w:val="00AC7B98"/>
    <w:rsid w:val="00AE60D7"/>
    <w:rsid w:val="00AF101E"/>
    <w:rsid w:val="00B03028"/>
    <w:rsid w:val="00B057BA"/>
    <w:rsid w:val="00B140D1"/>
    <w:rsid w:val="00B15B70"/>
    <w:rsid w:val="00B235EE"/>
    <w:rsid w:val="00B329C0"/>
    <w:rsid w:val="00B40C1A"/>
    <w:rsid w:val="00B461CB"/>
    <w:rsid w:val="00B46758"/>
    <w:rsid w:val="00B47C04"/>
    <w:rsid w:val="00B54928"/>
    <w:rsid w:val="00B60CD6"/>
    <w:rsid w:val="00B766CD"/>
    <w:rsid w:val="00B9254D"/>
    <w:rsid w:val="00B9452B"/>
    <w:rsid w:val="00BA1BB9"/>
    <w:rsid w:val="00BB1319"/>
    <w:rsid w:val="00BE4E5D"/>
    <w:rsid w:val="00C01925"/>
    <w:rsid w:val="00C1294F"/>
    <w:rsid w:val="00C21791"/>
    <w:rsid w:val="00C268C8"/>
    <w:rsid w:val="00C35198"/>
    <w:rsid w:val="00C35982"/>
    <w:rsid w:val="00C5628D"/>
    <w:rsid w:val="00C56E9E"/>
    <w:rsid w:val="00C5735B"/>
    <w:rsid w:val="00C57E37"/>
    <w:rsid w:val="00C92799"/>
    <w:rsid w:val="00CA1C8F"/>
    <w:rsid w:val="00CA399A"/>
    <w:rsid w:val="00CB4343"/>
    <w:rsid w:val="00CB47C6"/>
    <w:rsid w:val="00CD5820"/>
    <w:rsid w:val="00CF2686"/>
    <w:rsid w:val="00D06526"/>
    <w:rsid w:val="00D26117"/>
    <w:rsid w:val="00D360C0"/>
    <w:rsid w:val="00D373CB"/>
    <w:rsid w:val="00D41199"/>
    <w:rsid w:val="00D73944"/>
    <w:rsid w:val="00D94EE6"/>
    <w:rsid w:val="00DB706D"/>
    <w:rsid w:val="00DB7A84"/>
    <w:rsid w:val="00DC335E"/>
    <w:rsid w:val="00DD2AB0"/>
    <w:rsid w:val="00DE57F8"/>
    <w:rsid w:val="00E73F8E"/>
    <w:rsid w:val="00E808D9"/>
    <w:rsid w:val="00E82B59"/>
    <w:rsid w:val="00E832DD"/>
    <w:rsid w:val="00EB553E"/>
    <w:rsid w:val="00EC52DF"/>
    <w:rsid w:val="00ED4873"/>
    <w:rsid w:val="00ED73A2"/>
    <w:rsid w:val="00F000BA"/>
    <w:rsid w:val="00F067C6"/>
    <w:rsid w:val="00F12FEC"/>
    <w:rsid w:val="00F42CA7"/>
    <w:rsid w:val="00F62470"/>
    <w:rsid w:val="00F6416A"/>
    <w:rsid w:val="00F725B4"/>
    <w:rsid w:val="00F81446"/>
    <w:rsid w:val="00F81871"/>
    <w:rsid w:val="00FD0B31"/>
    <w:rsid w:val="00FD5688"/>
    <w:rsid w:val="00FF0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39F"/>
    <w:pPr>
      <w:spacing w:after="200" w:line="276" w:lineRule="auto"/>
    </w:pPr>
    <w:rPr>
      <w:sz w:val="22"/>
      <w:szCs w:val="22"/>
      <w:lang w:eastAsia="en-US"/>
    </w:rPr>
  </w:style>
  <w:style w:type="paragraph" w:styleId="Titolo1">
    <w:name w:val="heading 1"/>
    <w:basedOn w:val="Normale"/>
    <w:next w:val="Normale"/>
    <w:link w:val="Titolo1Carattere"/>
    <w:uiPriority w:val="9"/>
    <w:qFormat/>
    <w:locked/>
    <w:rsid w:val="000209E6"/>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44E2A"/>
    <w:pPr>
      <w:ind w:left="720"/>
      <w:contextualSpacing/>
    </w:pPr>
  </w:style>
  <w:style w:type="paragraph" w:styleId="NormaleWeb">
    <w:name w:val="Normal (Web)"/>
    <w:basedOn w:val="Normale"/>
    <w:uiPriority w:val="99"/>
    <w:semiHidden/>
    <w:rsid w:val="00B46758"/>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99"/>
    <w:locked/>
    <w:rsid w:val="005F0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3-Colore1">
    <w:name w:val="Medium Grid 3 Accent 1"/>
    <w:basedOn w:val="Tabellanormale"/>
    <w:uiPriority w:val="99"/>
    <w:rsid w:val="00EB553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Corpotesto">
    <w:name w:val="Body Text"/>
    <w:basedOn w:val="Normale"/>
    <w:link w:val="CorpotestoCarattere"/>
    <w:uiPriority w:val="99"/>
    <w:rsid w:val="00503593"/>
    <w:pPr>
      <w:suppressAutoHyphens/>
      <w:spacing w:after="120" w:line="240" w:lineRule="auto"/>
      <w:jc w:val="both"/>
    </w:pPr>
    <w:rPr>
      <w:rFonts w:ascii="Palatino Linotype" w:eastAsia="Times New Roman" w:hAnsi="Palatino Linotype"/>
      <w:sz w:val="24"/>
      <w:szCs w:val="24"/>
      <w:lang w:val="en-GB" w:eastAsia="zh-CN"/>
    </w:rPr>
  </w:style>
  <w:style w:type="character" w:customStyle="1" w:styleId="CorpotestoCarattere">
    <w:name w:val="Corpo testo Carattere"/>
    <w:link w:val="Corpotesto"/>
    <w:uiPriority w:val="99"/>
    <w:locked/>
    <w:rsid w:val="00503593"/>
    <w:rPr>
      <w:rFonts w:ascii="Palatino Linotype" w:hAnsi="Palatino Linotype"/>
      <w:sz w:val="24"/>
      <w:lang w:val="en-GB" w:eastAsia="zh-CN"/>
    </w:rPr>
  </w:style>
  <w:style w:type="character" w:styleId="Rimandocommento">
    <w:name w:val="annotation reference"/>
    <w:uiPriority w:val="99"/>
    <w:semiHidden/>
    <w:rsid w:val="001B0DA8"/>
    <w:rPr>
      <w:rFonts w:cs="Times New Roman"/>
      <w:sz w:val="16"/>
      <w:szCs w:val="16"/>
    </w:rPr>
  </w:style>
  <w:style w:type="paragraph" w:styleId="Testocommento">
    <w:name w:val="annotation text"/>
    <w:basedOn w:val="Normale"/>
    <w:link w:val="TestocommentoCarattere"/>
    <w:uiPriority w:val="99"/>
    <w:semiHidden/>
    <w:rsid w:val="001B0DA8"/>
    <w:pPr>
      <w:spacing w:line="240" w:lineRule="auto"/>
    </w:pPr>
    <w:rPr>
      <w:sz w:val="20"/>
      <w:szCs w:val="20"/>
    </w:rPr>
  </w:style>
  <w:style w:type="character" w:customStyle="1" w:styleId="TestocommentoCarattere">
    <w:name w:val="Testo commento Carattere"/>
    <w:link w:val="Testocommento"/>
    <w:uiPriority w:val="99"/>
    <w:semiHidden/>
    <w:locked/>
    <w:rsid w:val="001B0DA8"/>
    <w:rPr>
      <w:rFonts w:cs="Times New Roman"/>
      <w:lang w:val="it-IT" w:eastAsia="en-US"/>
    </w:rPr>
  </w:style>
  <w:style w:type="paragraph" w:styleId="Soggettocommento">
    <w:name w:val="annotation subject"/>
    <w:basedOn w:val="Testocommento"/>
    <w:next w:val="Testocommento"/>
    <w:link w:val="SoggettocommentoCarattere"/>
    <w:uiPriority w:val="99"/>
    <w:semiHidden/>
    <w:rsid w:val="001B0DA8"/>
    <w:rPr>
      <w:b/>
      <w:bCs/>
    </w:rPr>
  </w:style>
  <w:style w:type="character" w:customStyle="1" w:styleId="SoggettocommentoCarattere">
    <w:name w:val="Soggetto commento Carattere"/>
    <w:link w:val="Soggettocommento"/>
    <w:uiPriority w:val="99"/>
    <w:semiHidden/>
    <w:locked/>
    <w:rsid w:val="001B0DA8"/>
    <w:rPr>
      <w:rFonts w:cs="Times New Roman"/>
      <w:b/>
      <w:bCs/>
      <w:lang w:val="it-IT" w:eastAsia="en-US"/>
    </w:rPr>
  </w:style>
  <w:style w:type="paragraph" w:styleId="Testofumetto">
    <w:name w:val="Balloon Text"/>
    <w:basedOn w:val="Normale"/>
    <w:link w:val="TestofumettoCarattere"/>
    <w:uiPriority w:val="99"/>
    <w:semiHidden/>
    <w:rsid w:val="001B0DA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B0DA8"/>
    <w:rPr>
      <w:rFonts w:ascii="Tahoma" w:hAnsi="Tahoma" w:cs="Tahoma"/>
      <w:sz w:val="16"/>
      <w:szCs w:val="16"/>
      <w:lang w:val="it-IT" w:eastAsia="en-US"/>
    </w:rPr>
  </w:style>
  <w:style w:type="character" w:styleId="Collegamentoipertestuale">
    <w:name w:val="Hyperlink"/>
    <w:uiPriority w:val="99"/>
    <w:rsid w:val="00B766CD"/>
    <w:rPr>
      <w:rFonts w:cs="Times New Roman"/>
      <w:color w:val="0000FF"/>
      <w:u w:val="single"/>
    </w:rPr>
  </w:style>
  <w:style w:type="paragraph" w:styleId="Testonotadichiusura">
    <w:name w:val="endnote text"/>
    <w:basedOn w:val="Normale"/>
    <w:link w:val="TestonotadichiusuraCarattere"/>
    <w:uiPriority w:val="99"/>
    <w:semiHidden/>
    <w:unhideWhenUsed/>
    <w:rsid w:val="002830C8"/>
    <w:rPr>
      <w:sz w:val="20"/>
      <w:szCs w:val="20"/>
    </w:rPr>
  </w:style>
  <w:style w:type="character" w:customStyle="1" w:styleId="TestonotadichiusuraCarattere">
    <w:name w:val="Testo nota di chiusura Carattere"/>
    <w:link w:val="Testonotadichiusura"/>
    <w:uiPriority w:val="99"/>
    <w:semiHidden/>
    <w:rsid w:val="002830C8"/>
    <w:rPr>
      <w:sz w:val="20"/>
      <w:szCs w:val="20"/>
      <w:lang w:eastAsia="en-US"/>
    </w:rPr>
  </w:style>
  <w:style w:type="character" w:styleId="Rimandonotadichiusura">
    <w:name w:val="endnote reference"/>
    <w:uiPriority w:val="99"/>
    <w:semiHidden/>
    <w:unhideWhenUsed/>
    <w:rsid w:val="002830C8"/>
    <w:rPr>
      <w:vertAlign w:val="superscript"/>
    </w:rPr>
  </w:style>
  <w:style w:type="paragraph" w:styleId="Testonotaapidipagina">
    <w:name w:val="footnote text"/>
    <w:basedOn w:val="Normale"/>
    <w:link w:val="TestonotaapidipaginaCarattere"/>
    <w:uiPriority w:val="99"/>
    <w:semiHidden/>
    <w:unhideWhenUsed/>
    <w:rsid w:val="002830C8"/>
    <w:rPr>
      <w:sz w:val="20"/>
      <w:szCs w:val="20"/>
    </w:rPr>
  </w:style>
  <w:style w:type="character" w:customStyle="1" w:styleId="TestonotaapidipaginaCarattere">
    <w:name w:val="Testo nota a piè di pagina Carattere"/>
    <w:link w:val="Testonotaapidipagina"/>
    <w:uiPriority w:val="99"/>
    <w:semiHidden/>
    <w:rsid w:val="002830C8"/>
    <w:rPr>
      <w:sz w:val="20"/>
      <w:szCs w:val="20"/>
      <w:lang w:eastAsia="en-US"/>
    </w:rPr>
  </w:style>
  <w:style w:type="character" w:styleId="Rimandonotaapidipagina">
    <w:name w:val="footnote reference"/>
    <w:uiPriority w:val="99"/>
    <w:semiHidden/>
    <w:unhideWhenUsed/>
    <w:rsid w:val="002830C8"/>
    <w:rPr>
      <w:vertAlign w:val="superscript"/>
    </w:rPr>
  </w:style>
  <w:style w:type="character" w:customStyle="1" w:styleId="Titolo1Carattere">
    <w:name w:val="Titolo 1 Carattere"/>
    <w:link w:val="Titolo1"/>
    <w:uiPriority w:val="9"/>
    <w:rsid w:val="000209E6"/>
    <w:rPr>
      <w:rFonts w:ascii="Cambria" w:eastAsia="Times New Roman" w:hAnsi="Cambria"/>
      <w:b/>
      <w:bCs/>
      <w:color w:val="365F91"/>
      <w:sz w:val="28"/>
      <w:szCs w:val="28"/>
      <w:lang w:eastAsia="en-US"/>
    </w:rPr>
  </w:style>
  <w:style w:type="paragraph" w:customStyle="1" w:styleId="Cover-title3">
    <w:name w:val="Cover - title 3"/>
    <w:basedOn w:val="Normale"/>
    <w:next w:val="Normale"/>
    <w:rsid w:val="008C2A62"/>
    <w:pPr>
      <w:overflowPunct w:val="0"/>
      <w:autoSpaceDE w:val="0"/>
      <w:autoSpaceDN w:val="0"/>
      <w:adjustRightInd w:val="0"/>
      <w:spacing w:after="0" w:line="240" w:lineRule="auto"/>
      <w:jc w:val="right"/>
      <w:textAlignment w:val="baseline"/>
    </w:pPr>
    <w:rPr>
      <w:rFonts w:ascii="Arial" w:eastAsia="Times New Roman" w:hAnsi="Arial"/>
      <w:b/>
      <w:szCs w:val="20"/>
      <w:lang w:val="en-GB" w:eastAsia="da-DK"/>
    </w:rPr>
  </w:style>
  <w:style w:type="character" w:styleId="Collegamentovisitato">
    <w:name w:val="FollowedHyperlink"/>
    <w:basedOn w:val="Carpredefinitoparagrafo"/>
    <w:uiPriority w:val="99"/>
    <w:semiHidden/>
    <w:unhideWhenUsed/>
    <w:rsid w:val="001176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39F"/>
    <w:pPr>
      <w:spacing w:after="200" w:line="276" w:lineRule="auto"/>
    </w:pPr>
    <w:rPr>
      <w:sz w:val="22"/>
      <w:szCs w:val="22"/>
      <w:lang w:eastAsia="en-US"/>
    </w:rPr>
  </w:style>
  <w:style w:type="paragraph" w:styleId="Titolo1">
    <w:name w:val="heading 1"/>
    <w:basedOn w:val="Normale"/>
    <w:next w:val="Normale"/>
    <w:link w:val="Titolo1Carattere"/>
    <w:uiPriority w:val="9"/>
    <w:qFormat/>
    <w:locked/>
    <w:rsid w:val="000209E6"/>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44E2A"/>
    <w:pPr>
      <w:ind w:left="720"/>
      <w:contextualSpacing/>
    </w:pPr>
  </w:style>
  <w:style w:type="paragraph" w:styleId="NormaleWeb">
    <w:name w:val="Normal (Web)"/>
    <w:basedOn w:val="Normale"/>
    <w:uiPriority w:val="99"/>
    <w:semiHidden/>
    <w:rsid w:val="00B46758"/>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99"/>
    <w:locked/>
    <w:rsid w:val="005F0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3-Colore1">
    <w:name w:val="Medium Grid 3 Accent 1"/>
    <w:basedOn w:val="Tabellanormale"/>
    <w:uiPriority w:val="99"/>
    <w:rsid w:val="00EB553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Corpotesto">
    <w:name w:val="Body Text"/>
    <w:basedOn w:val="Normale"/>
    <w:link w:val="CorpotestoCarattere"/>
    <w:uiPriority w:val="99"/>
    <w:rsid w:val="00503593"/>
    <w:pPr>
      <w:suppressAutoHyphens/>
      <w:spacing w:after="120" w:line="240" w:lineRule="auto"/>
      <w:jc w:val="both"/>
    </w:pPr>
    <w:rPr>
      <w:rFonts w:ascii="Palatino Linotype" w:eastAsia="Times New Roman" w:hAnsi="Palatino Linotype"/>
      <w:sz w:val="24"/>
      <w:szCs w:val="24"/>
      <w:lang w:val="en-GB" w:eastAsia="zh-CN"/>
    </w:rPr>
  </w:style>
  <w:style w:type="character" w:customStyle="1" w:styleId="CorpotestoCarattere">
    <w:name w:val="Corpo testo Carattere"/>
    <w:link w:val="Corpotesto"/>
    <w:uiPriority w:val="99"/>
    <w:locked/>
    <w:rsid w:val="00503593"/>
    <w:rPr>
      <w:rFonts w:ascii="Palatino Linotype" w:hAnsi="Palatino Linotype"/>
      <w:sz w:val="24"/>
      <w:lang w:val="en-GB" w:eastAsia="zh-CN"/>
    </w:rPr>
  </w:style>
  <w:style w:type="character" w:styleId="Rimandocommento">
    <w:name w:val="annotation reference"/>
    <w:uiPriority w:val="99"/>
    <w:semiHidden/>
    <w:rsid w:val="001B0DA8"/>
    <w:rPr>
      <w:rFonts w:cs="Times New Roman"/>
      <w:sz w:val="16"/>
      <w:szCs w:val="16"/>
    </w:rPr>
  </w:style>
  <w:style w:type="paragraph" w:styleId="Testocommento">
    <w:name w:val="annotation text"/>
    <w:basedOn w:val="Normale"/>
    <w:link w:val="TestocommentoCarattere"/>
    <w:uiPriority w:val="99"/>
    <w:semiHidden/>
    <w:rsid w:val="001B0DA8"/>
    <w:pPr>
      <w:spacing w:line="240" w:lineRule="auto"/>
    </w:pPr>
    <w:rPr>
      <w:sz w:val="20"/>
      <w:szCs w:val="20"/>
    </w:rPr>
  </w:style>
  <w:style w:type="character" w:customStyle="1" w:styleId="TestocommentoCarattere">
    <w:name w:val="Testo commento Carattere"/>
    <w:link w:val="Testocommento"/>
    <w:uiPriority w:val="99"/>
    <w:semiHidden/>
    <w:locked/>
    <w:rsid w:val="001B0DA8"/>
    <w:rPr>
      <w:rFonts w:cs="Times New Roman"/>
      <w:lang w:val="it-IT" w:eastAsia="en-US"/>
    </w:rPr>
  </w:style>
  <w:style w:type="paragraph" w:styleId="Soggettocommento">
    <w:name w:val="annotation subject"/>
    <w:basedOn w:val="Testocommento"/>
    <w:next w:val="Testocommento"/>
    <w:link w:val="SoggettocommentoCarattere"/>
    <w:uiPriority w:val="99"/>
    <w:semiHidden/>
    <w:rsid w:val="001B0DA8"/>
    <w:rPr>
      <w:b/>
      <w:bCs/>
    </w:rPr>
  </w:style>
  <w:style w:type="character" w:customStyle="1" w:styleId="SoggettocommentoCarattere">
    <w:name w:val="Soggetto commento Carattere"/>
    <w:link w:val="Soggettocommento"/>
    <w:uiPriority w:val="99"/>
    <w:semiHidden/>
    <w:locked/>
    <w:rsid w:val="001B0DA8"/>
    <w:rPr>
      <w:rFonts w:cs="Times New Roman"/>
      <w:b/>
      <w:bCs/>
      <w:lang w:val="it-IT" w:eastAsia="en-US"/>
    </w:rPr>
  </w:style>
  <w:style w:type="paragraph" w:styleId="Testofumetto">
    <w:name w:val="Balloon Text"/>
    <w:basedOn w:val="Normale"/>
    <w:link w:val="TestofumettoCarattere"/>
    <w:uiPriority w:val="99"/>
    <w:semiHidden/>
    <w:rsid w:val="001B0DA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B0DA8"/>
    <w:rPr>
      <w:rFonts w:ascii="Tahoma" w:hAnsi="Tahoma" w:cs="Tahoma"/>
      <w:sz w:val="16"/>
      <w:szCs w:val="16"/>
      <w:lang w:val="it-IT" w:eastAsia="en-US"/>
    </w:rPr>
  </w:style>
  <w:style w:type="character" w:styleId="Collegamentoipertestuale">
    <w:name w:val="Hyperlink"/>
    <w:uiPriority w:val="99"/>
    <w:rsid w:val="00B766CD"/>
    <w:rPr>
      <w:rFonts w:cs="Times New Roman"/>
      <w:color w:val="0000FF"/>
      <w:u w:val="single"/>
    </w:rPr>
  </w:style>
  <w:style w:type="paragraph" w:styleId="Testonotadichiusura">
    <w:name w:val="endnote text"/>
    <w:basedOn w:val="Normale"/>
    <w:link w:val="TestonotadichiusuraCarattere"/>
    <w:uiPriority w:val="99"/>
    <w:semiHidden/>
    <w:unhideWhenUsed/>
    <w:rsid w:val="002830C8"/>
    <w:rPr>
      <w:sz w:val="20"/>
      <w:szCs w:val="20"/>
    </w:rPr>
  </w:style>
  <w:style w:type="character" w:customStyle="1" w:styleId="TestonotadichiusuraCarattere">
    <w:name w:val="Testo nota di chiusura Carattere"/>
    <w:link w:val="Testonotadichiusura"/>
    <w:uiPriority w:val="99"/>
    <w:semiHidden/>
    <w:rsid w:val="002830C8"/>
    <w:rPr>
      <w:sz w:val="20"/>
      <w:szCs w:val="20"/>
      <w:lang w:eastAsia="en-US"/>
    </w:rPr>
  </w:style>
  <w:style w:type="character" w:styleId="Rimandonotadichiusura">
    <w:name w:val="endnote reference"/>
    <w:uiPriority w:val="99"/>
    <w:semiHidden/>
    <w:unhideWhenUsed/>
    <w:rsid w:val="002830C8"/>
    <w:rPr>
      <w:vertAlign w:val="superscript"/>
    </w:rPr>
  </w:style>
  <w:style w:type="paragraph" w:styleId="Testonotaapidipagina">
    <w:name w:val="footnote text"/>
    <w:basedOn w:val="Normale"/>
    <w:link w:val="TestonotaapidipaginaCarattere"/>
    <w:uiPriority w:val="99"/>
    <w:semiHidden/>
    <w:unhideWhenUsed/>
    <w:rsid w:val="002830C8"/>
    <w:rPr>
      <w:sz w:val="20"/>
      <w:szCs w:val="20"/>
    </w:rPr>
  </w:style>
  <w:style w:type="character" w:customStyle="1" w:styleId="TestonotaapidipaginaCarattere">
    <w:name w:val="Testo nota a piè di pagina Carattere"/>
    <w:link w:val="Testonotaapidipagina"/>
    <w:uiPriority w:val="99"/>
    <w:semiHidden/>
    <w:rsid w:val="002830C8"/>
    <w:rPr>
      <w:sz w:val="20"/>
      <w:szCs w:val="20"/>
      <w:lang w:eastAsia="en-US"/>
    </w:rPr>
  </w:style>
  <w:style w:type="character" w:styleId="Rimandonotaapidipagina">
    <w:name w:val="footnote reference"/>
    <w:uiPriority w:val="99"/>
    <w:semiHidden/>
    <w:unhideWhenUsed/>
    <w:rsid w:val="002830C8"/>
    <w:rPr>
      <w:vertAlign w:val="superscript"/>
    </w:rPr>
  </w:style>
  <w:style w:type="character" w:customStyle="1" w:styleId="Titolo1Carattere">
    <w:name w:val="Titolo 1 Carattere"/>
    <w:link w:val="Titolo1"/>
    <w:uiPriority w:val="9"/>
    <w:rsid w:val="000209E6"/>
    <w:rPr>
      <w:rFonts w:ascii="Cambria" w:eastAsia="Times New Roman" w:hAnsi="Cambria"/>
      <w:b/>
      <w:bCs/>
      <w:color w:val="365F91"/>
      <w:sz w:val="28"/>
      <w:szCs w:val="28"/>
      <w:lang w:eastAsia="en-US"/>
    </w:rPr>
  </w:style>
  <w:style w:type="paragraph" w:customStyle="1" w:styleId="Cover-title3">
    <w:name w:val="Cover - title 3"/>
    <w:basedOn w:val="Normale"/>
    <w:next w:val="Normale"/>
    <w:rsid w:val="008C2A62"/>
    <w:pPr>
      <w:overflowPunct w:val="0"/>
      <w:autoSpaceDE w:val="0"/>
      <w:autoSpaceDN w:val="0"/>
      <w:adjustRightInd w:val="0"/>
      <w:spacing w:after="0" w:line="240" w:lineRule="auto"/>
      <w:jc w:val="right"/>
      <w:textAlignment w:val="baseline"/>
    </w:pPr>
    <w:rPr>
      <w:rFonts w:ascii="Arial" w:eastAsia="Times New Roman" w:hAnsi="Arial"/>
      <w:b/>
      <w:szCs w:val="20"/>
      <w:lang w:val="en-GB" w:eastAsia="da-DK"/>
    </w:rPr>
  </w:style>
  <w:style w:type="character" w:styleId="Collegamentovisitato">
    <w:name w:val="FollowedHyperlink"/>
    <w:basedOn w:val="Carpredefinitoparagrafo"/>
    <w:uiPriority w:val="99"/>
    <w:semiHidden/>
    <w:unhideWhenUsed/>
    <w:rsid w:val="00117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7767">
      <w:bodyDiv w:val="1"/>
      <w:marLeft w:val="0"/>
      <w:marRight w:val="0"/>
      <w:marTop w:val="0"/>
      <w:marBottom w:val="0"/>
      <w:divBdr>
        <w:top w:val="none" w:sz="0" w:space="0" w:color="auto"/>
        <w:left w:val="none" w:sz="0" w:space="0" w:color="auto"/>
        <w:bottom w:val="none" w:sz="0" w:space="0" w:color="auto"/>
        <w:right w:val="none" w:sz="0" w:space="0" w:color="auto"/>
      </w:divBdr>
      <w:divsChild>
        <w:div w:id="550772327">
          <w:marLeft w:val="0"/>
          <w:marRight w:val="0"/>
          <w:marTop w:val="0"/>
          <w:marBottom w:val="0"/>
          <w:divBdr>
            <w:top w:val="none" w:sz="0" w:space="0" w:color="auto"/>
            <w:left w:val="none" w:sz="0" w:space="0" w:color="auto"/>
            <w:bottom w:val="none" w:sz="0" w:space="0" w:color="auto"/>
            <w:right w:val="none" w:sz="0" w:space="0" w:color="auto"/>
          </w:divBdr>
          <w:divsChild>
            <w:div w:id="1168786443">
              <w:marLeft w:val="0"/>
              <w:marRight w:val="0"/>
              <w:marTop w:val="0"/>
              <w:marBottom w:val="0"/>
              <w:divBdr>
                <w:top w:val="none" w:sz="0" w:space="0" w:color="auto"/>
                <w:left w:val="none" w:sz="0" w:space="0" w:color="auto"/>
                <w:bottom w:val="none" w:sz="0" w:space="0" w:color="auto"/>
                <w:right w:val="none" w:sz="0" w:space="0" w:color="auto"/>
              </w:divBdr>
              <w:divsChild>
                <w:div w:id="2101948127">
                  <w:marLeft w:val="0"/>
                  <w:marRight w:val="0"/>
                  <w:marTop w:val="0"/>
                  <w:marBottom w:val="0"/>
                  <w:divBdr>
                    <w:top w:val="none" w:sz="0" w:space="0" w:color="auto"/>
                    <w:left w:val="none" w:sz="0" w:space="0" w:color="auto"/>
                    <w:bottom w:val="none" w:sz="0" w:space="0" w:color="auto"/>
                    <w:right w:val="none" w:sz="0" w:space="0" w:color="auto"/>
                  </w:divBdr>
                  <w:divsChild>
                    <w:div w:id="798457528">
                      <w:marLeft w:val="0"/>
                      <w:marRight w:val="0"/>
                      <w:marTop w:val="0"/>
                      <w:marBottom w:val="0"/>
                      <w:divBdr>
                        <w:top w:val="none" w:sz="0" w:space="0" w:color="auto"/>
                        <w:left w:val="none" w:sz="0" w:space="0" w:color="auto"/>
                        <w:bottom w:val="none" w:sz="0" w:space="0" w:color="auto"/>
                        <w:right w:val="none" w:sz="0" w:space="0" w:color="auto"/>
                      </w:divBdr>
                      <w:divsChild>
                        <w:div w:id="1052384122">
                          <w:marLeft w:val="0"/>
                          <w:marRight w:val="0"/>
                          <w:marTop w:val="0"/>
                          <w:marBottom w:val="0"/>
                          <w:divBdr>
                            <w:top w:val="none" w:sz="0" w:space="0" w:color="auto"/>
                            <w:left w:val="none" w:sz="0" w:space="0" w:color="auto"/>
                            <w:bottom w:val="none" w:sz="0" w:space="0" w:color="auto"/>
                            <w:right w:val="none" w:sz="0" w:space="0" w:color="auto"/>
                          </w:divBdr>
                          <w:divsChild>
                            <w:div w:id="832647141">
                              <w:marLeft w:val="0"/>
                              <w:marRight w:val="0"/>
                              <w:marTop w:val="0"/>
                              <w:marBottom w:val="0"/>
                              <w:divBdr>
                                <w:top w:val="none" w:sz="0" w:space="0" w:color="auto"/>
                                <w:left w:val="none" w:sz="0" w:space="0" w:color="auto"/>
                                <w:bottom w:val="none" w:sz="0" w:space="0" w:color="auto"/>
                                <w:right w:val="none" w:sz="0" w:space="0" w:color="auto"/>
                              </w:divBdr>
                              <w:divsChild>
                                <w:div w:id="465321622">
                                  <w:marLeft w:val="0"/>
                                  <w:marRight w:val="0"/>
                                  <w:marTop w:val="0"/>
                                  <w:marBottom w:val="0"/>
                                  <w:divBdr>
                                    <w:top w:val="none" w:sz="0" w:space="0" w:color="auto"/>
                                    <w:left w:val="none" w:sz="0" w:space="0" w:color="auto"/>
                                    <w:bottom w:val="none" w:sz="0" w:space="0" w:color="auto"/>
                                    <w:right w:val="none" w:sz="0" w:space="0" w:color="auto"/>
                                  </w:divBdr>
                                  <w:divsChild>
                                    <w:div w:id="1328096399">
                                      <w:marLeft w:val="0"/>
                                      <w:marRight w:val="0"/>
                                      <w:marTop w:val="0"/>
                                      <w:marBottom w:val="0"/>
                                      <w:divBdr>
                                        <w:top w:val="none" w:sz="0" w:space="0" w:color="auto"/>
                                        <w:left w:val="none" w:sz="0" w:space="0" w:color="auto"/>
                                        <w:bottom w:val="none" w:sz="0" w:space="0" w:color="auto"/>
                                        <w:right w:val="none" w:sz="0" w:space="0" w:color="auto"/>
                                      </w:divBdr>
                                      <w:divsChild>
                                        <w:div w:id="1033725067">
                                          <w:marLeft w:val="0"/>
                                          <w:marRight w:val="0"/>
                                          <w:marTop w:val="0"/>
                                          <w:marBottom w:val="0"/>
                                          <w:divBdr>
                                            <w:top w:val="none" w:sz="0" w:space="0" w:color="auto"/>
                                            <w:left w:val="none" w:sz="0" w:space="0" w:color="auto"/>
                                            <w:bottom w:val="none" w:sz="0" w:space="0" w:color="auto"/>
                                            <w:right w:val="none" w:sz="0" w:space="0" w:color="auto"/>
                                          </w:divBdr>
                                          <w:divsChild>
                                            <w:div w:id="543912030">
                                              <w:marLeft w:val="0"/>
                                              <w:marRight w:val="0"/>
                                              <w:marTop w:val="0"/>
                                              <w:marBottom w:val="0"/>
                                              <w:divBdr>
                                                <w:top w:val="none" w:sz="0" w:space="0" w:color="auto"/>
                                                <w:left w:val="none" w:sz="0" w:space="0" w:color="auto"/>
                                                <w:bottom w:val="none" w:sz="0" w:space="0" w:color="auto"/>
                                                <w:right w:val="none" w:sz="0" w:space="0" w:color="auto"/>
                                              </w:divBdr>
                                              <w:divsChild>
                                                <w:div w:id="2091392132">
                                                  <w:marLeft w:val="0"/>
                                                  <w:marRight w:val="0"/>
                                                  <w:marTop w:val="0"/>
                                                  <w:marBottom w:val="0"/>
                                                  <w:divBdr>
                                                    <w:top w:val="none" w:sz="0" w:space="0" w:color="auto"/>
                                                    <w:left w:val="none" w:sz="0" w:space="0" w:color="auto"/>
                                                    <w:bottom w:val="none" w:sz="0" w:space="0" w:color="auto"/>
                                                    <w:right w:val="none" w:sz="0" w:space="0" w:color="auto"/>
                                                  </w:divBdr>
                                                  <w:divsChild>
                                                    <w:div w:id="640118873">
                                                      <w:marLeft w:val="0"/>
                                                      <w:marRight w:val="0"/>
                                                      <w:marTop w:val="0"/>
                                                      <w:marBottom w:val="0"/>
                                                      <w:divBdr>
                                                        <w:top w:val="none" w:sz="0" w:space="0" w:color="auto"/>
                                                        <w:left w:val="none" w:sz="0" w:space="0" w:color="auto"/>
                                                        <w:bottom w:val="none" w:sz="0" w:space="0" w:color="auto"/>
                                                        <w:right w:val="none" w:sz="0" w:space="0" w:color="auto"/>
                                                      </w:divBdr>
                                                      <w:divsChild>
                                                        <w:div w:id="742870899">
                                                          <w:marLeft w:val="0"/>
                                                          <w:marRight w:val="0"/>
                                                          <w:marTop w:val="0"/>
                                                          <w:marBottom w:val="0"/>
                                                          <w:divBdr>
                                                            <w:top w:val="none" w:sz="0" w:space="0" w:color="auto"/>
                                                            <w:left w:val="none" w:sz="0" w:space="0" w:color="auto"/>
                                                            <w:bottom w:val="none" w:sz="0" w:space="0" w:color="auto"/>
                                                            <w:right w:val="none" w:sz="0" w:space="0" w:color="auto"/>
                                                          </w:divBdr>
                                                          <w:divsChild>
                                                            <w:div w:id="1599484276">
                                                              <w:marLeft w:val="0"/>
                                                              <w:marRight w:val="0"/>
                                                              <w:marTop w:val="0"/>
                                                              <w:marBottom w:val="0"/>
                                                              <w:divBdr>
                                                                <w:top w:val="none" w:sz="0" w:space="0" w:color="auto"/>
                                                                <w:left w:val="none" w:sz="0" w:space="0" w:color="auto"/>
                                                                <w:bottom w:val="none" w:sz="0" w:space="0" w:color="auto"/>
                                                                <w:right w:val="none" w:sz="0" w:space="0" w:color="auto"/>
                                                              </w:divBdr>
                                                              <w:divsChild>
                                                                <w:div w:id="1276792673">
                                                                  <w:marLeft w:val="0"/>
                                                                  <w:marRight w:val="0"/>
                                                                  <w:marTop w:val="0"/>
                                                                  <w:marBottom w:val="0"/>
                                                                  <w:divBdr>
                                                                    <w:top w:val="none" w:sz="0" w:space="0" w:color="auto"/>
                                                                    <w:left w:val="none" w:sz="0" w:space="0" w:color="auto"/>
                                                                    <w:bottom w:val="none" w:sz="0" w:space="0" w:color="auto"/>
                                                                    <w:right w:val="none" w:sz="0" w:space="0" w:color="auto"/>
                                                                  </w:divBdr>
                                                                </w:div>
                                                                <w:div w:id="2109301911">
                                                                  <w:marLeft w:val="0"/>
                                                                  <w:marRight w:val="0"/>
                                                                  <w:marTop w:val="0"/>
                                                                  <w:marBottom w:val="0"/>
                                                                  <w:divBdr>
                                                                    <w:top w:val="none" w:sz="0" w:space="0" w:color="auto"/>
                                                                    <w:left w:val="none" w:sz="0" w:space="0" w:color="auto"/>
                                                                    <w:bottom w:val="none" w:sz="0" w:space="0" w:color="auto"/>
                                                                    <w:right w:val="none" w:sz="0" w:space="0" w:color="auto"/>
                                                                  </w:divBdr>
                                                                  <w:divsChild>
                                                                    <w:div w:id="1382821917">
                                                                      <w:marLeft w:val="0"/>
                                                                      <w:marRight w:val="0"/>
                                                                      <w:marTop w:val="0"/>
                                                                      <w:marBottom w:val="0"/>
                                                                      <w:divBdr>
                                                                        <w:top w:val="none" w:sz="0" w:space="0" w:color="auto"/>
                                                                        <w:left w:val="none" w:sz="0" w:space="0" w:color="auto"/>
                                                                        <w:bottom w:val="none" w:sz="0" w:space="0" w:color="auto"/>
                                                                        <w:right w:val="none" w:sz="0" w:space="0" w:color="auto"/>
                                                                      </w:divBdr>
                                                                      <w:divsChild>
                                                                        <w:div w:id="1836460244">
                                                                          <w:marLeft w:val="0"/>
                                                                          <w:marRight w:val="0"/>
                                                                          <w:marTop w:val="0"/>
                                                                          <w:marBottom w:val="0"/>
                                                                          <w:divBdr>
                                                                            <w:top w:val="none" w:sz="0" w:space="0" w:color="auto"/>
                                                                            <w:left w:val="none" w:sz="0" w:space="0" w:color="auto"/>
                                                                            <w:bottom w:val="none" w:sz="0" w:space="0" w:color="auto"/>
                                                                            <w:right w:val="none" w:sz="0" w:space="0" w:color="auto"/>
                                                                          </w:divBdr>
                                                                          <w:divsChild>
                                                                            <w:div w:id="1315649293">
                                                                              <w:marLeft w:val="0"/>
                                                                              <w:marRight w:val="0"/>
                                                                              <w:marTop w:val="0"/>
                                                                              <w:marBottom w:val="0"/>
                                                                              <w:divBdr>
                                                                                <w:top w:val="none" w:sz="0" w:space="0" w:color="auto"/>
                                                                                <w:left w:val="none" w:sz="0" w:space="0" w:color="auto"/>
                                                                                <w:bottom w:val="none" w:sz="0" w:space="0" w:color="auto"/>
                                                                                <w:right w:val="none" w:sz="0" w:space="0" w:color="auto"/>
                                                                              </w:divBdr>
                                                                              <w:divsChild>
                                                                                <w:div w:id="319037775">
                                                                                  <w:marLeft w:val="0"/>
                                                                                  <w:marRight w:val="0"/>
                                                                                  <w:marTop w:val="0"/>
                                                                                  <w:marBottom w:val="0"/>
                                                                                  <w:divBdr>
                                                                                    <w:top w:val="none" w:sz="0" w:space="0" w:color="auto"/>
                                                                                    <w:left w:val="none" w:sz="0" w:space="0" w:color="auto"/>
                                                                                    <w:bottom w:val="none" w:sz="0" w:space="0" w:color="auto"/>
                                                                                    <w:right w:val="none" w:sz="0" w:space="0" w:color="auto"/>
                                                                                  </w:divBdr>
                                                                                  <w:divsChild>
                                                                                    <w:div w:id="1138763047">
                                                                                      <w:marLeft w:val="0"/>
                                                                                      <w:marRight w:val="0"/>
                                                                                      <w:marTop w:val="0"/>
                                                                                      <w:marBottom w:val="0"/>
                                                                                      <w:divBdr>
                                                                                        <w:top w:val="none" w:sz="0" w:space="0" w:color="auto"/>
                                                                                        <w:left w:val="none" w:sz="0" w:space="0" w:color="auto"/>
                                                                                        <w:bottom w:val="none" w:sz="0" w:space="0" w:color="auto"/>
                                                                                        <w:right w:val="none" w:sz="0" w:space="0" w:color="auto"/>
                                                                                      </w:divBdr>
                                                                                      <w:divsChild>
                                                                                        <w:div w:id="979769103">
                                                                                          <w:marLeft w:val="0"/>
                                                                                          <w:marRight w:val="0"/>
                                                                                          <w:marTop w:val="0"/>
                                                                                          <w:marBottom w:val="0"/>
                                                                                          <w:divBdr>
                                                                                            <w:top w:val="none" w:sz="0" w:space="0" w:color="auto"/>
                                                                                            <w:left w:val="none" w:sz="0" w:space="0" w:color="auto"/>
                                                                                            <w:bottom w:val="none" w:sz="0" w:space="0" w:color="auto"/>
                                                                                            <w:right w:val="none" w:sz="0" w:space="0" w:color="auto"/>
                                                                                          </w:divBdr>
                                                                                          <w:divsChild>
                                                                                            <w:div w:id="1159272168">
                                                                                              <w:marLeft w:val="0"/>
                                                                                              <w:marRight w:val="0"/>
                                                                                              <w:marTop w:val="0"/>
                                                                                              <w:marBottom w:val="0"/>
                                                                                              <w:divBdr>
                                                                                                <w:top w:val="none" w:sz="0" w:space="0" w:color="auto"/>
                                                                                                <w:left w:val="none" w:sz="0" w:space="0" w:color="auto"/>
                                                                                                <w:bottom w:val="none" w:sz="0" w:space="0" w:color="auto"/>
                                                                                                <w:right w:val="none" w:sz="0" w:space="0" w:color="auto"/>
                                                                                              </w:divBdr>
                                                                                              <w:divsChild>
                                                                                                <w:div w:id="698429107">
                                                                                                  <w:marLeft w:val="0"/>
                                                                                                  <w:marRight w:val="0"/>
                                                                                                  <w:marTop w:val="0"/>
                                                                                                  <w:marBottom w:val="0"/>
                                                                                                  <w:divBdr>
                                                                                                    <w:top w:val="none" w:sz="0" w:space="0" w:color="auto"/>
                                                                                                    <w:left w:val="none" w:sz="0" w:space="0" w:color="auto"/>
                                                                                                    <w:bottom w:val="none" w:sz="0" w:space="0" w:color="auto"/>
                                                                                                    <w:right w:val="none" w:sz="0" w:space="0" w:color="auto"/>
                                                                                                  </w:divBdr>
                                                                                                  <w:divsChild>
                                                                                                    <w:div w:id="1668701963">
                                                                                                      <w:marLeft w:val="0"/>
                                                                                                      <w:marRight w:val="0"/>
                                                                                                      <w:marTop w:val="0"/>
                                                                                                      <w:marBottom w:val="0"/>
                                                                                                      <w:divBdr>
                                                                                                        <w:top w:val="none" w:sz="0" w:space="0" w:color="auto"/>
                                                                                                        <w:left w:val="none" w:sz="0" w:space="0" w:color="auto"/>
                                                                                                        <w:bottom w:val="none" w:sz="0" w:space="0" w:color="auto"/>
                                                                                                        <w:right w:val="none" w:sz="0" w:space="0" w:color="auto"/>
                                                                                                      </w:divBdr>
                                                                                                      <w:divsChild>
                                                                                                        <w:div w:id="696196614">
                                                                                                          <w:marLeft w:val="0"/>
                                                                                                          <w:marRight w:val="0"/>
                                                                                                          <w:marTop w:val="0"/>
                                                                                                          <w:marBottom w:val="0"/>
                                                                                                          <w:divBdr>
                                                                                                            <w:top w:val="none" w:sz="0" w:space="0" w:color="auto"/>
                                                                                                            <w:left w:val="none" w:sz="0" w:space="0" w:color="auto"/>
                                                                                                            <w:bottom w:val="none" w:sz="0" w:space="0" w:color="auto"/>
                                                                                                            <w:right w:val="none" w:sz="0" w:space="0" w:color="auto"/>
                                                                                                          </w:divBdr>
                                                                                                          <w:divsChild>
                                                                                                            <w:div w:id="3145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143690">
                  <w:marLeft w:val="0"/>
                  <w:marRight w:val="0"/>
                  <w:marTop w:val="0"/>
                  <w:marBottom w:val="0"/>
                  <w:divBdr>
                    <w:top w:val="none" w:sz="0" w:space="0" w:color="auto"/>
                    <w:left w:val="none" w:sz="0" w:space="0" w:color="auto"/>
                    <w:bottom w:val="none" w:sz="0" w:space="0" w:color="auto"/>
                    <w:right w:val="none" w:sz="0" w:space="0" w:color="auto"/>
                  </w:divBdr>
                  <w:divsChild>
                    <w:div w:id="1564095994">
                      <w:marLeft w:val="0"/>
                      <w:marRight w:val="0"/>
                      <w:marTop w:val="0"/>
                      <w:marBottom w:val="0"/>
                      <w:divBdr>
                        <w:top w:val="none" w:sz="0" w:space="0" w:color="auto"/>
                        <w:left w:val="none" w:sz="0" w:space="0" w:color="auto"/>
                        <w:bottom w:val="none" w:sz="0" w:space="0" w:color="auto"/>
                        <w:right w:val="none" w:sz="0" w:space="0" w:color="auto"/>
                      </w:divBdr>
                      <w:divsChild>
                        <w:div w:id="648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64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2CBF-C1F8-4505-9112-58F5692D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10148</Words>
  <Characters>57844</Characters>
  <Application>Microsoft Office Word</Application>
  <DocSecurity>0</DocSecurity>
  <Lines>482</Lines>
  <Paragraphs>135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Assessment of costs of natural hazard</vt:lpstr>
      <vt:lpstr>Assessment of costs of natural hazard</vt:lpstr>
    </vt:vector>
  </TitlesOfParts>
  <Company>European Environment Agency</Company>
  <LinksUpToDate>false</LinksUpToDate>
  <CharactersWithSpaces>67857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costs of natural hazard</dc:title>
  <dc:creator>Fabio Farinosi</dc:creator>
  <cp:lastModifiedBy>Jaroslav Mysiak</cp:lastModifiedBy>
  <cp:revision>3</cp:revision>
  <dcterms:created xsi:type="dcterms:W3CDTF">2013-12-19T09:21:00Z</dcterms:created>
  <dcterms:modified xsi:type="dcterms:W3CDTF">2013-12-19T09:21:00Z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fabio.farinosi@feem.it@www.mendeley.com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_AdHocReviewCycleID">
    <vt:i4>-154944099</vt:i4>
  </property>
  <property fmtid="{D5CDD505-2E9C-101B-9397-08002B2CF9AE}" pid="24" name="_NewReviewCycle">
    <vt:lpwstr/>
  </property>
  <property fmtid="{D5CDD505-2E9C-101B-9397-08002B2CF9AE}" pid="25" name="_EmailSubject">
    <vt:lpwstr>ETC-CCA2122</vt:lpwstr>
  </property>
  <property fmtid="{D5CDD505-2E9C-101B-9397-08002B2CF9AE}" pid="26" name="_AuthorEmail">
    <vt:lpwstr>Wouter.Vanneuville@eea.europa.eu</vt:lpwstr>
  </property>
  <property fmtid="{D5CDD505-2E9C-101B-9397-08002B2CF9AE}" pid="27" name="_AuthorEmailDisplayName">
    <vt:lpwstr>Wouter Vanneuville</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_PreviousAdHocReviewCycleID">
    <vt:i4>1029332998</vt:i4>
  </property>
  <property fmtid="{D5CDD505-2E9C-101B-9397-08002B2CF9AE}" pid="31" name="_ReviewingToolsShownOnce">
    <vt:lpwstr/>
  </property>
</Properties>
</file>