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2419"/>
        <w:gridCol w:w="2377"/>
        <w:gridCol w:w="2800"/>
        <w:gridCol w:w="98"/>
      </w:tblGrid>
      <w:tr w:rsidR="003864E0" w:rsidRPr="00D84881" w:rsidTr="001A4651">
        <w:tc>
          <w:tcPr>
            <w:tcW w:w="2160" w:type="dxa"/>
            <w:vMerge w:val="restart"/>
            <w:vAlign w:val="center"/>
          </w:tcPr>
          <w:p w:rsidR="003864E0" w:rsidRPr="002236F4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  <w:t>Reference</w:t>
            </w:r>
          </w:p>
        </w:tc>
        <w:tc>
          <w:tcPr>
            <w:tcW w:w="7694" w:type="dxa"/>
            <w:gridSpan w:val="4"/>
          </w:tcPr>
          <w:p w:rsidR="003864E0" w:rsidRPr="00D84881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color w:val="auto"/>
                <w:sz w:val="24"/>
                <w:szCs w:val="24"/>
                <w:lang w:val="en-GB"/>
              </w:rPr>
            </w:pPr>
            <w:proofErr w:type="spellStart"/>
            <w:r w:rsidRPr="00D84881">
              <w:rPr>
                <w:rStyle w:val="Heading1Char"/>
                <w:rFonts w:ascii="Palatino Linotype" w:hAnsi="Palatino Linotype"/>
                <w:color w:val="auto"/>
                <w:sz w:val="24"/>
                <w:szCs w:val="24"/>
                <w:lang w:val="en-GB"/>
              </w:rPr>
              <w:t>ConHaz</w:t>
            </w:r>
            <w:proofErr w:type="spellEnd"/>
            <w:r w:rsidRPr="00D84881">
              <w:rPr>
                <w:rStyle w:val="Heading1Char"/>
                <w:rFonts w:ascii="Palatino Linotype" w:hAnsi="Palatino Linotype"/>
                <w:color w:val="auto"/>
                <w:sz w:val="24"/>
                <w:szCs w:val="24"/>
                <w:lang w:val="en-GB"/>
              </w:rPr>
              <w:t xml:space="preserve"> Project (Coordination Action project funded by the EU 7th Framework Programme. Contract no 244159)</w:t>
            </w:r>
            <w:r>
              <w:rPr>
                <w:rStyle w:val="Heading1Char"/>
                <w:rFonts w:ascii="Palatino Linotype" w:hAnsi="Palatino Linotype"/>
                <w:color w:val="auto"/>
                <w:sz w:val="24"/>
                <w:szCs w:val="24"/>
                <w:lang w:val="en-GB"/>
              </w:rPr>
              <w:t xml:space="preserve"> Guidance Documents</w:t>
            </w:r>
          </w:p>
        </w:tc>
      </w:tr>
      <w:tr w:rsidR="003864E0" w:rsidRPr="00953DC7" w:rsidTr="001A4651">
        <w:tc>
          <w:tcPr>
            <w:tcW w:w="2160" w:type="dxa"/>
            <w:vMerge/>
          </w:tcPr>
          <w:p w:rsidR="003864E0" w:rsidRPr="002236F4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694" w:type="dxa"/>
            <w:gridSpan w:val="4"/>
          </w:tcPr>
          <w:p w:rsidR="003864E0" w:rsidRPr="001A4651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Cost of Natural Hazards - 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ConHaz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Project</w:t>
            </w:r>
          </w:p>
        </w:tc>
      </w:tr>
      <w:tr w:rsidR="003864E0" w:rsidRPr="00953DC7" w:rsidTr="001A4651">
        <w:tc>
          <w:tcPr>
            <w:tcW w:w="2160" w:type="dxa"/>
            <w:vMerge/>
          </w:tcPr>
          <w:p w:rsidR="003864E0" w:rsidRPr="002236F4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694" w:type="dxa"/>
            <w:gridSpan w:val="4"/>
          </w:tcPr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Bouwer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L. M.,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Poussin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J.,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Papyrakis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E., Daniel, V. E.,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Pfurtscheller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C.,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Thieken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A. H.,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Aerts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J. C. J. H. (2011). Methodology report on costs of mitigation - CONHAZ Report (pp. 1–69).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Bubeck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P.,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Kreibich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H. (2011). Natural Hazards</w:t>
            </w:r>
            <w:r w:rsidRPr="004048D3">
              <w:rPr>
                <w:rStyle w:val="Heading1Char"/>
                <w:rFonts w:ascii="Times New Roman" w:hAnsi="Times New Roman"/>
                <w:b w:val="0"/>
                <w:color w:val="auto"/>
                <w:sz w:val="24"/>
                <w:szCs w:val="24"/>
                <w:lang w:val="en-GB"/>
              </w:rPr>
              <w:t> </w:t>
            </w:r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: direct costs and losses due to the disruption of production processes - CONHAZ Report (pp. 1</w:t>
            </w:r>
            <w:r w:rsidRPr="004048D3">
              <w:rPr>
                <w:rStyle w:val="Heading1Char"/>
                <w:rFonts w:ascii="Palatino Linotype" w:hAnsi="Palatino Linotype" w:cs="Palatino Linotype"/>
                <w:b w:val="0"/>
                <w:color w:val="auto"/>
                <w:sz w:val="24"/>
                <w:szCs w:val="24"/>
                <w:lang w:val="en-GB"/>
              </w:rPr>
              <w:t>–</w:t>
            </w:r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68).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Green, C.,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Viavattene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C., &amp; Thompson, P. (2011). Guidance for assessing flood losses - CONHAZ Report (pp. 1–86).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Lequeux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Q.,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Ciavola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P. (2011). Methods for Estimating the Costs of Coastal Hazards - CONHAZ Report (pp. 1–67).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Logar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I., &amp; van den Bergh, J. (2011). Methods of Assessment of the Costs of Droughts - CONHAZ Report. Retrieved from http://conhaz.org/CONHAZ REPORT WP05_1_FINAL.pdf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Markantonis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V., Meyer, V.,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Schwarze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R. (2011). The intangible effects of Natural Hazards - CONHAZ Report.</w:t>
            </w:r>
          </w:p>
          <w:p w:rsidR="004048D3" w:rsidRPr="004048D3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Pfurtscheller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C.,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Lochner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B.,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Thieken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A. (2011). CONHAZ Report on Costs of Alpine Hazards Costs of Alpine Hazards (pp. 1–96).</w:t>
            </w:r>
          </w:p>
          <w:p w:rsidR="003864E0" w:rsidRPr="001A4651" w:rsidRDefault="004048D3" w:rsidP="004048D3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Przyluski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, V., &amp; </w:t>
            </w:r>
            <w:proofErr w:type="spellStart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Hallegatte</w:t>
            </w:r>
            <w:proofErr w:type="spellEnd"/>
            <w:r w:rsidRPr="004048D3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, S. (2011). Indirect Costs of Natural Hazards - CONHAZ Report (pp. 1–41).</w:t>
            </w:r>
          </w:p>
        </w:tc>
      </w:tr>
      <w:tr w:rsidR="003864E0" w:rsidRPr="00D84881" w:rsidTr="001A4651">
        <w:tc>
          <w:tcPr>
            <w:tcW w:w="2160" w:type="dxa"/>
          </w:tcPr>
          <w:p w:rsidR="003864E0" w:rsidRPr="002236F4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4"/>
                <w:szCs w:val="24"/>
                <w:lang w:val="en-GB"/>
              </w:rPr>
              <w:t>Scope</w:t>
            </w:r>
          </w:p>
        </w:tc>
        <w:tc>
          <w:tcPr>
            <w:tcW w:w="7694" w:type="dxa"/>
            <w:gridSpan w:val="4"/>
          </w:tcPr>
          <w:p w:rsidR="003864E0" w:rsidRDefault="003864E0" w:rsidP="0022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D84881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ConHaz</w:t>
            </w:r>
            <w:proofErr w:type="spellEnd"/>
            <w:r w:rsidRPr="00D84881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synthesises current cost assessment methods and strengthens the role of cost assessments in the development of integrated natural hazard management and adaptation planning.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  <w:p w:rsidR="003864E0" w:rsidRPr="0024302C" w:rsidRDefault="003864E0" w:rsidP="0024302C">
            <w:pPr>
              <w:autoSpaceDE w:val="0"/>
              <w:autoSpaceDN w:val="0"/>
              <w:adjustRightInd w:val="0"/>
              <w:spacing w:after="0" w:line="240" w:lineRule="auto"/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</w:pPr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The first objective of </w:t>
            </w:r>
            <w:proofErr w:type="spellStart"/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ConHaz</w:t>
            </w:r>
            <w:proofErr w:type="spellEnd"/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is to compile state-of-the-art methods and terminology as used in European case studies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. </w:t>
            </w:r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The second objective of </w:t>
            </w:r>
            <w:proofErr w:type="spellStart"/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>ConHaz</w:t>
            </w:r>
            <w:proofErr w:type="spellEnd"/>
            <w:r w:rsidRPr="0024302C"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is to evaluate the compiled methods by addressing theoretical issues such as principal assumptions of cost assessment methods, as well as practical issues, such as availability and quality of data.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4"/>
                <w:szCs w:val="24"/>
                <w:lang w:val="en-GB"/>
              </w:rPr>
              <w:t xml:space="preserve"> He third is to synthesise all the results. </w:t>
            </w:r>
          </w:p>
        </w:tc>
      </w:tr>
      <w:tr w:rsidR="003864E0" w:rsidRPr="0024302C" w:rsidTr="001A4651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2160" w:type="dxa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3864E0" w:rsidRPr="002236F4" w:rsidRDefault="003864E0" w:rsidP="002236F4">
            <w:pPr>
              <w:spacing w:before="80" w:after="80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Cs w:val="0"/>
                <w:i/>
                <w:color w:val="auto"/>
                <w:sz w:val="22"/>
                <w:szCs w:val="22"/>
                <w:lang w:val="en-GB"/>
              </w:rPr>
              <w:t>Impacts</w:t>
            </w:r>
          </w:p>
        </w:tc>
        <w:tc>
          <w:tcPr>
            <w:tcW w:w="24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  <w:t>Environmental</w:t>
            </w:r>
          </w:p>
        </w:tc>
        <w:tc>
          <w:tcPr>
            <w:tcW w:w="237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  <w:t>Social</w:t>
            </w:r>
          </w:p>
        </w:tc>
        <w:tc>
          <w:tcPr>
            <w:tcW w:w="28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  <w:t>Economic</w:t>
            </w:r>
          </w:p>
        </w:tc>
      </w:tr>
      <w:tr w:rsidR="003864E0" w:rsidRPr="0024302C" w:rsidTr="001A4651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2160" w:type="dxa"/>
            <w:vMerge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377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3864E0" w:rsidRPr="00953DC7" w:rsidTr="001A4651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1847"/>
        </w:trPr>
        <w:tc>
          <w:tcPr>
            <w:tcW w:w="2160" w:type="dxa"/>
            <w:vMerge/>
          </w:tcPr>
          <w:p w:rsidR="003864E0" w:rsidRPr="002236F4" w:rsidRDefault="003864E0" w:rsidP="002236F4">
            <w:pPr>
              <w:spacing w:before="80" w:after="80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</w:tcPr>
          <w:p w:rsidR="003864E0" w:rsidRPr="002236F4" w:rsidRDefault="003864E0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>Qualitative assessment of the direct and indirect natural hazard’s impact on the environment.</w:t>
            </w:r>
          </w:p>
        </w:tc>
        <w:tc>
          <w:tcPr>
            <w:tcW w:w="2377" w:type="dxa"/>
          </w:tcPr>
          <w:p w:rsidR="003864E0" w:rsidRPr="002236F4" w:rsidRDefault="003864E0" w:rsidP="002538EA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>Qualitative assessment of the direct and indirect natural hazard’s impact on the populations.</w:t>
            </w:r>
          </w:p>
        </w:tc>
        <w:tc>
          <w:tcPr>
            <w:tcW w:w="2800" w:type="dxa"/>
          </w:tcPr>
          <w:p w:rsidR="003864E0" w:rsidRDefault="003864E0" w:rsidP="0022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>Direct economic impacts assessed in three steps: classification of elements at risk; exposure analysis and assets value assessment; susceptibility analysis by relating relative damage.</w:t>
            </w:r>
          </w:p>
          <w:p w:rsidR="003864E0" w:rsidRPr="002C2852" w:rsidRDefault="003864E0" w:rsidP="0022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 xml:space="preserve">Indirect economic impacts assessed through different methodologies: </w:t>
            </w:r>
            <w:r w:rsidRPr="002C2852"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>from asset losses to output losses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0"/>
                <w:szCs w:val="20"/>
                <w:lang w:val="en-GB"/>
              </w:rPr>
              <w:t>; consumption losses; change in prices; productivity effect; long term consequences; poverty trap.</w:t>
            </w:r>
          </w:p>
        </w:tc>
      </w:tr>
      <w:tr w:rsidR="003864E0" w:rsidRPr="002236F4" w:rsidTr="001A4651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2160" w:type="dxa"/>
            <w:vMerge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Direct - Indirect</w:t>
            </w:r>
          </w:p>
        </w:tc>
        <w:tc>
          <w:tcPr>
            <w:tcW w:w="2377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Direct - Indirect</w:t>
            </w:r>
          </w:p>
        </w:tc>
        <w:tc>
          <w:tcPr>
            <w:tcW w:w="2800" w:type="dxa"/>
            <w:tcBorders>
              <w:left w:val="nil"/>
              <w:right w:val="nil"/>
            </w:tcBorders>
            <w:shd w:val="clear" w:color="auto" w:fill="D3DFEE"/>
          </w:tcPr>
          <w:p w:rsidR="003864E0" w:rsidRPr="002236F4" w:rsidRDefault="003864E0" w:rsidP="002236F4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 xml:space="preserve">Direct </w:t>
            </w: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–</w:t>
            </w:r>
            <w:r w:rsidRPr="002236F4"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 xml:space="preserve"> Indirect</w:t>
            </w:r>
          </w:p>
        </w:tc>
      </w:tr>
      <w:tr w:rsidR="00953DC7" w:rsidRPr="002236F4" w:rsidTr="001A4651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</w:trPr>
        <w:tc>
          <w:tcPr>
            <w:tcW w:w="2160" w:type="dxa"/>
            <w:vMerge/>
            <w:tcBorders>
              <w:bottom w:val="single" w:sz="8" w:space="0" w:color="4F81BD"/>
            </w:tcBorders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b w:val="0"/>
                <w:bCs w:val="0"/>
                <w:i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Borders>
              <w:bottom w:val="single" w:sz="8" w:space="0" w:color="4F81BD"/>
            </w:tcBorders>
          </w:tcPr>
          <w:p w:rsidR="00953DC7" w:rsidRPr="002236F4" w:rsidRDefault="00953DC7" w:rsidP="000D6353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Tangible - Intangible</w:t>
            </w:r>
          </w:p>
        </w:tc>
        <w:tc>
          <w:tcPr>
            <w:tcW w:w="2377" w:type="dxa"/>
            <w:tcBorders>
              <w:bottom w:val="single" w:sz="8" w:space="0" w:color="4F81BD"/>
            </w:tcBorders>
          </w:tcPr>
          <w:p w:rsidR="00953DC7" w:rsidRPr="002236F4" w:rsidRDefault="00953DC7" w:rsidP="000D6353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 xml:space="preserve">Tangible </w:t>
            </w: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–</w:t>
            </w: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 xml:space="preserve"> Intangible</w:t>
            </w:r>
          </w:p>
        </w:tc>
        <w:tc>
          <w:tcPr>
            <w:tcW w:w="2800" w:type="dxa"/>
            <w:tcBorders>
              <w:bottom w:val="single" w:sz="8" w:space="0" w:color="4F81BD"/>
            </w:tcBorders>
          </w:tcPr>
          <w:p w:rsidR="00953DC7" w:rsidRPr="002236F4" w:rsidRDefault="00953DC7" w:rsidP="000D6353">
            <w:pPr>
              <w:spacing w:before="80" w:after="80"/>
              <w:jc w:val="center"/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i/>
                <w:color w:val="auto"/>
                <w:sz w:val="20"/>
                <w:szCs w:val="20"/>
                <w:lang w:val="en-GB"/>
              </w:rPr>
              <w:t>Tangible - Intangible</w:t>
            </w:r>
            <w:bookmarkStart w:id="0" w:name="_GoBack"/>
            <w:bookmarkEnd w:id="0"/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26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 xml:space="preserve">Case Studies </w:t>
            </w:r>
          </w:p>
        </w:tc>
        <w:tc>
          <w:tcPr>
            <w:tcW w:w="7596" w:type="dxa"/>
            <w:gridSpan w:val="3"/>
          </w:tcPr>
          <w:p w:rsidR="00953DC7" w:rsidRPr="002236F4" w:rsidRDefault="00953DC7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Several case studies, from </w:t>
            </w:r>
            <w:smartTag w:uri="urn:schemas-microsoft-com:office:smarttags" w:element="place">
              <w:r>
                <w:rPr>
                  <w:rStyle w:val="Heading1Char"/>
                  <w:rFonts w:ascii="Palatino Linotype" w:hAnsi="Palatino Linotype"/>
                  <w:b w:val="0"/>
                  <w:color w:val="auto"/>
                  <w:sz w:val="22"/>
                  <w:szCs w:val="22"/>
                  <w:lang w:val="en-GB"/>
                </w:rPr>
                <w:t>Europe</w:t>
              </w:r>
            </w:smartTag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and from the rest of the world, are reported in the different guidance documents as example of the application of the methods and tools </w:t>
            </w:r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47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>Uncertainty</w:t>
            </w:r>
          </w:p>
        </w:tc>
        <w:tc>
          <w:tcPr>
            <w:tcW w:w="7596" w:type="dxa"/>
            <w:gridSpan w:val="3"/>
          </w:tcPr>
          <w:p w:rsidR="00953DC7" w:rsidRPr="002236F4" w:rsidRDefault="00953DC7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Extensive analysis of the uncertainty issues in all the different aspects of the hazards and the impacts taken into consideration.</w:t>
            </w:r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88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 xml:space="preserve">Climate Change </w:t>
            </w:r>
          </w:p>
        </w:tc>
        <w:tc>
          <w:tcPr>
            <w:tcW w:w="7596" w:type="dxa"/>
            <w:gridSpan w:val="3"/>
          </w:tcPr>
          <w:p w:rsidR="00953DC7" w:rsidRPr="002236F4" w:rsidRDefault="00953DC7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No. The guidance is not specifically aimed at the assessment of climate change patterns.</w:t>
            </w:r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689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>Flood</w:t>
            </w:r>
          </w:p>
        </w:tc>
        <w:tc>
          <w:tcPr>
            <w:tcW w:w="7596" w:type="dxa"/>
            <w:gridSpan w:val="3"/>
          </w:tcPr>
          <w:p w:rsidR="00953DC7" w:rsidRPr="002236F4" w:rsidRDefault="00953DC7" w:rsidP="002236F4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WP6 is specifically devoted to flood events.</w:t>
            </w:r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302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>Data need</w:t>
            </w:r>
          </w:p>
        </w:tc>
        <w:tc>
          <w:tcPr>
            <w:tcW w:w="7596" w:type="dxa"/>
            <w:gridSpan w:val="3"/>
          </w:tcPr>
          <w:p w:rsidR="00953DC7" w:rsidRPr="002236F4" w:rsidRDefault="00953DC7" w:rsidP="002236F4">
            <w:pPr>
              <w:spacing w:before="80" w:after="80" w:line="240" w:lineRule="auto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Data quantity and quality for each step of the assessment is analysed.</w:t>
            </w:r>
          </w:p>
        </w:tc>
      </w:tr>
      <w:tr w:rsidR="00953DC7" w:rsidRPr="00953DC7" w:rsidTr="001A4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21"/>
        </w:trPr>
        <w:tc>
          <w:tcPr>
            <w:tcW w:w="2160" w:type="dxa"/>
          </w:tcPr>
          <w:p w:rsidR="00953DC7" w:rsidRPr="002236F4" w:rsidRDefault="00953DC7" w:rsidP="002236F4">
            <w:pPr>
              <w:spacing w:before="80" w:after="80"/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</w:pPr>
            <w:r w:rsidRPr="002236F4">
              <w:rPr>
                <w:rStyle w:val="Heading1Char"/>
                <w:rFonts w:ascii="Palatino Linotype" w:hAnsi="Palatino Linotype"/>
                <w:i/>
                <w:color w:val="auto"/>
                <w:sz w:val="22"/>
                <w:szCs w:val="22"/>
                <w:lang w:val="en-GB"/>
              </w:rPr>
              <w:t>Comments</w:t>
            </w:r>
          </w:p>
        </w:tc>
        <w:tc>
          <w:tcPr>
            <w:tcW w:w="7596" w:type="dxa"/>
            <w:gridSpan w:val="3"/>
          </w:tcPr>
          <w:p w:rsidR="00953DC7" w:rsidRDefault="00953DC7" w:rsidP="003577E8">
            <w:p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Structure of the project:</w:t>
            </w:r>
          </w:p>
          <w:p w:rsidR="00953DC7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WP1 Direct costs &amp; production processes</w:t>
            </w:r>
          </w:p>
          <w:p w:rsidR="00953DC7" w:rsidRPr="001A4651" w:rsidRDefault="00953DC7" w:rsidP="003577E8">
            <w:pPr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Natural Hazards : direct costs and losses due to the disruption of production processes (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Bubeck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&amp; 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Kreibich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, 2011)</w:t>
            </w:r>
          </w:p>
          <w:p w:rsidR="00953DC7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WP2 Indirect costs</w:t>
            </w:r>
          </w:p>
          <w:p w:rsidR="00953DC7" w:rsidRPr="001A4651" w:rsidRDefault="00953DC7" w:rsidP="003F1C7F">
            <w:pPr>
              <w:numPr>
                <w:ilvl w:val="1"/>
                <w:numId w:val="2"/>
              </w:num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Indirect Costs of Natural Hazards </w:t>
            </w:r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(</w:t>
            </w:r>
            <w:proofErr w:type="spellStart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Przyluski</w:t>
            </w:r>
            <w:proofErr w:type="spellEnd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&amp; </w:t>
            </w:r>
            <w:proofErr w:type="spellStart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Hallegatte</w:t>
            </w:r>
            <w:proofErr w:type="spellEnd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, 2011)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WP3 Intangible effects</w:t>
            </w:r>
          </w:p>
          <w:p w:rsidR="00953DC7" w:rsidRPr="001A4651" w:rsidRDefault="00953DC7" w:rsidP="003F1C7F">
            <w:pPr>
              <w:numPr>
                <w:ilvl w:val="1"/>
                <w:numId w:val="2"/>
              </w:num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The intangi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ble effects of Natural Hazards </w:t>
            </w:r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(</w:t>
            </w:r>
            <w:proofErr w:type="spellStart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Markantonis</w:t>
            </w:r>
            <w:proofErr w:type="spellEnd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, Meyer, &amp; </w:t>
            </w:r>
            <w:proofErr w:type="spellStart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Schwarze</w:t>
            </w:r>
            <w:proofErr w:type="spellEnd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, 2011)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WP4 Adaptation &amp; mitigation incl. climate change</w:t>
            </w:r>
          </w:p>
          <w:p w:rsidR="00953DC7" w:rsidRPr="001A4651" w:rsidRDefault="00953DC7" w:rsidP="003577E8">
            <w:pPr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Methodology report 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on costs of mitigation (</w:t>
            </w:r>
            <w:proofErr w:type="spellStart"/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Bouwer</w:t>
            </w:r>
            <w:proofErr w:type="spellEnd"/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et al.</w:t>
            </w: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, </w:t>
            </w: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lastRenderedPageBreak/>
              <w:t>2011)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WP5 Costs of droughts</w:t>
            </w:r>
          </w:p>
          <w:p w:rsidR="00953DC7" w:rsidRPr="001A4651" w:rsidRDefault="00953DC7" w:rsidP="003577E8">
            <w:pPr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Methods of Assessment of the Costs of Droughts (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Logar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&amp; Van den Bergh, 2011)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WP6 Costs of floods</w:t>
            </w:r>
          </w:p>
          <w:p w:rsidR="00953DC7" w:rsidRDefault="00953DC7" w:rsidP="003577E8">
            <w:pPr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Guidance for assessing flood losse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s (Green et al.,</w:t>
            </w: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2011)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WP7 Costs of storms &amp; coastal risks</w:t>
            </w:r>
          </w:p>
          <w:p w:rsidR="00953DC7" w:rsidRPr="001A4651" w:rsidRDefault="00953DC7" w:rsidP="003F1C7F">
            <w:pPr>
              <w:numPr>
                <w:ilvl w:val="1"/>
                <w:numId w:val="2"/>
              </w:numPr>
              <w:spacing w:before="80" w:after="8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Methods for Estimating the Costs of Coastal Hazards (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Lequeux</w:t>
            </w:r>
            <w:proofErr w:type="spellEnd"/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&amp; </w:t>
            </w:r>
            <w:proofErr w:type="spellStart"/>
            <w:r w:rsidRPr="003F1C7F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Ciavola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, 201</w:t>
            </w:r>
            <w:r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1</w:t>
            </w: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)</w:t>
            </w:r>
          </w:p>
          <w:p w:rsidR="00953DC7" w:rsidRPr="001A4651" w:rsidRDefault="00953DC7" w:rsidP="003577E8">
            <w:pPr>
              <w:numPr>
                <w:ilvl w:val="0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WP8 Costs of Alpine hazards</w:t>
            </w:r>
          </w:p>
          <w:p w:rsidR="00953DC7" w:rsidRPr="001A4651" w:rsidRDefault="00953DC7" w:rsidP="003577E8">
            <w:pPr>
              <w:numPr>
                <w:ilvl w:val="1"/>
                <w:numId w:val="2"/>
              </w:numPr>
              <w:spacing w:before="80" w:after="80"/>
              <w:ind w:left="0" w:firstLine="0"/>
              <w:jc w:val="both"/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</w:pPr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Costs of Alpine Hazards Costs of Alpine Hazards (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Pfurtscheller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Lochner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 xml:space="preserve">, &amp; </w:t>
            </w:r>
            <w:proofErr w:type="spellStart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Thieken</w:t>
            </w:r>
            <w:proofErr w:type="spellEnd"/>
            <w:r w:rsidRPr="001A4651">
              <w:rPr>
                <w:rStyle w:val="Heading1Char"/>
                <w:rFonts w:ascii="Palatino Linotype" w:hAnsi="Palatino Linotype"/>
                <w:b w:val="0"/>
                <w:color w:val="auto"/>
                <w:sz w:val="22"/>
                <w:szCs w:val="22"/>
                <w:lang w:val="en-GB"/>
              </w:rPr>
              <w:t>, 2011)</w:t>
            </w:r>
          </w:p>
        </w:tc>
      </w:tr>
    </w:tbl>
    <w:p w:rsidR="003864E0" w:rsidRPr="00AE5697" w:rsidRDefault="003864E0" w:rsidP="00C6686B">
      <w:pPr>
        <w:rPr>
          <w:rStyle w:val="Heading2Char"/>
          <w:color w:val="auto"/>
          <w:sz w:val="22"/>
          <w:szCs w:val="22"/>
          <w:lang w:val="en-GB"/>
        </w:rPr>
      </w:pPr>
    </w:p>
    <w:sectPr w:rsidR="003864E0" w:rsidRPr="00AE5697" w:rsidSect="00F43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56B89"/>
    <w:multiLevelType w:val="hybridMultilevel"/>
    <w:tmpl w:val="528073D2"/>
    <w:lvl w:ilvl="0" w:tplc="8904E8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D068D"/>
    <w:multiLevelType w:val="hybridMultilevel"/>
    <w:tmpl w:val="960E44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872"/>
    <w:rsid w:val="000110FB"/>
    <w:rsid w:val="0003398C"/>
    <w:rsid w:val="000602E5"/>
    <w:rsid w:val="000D0DE0"/>
    <w:rsid w:val="001A4651"/>
    <w:rsid w:val="001F1FC6"/>
    <w:rsid w:val="002236F4"/>
    <w:rsid w:val="0024302C"/>
    <w:rsid w:val="002538EA"/>
    <w:rsid w:val="002B2F9E"/>
    <w:rsid w:val="002B3DA2"/>
    <w:rsid w:val="002C2852"/>
    <w:rsid w:val="002E01DD"/>
    <w:rsid w:val="003577E8"/>
    <w:rsid w:val="003864E0"/>
    <w:rsid w:val="003F1C7F"/>
    <w:rsid w:val="004048D3"/>
    <w:rsid w:val="00475825"/>
    <w:rsid w:val="00476459"/>
    <w:rsid w:val="004D5D13"/>
    <w:rsid w:val="005C72AF"/>
    <w:rsid w:val="005E2677"/>
    <w:rsid w:val="006265A9"/>
    <w:rsid w:val="00771CDF"/>
    <w:rsid w:val="007B373A"/>
    <w:rsid w:val="007C3FEC"/>
    <w:rsid w:val="00862872"/>
    <w:rsid w:val="008748BE"/>
    <w:rsid w:val="00953DC7"/>
    <w:rsid w:val="00A06865"/>
    <w:rsid w:val="00A47827"/>
    <w:rsid w:val="00A7359D"/>
    <w:rsid w:val="00AB670E"/>
    <w:rsid w:val="00AD09BD"/>
    <w:rsid w:val="00AE5697"/>
    <w:rsid w:val="00B925E9"/>
    <w:rsid w:val="00C34433"/>
    <w:rsid w:val="00C6686B"/>
    <w:rsid w:val="00D84881"/>
    <w:rsid w:val="00DA53F8"/>
    <w:rsid w:val="00E302BE"/>
    <w:rsid w:val="00E934AB"/>
    <w:rsid w:val="00F430B9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F9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8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8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6287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862872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475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99"/>
    <w:rsid w:val="004758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rsid w:val="00AD09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D09B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9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D09B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D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09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B670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subject/>
  <dc:creator>Fabio Farinosi</dc:creator>
  <cp:keywords/>
  <dc:description/>
  <cp:lastModifiedBy>Fabio Farinosi</cp:lastModifiedBy>
  <cp:revision>10</cp:revision>
  <dcterms:created xsi:type="dcterms:W3CDTF">2013-06-26T14:15:00Z</dcterms:created>
  <dcterms:modified xsi:type="dcterms:W3CDTF">2013-07-25T13:09:00Z</dcterms:modified>
</cp:coreProperties>
</file>