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A0" w:firstRow="1" w:lastRow="0" w:firstColumn="1" w:lastColumn="0" w:noHBand="0" w:noVBand="0"/>
      </w:tblPr>
      <w:tblGrid>
        <w:gridCol w:w="2215"/>
        <w:gridCol w:w="2482"/>
        <w:gridCol w:w="2481"/>
        <w:gridCol w:w="2571"/>
        <w:gridCol w:w="105"/>
      </w:tblGrid>
      <w:tr w:rsidR="000529CE" w:rsidRPr="008C2C3F" w:rsidTr="008C2C3F">
        <w:tc>
          <w:tcPr>
            <w:tcW w:w="2152" w:type="dxa"/>
            <w:vMerge w:val="restart"/>
            <w:vAlign w:val="center"/>
          </w:tcPr>
          <w:p w:rsidR="000529CE" w:rsidRPr="006F24D1" w:rsidRDefault="000529CE" w:rsidP="006F24D1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i/>
                <w:color w:val="auto"/>
                <w:sz w:val="24"/>
                <w:szCs w:val="24"/>
                <w:lang w:val="en-GB"/>
              </w:rPr>
            </w:pPr>
            <w:r w:rsidRPr="006F24D1">
              <w:rPr>
                <w:rStyle w:val="Heading1Char"/>
                <w:rFonts w:ascii="Palatino Linotype" w:hAnsi="Palatino Linotype"/>
                <w:i/>
                <w:color w:val="auto"/>
                <w:sz w:val="24"/>
                <w:szCs w:val="24"/>
                <w:lang w:val="en-GB"/>
              </w:rPr>
              <w:t>Reference</w:t>
            </w:r>
          </w:p>
        </w:tc>
        <w:tc>
          <w:tcPr>
            <w:tcW w:w="7702" w:type="dxa"/>
            <w:gridSpan w:val="4"/>
          </w:tcPr>
          <w:p w:rsidR="000529CE" w:rsidRPr="007F1997" w:rsidRDefault="000529CE" w:rsidP="006F24D1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color w:val="auto"/>
                <w:sz w:val="24"/>
                <w:szCs w:val="24"/>
                <w:lang w:val="en-GB"/>
              </w:rPr>
            </w:pPr>
            <w:r w:rsidRPr="007F1997">
              <w:rPr>
                <w:rStyle w:val="Heading1Char"/>
                <w:rFonts w:ascii="Palatino Linotype" w:hAnsi="Palatino Linotype"/>
                <w:color w:val="auto"/>
                <w:sz w:val="24"/>
                <w:szCs w:val="24"/>
                <w:lang w:val="en-GB"/>
              </w:rPr>
              <w:t>The appraisal of human related intangible impacts of flooding</w:t>
            </w:r>
          </w:p>
        </w:tc>
      </w:tr>
      <w:tr w:rsidR="000529CE" w:rsidRPr="008C2C3F" w:rsidTr="006F24D1">
        <w:tc>
          <w:tcPr>
            <w:tcW w:w="2235" w:type="dxa"/>
            <w:vMerge/>
          </w:tcPr>
          <w:p w:rsidR="000529CE" w:rsidRPr="006F24D1" w:rsidRDefault="000529CE" w:rsidP="006F24D1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i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gridSpan w:val="4"/>
          </w:tcPr>
          <w:p w:rsidR="000529CE" w:rsidRPr="006F24D1" w:rsidRDefault="000529CE" w:rsidP="006F24D1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</w:pPr>
            <w:r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 xml:space="preserve">Department for Environment, Food and Rural Affairs (DEFRA) – </w:t>
            </w:r>
            <w:smartTag w:uri="urn:schemas-microsoft-com:office:smarttags" w:element="country-region">
              <w:r>
                <w:rPr>
                  <w:rStyle w:val="Heading1Char"/>
                  <w:rFonts w:ascii="Palatino Linotype" w:hAnsi="Palatino Linotype"/>
                  <w:b w:val="0"/>
                  <w:color w:val="auto"/>
                  <w:sz w:val="24"/>
                  <w:szCs w:val="24"/>
                  <w:lang w:val="en-GB"/>
                </w:rPr>
                <w:t>UK</w:t>
              </w:r>
            </w:smartTag>
            <w:r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 xml:space="preserve"> Environment Agency 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Style w:val="Heading1Char"/>
                    <w:rFonts w:ascii="Palatino Linotype" w:hAnsi="Palatino Linotype"/>
                    <w:b w:val="0"/>
                    <w:color w:val="auto"/>
                    <w:sz w:val="24"/>
                    <w:szCs w:val="24"/>
                    <w:lang w:val="en-GB"/>
                  </w:rPr>
                  <w:t>UK</w:t>
                </w:r>
              </w:smartTag>
            </w:smartTag>
            <w:r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 xml:space="preserve"> - EA) </w:t>
            </w:r>
          </w:p>
        </w:tc>
      </w:tr>
      <w:tr w:rsidR="000529CE" w:rsidRPr="007F1997" w:rsidTr="006F24D1">
        <w:tc>
          <w:tcPr>
            <w:tcW w:w="2235" w:type="dxa"/>
            <w:vMerge/>
          </w:tcPr>
          <w:p w:rsidR="000529CE" w:rsidRPr="006F24D1" w:rsidRDefault="000529CE" w:rsidP="006F24D1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i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gridSpan w:val="4"/>
          </w:tcPr>
          <w:p w:rsidR="000529CE" w:rsidRPr="00F93DDA" w:rsidRDefault="000529CE" w:rsidP="006F24D1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</w:pPr>
            <w:r w:rsidRPr="00F93DDA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>DEFRA. (2004). The appraisal of human related intangible impacts of flooding. R&amp;D Technical Report FD2005/TR</w:t>
            </w:r>
          </w:p>
        </w:tc>
      </w:tr>
      <w:tr w:rsidR="000529CE" w:rsidRPr="008C2C3F" w:rsidTr="006F24D1">
        <w:tc>
          <w:tcPr>
            <w:tcW w:w="2235" w:type="dxa"/>
          </w:tcPr>
          <w:p w:rsidR="000529CE" w:rsidRPr="006F24D1" w:rsidRDefault="000529CE" w:rsidP="006F24D1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i/>
                <w:color w:val="auto"/>
                <w:sz w:val="24"/>
                <w:szCs w:val="24"/>
                <w:lang w:val="en-GB"/>
              </w:rPr>
            </w:pPr>
            <w:r w:rsidRPr="006F24D1">
              <w:rPr>
                <w:rStyle w:val="Heading1Char"/>
                <w:rFonts w:ascii="Palatino Linotype" w:hAnsi="Palatino Linotype"/>
                <w:i/>
                <w:color w:val="auto"/>
                <w:sz w:val="24"/>
                <w:szCs w:val="24"/>
                <w:lang w:val="en-GB"/>
              </w:rPr>
              <w:t>Scope</w:t>
            </w:r>
          </w:p>
        </w:tc>
        <w:tc>
          <w:tcPr>
            <w:tcW w:w="7512" w:type="dxa"/>
            <w:gridSpan w:val="4"/>
          </w:tcPr>
          <w:p w:rsidR="000529CE" w:rsidRPr="00F93DDA" w:rsidRDefault="000529CE" w:rsidP="00F93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</w:pPr>
            <w:r w:rsidRPr="00F93DDA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>The aim of this research is to develop a robust, yet simple-to-use, methodology so that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 xml:space="preserve"> </w:t>
            </w:r>
            <w:r w:rsidRPr="00F93DDA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>the intangible impacts on human health and well-being can be accounted for in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 xml:space="preserve"> </w:t>
            </w:r>
            <w:r w:rsidRPr="00F93DDA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>assessing the benefits of flood alleviation measures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 xml:space="preserve">. </w:t>
            </w:r>
            <w:r w:rsidRPr="00F93DDA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>The specific requirements as stated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 xml:space="preserve"> </w:t>
            </w:r>
            <w:r w:rsidRPr="00F93DDA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>in the Research Specification are to produce: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 xml:space="preserve"> </w:t>
            </w:r>
            <w:r w:rsidRPr="00F93DDA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>greater understanding of the social issues that underlie the long-term health risks;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 xml:space="preserve"> </w:t>
            </w:r>
            <w:r w:rsidRPr="00F93DDA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>and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 xml:space="preserve"> </w:t>
            </w:r>
            <w:r w:rsidRPr="00F93DDA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>an easy to use methodology that can be used in economic appraisal to generate</w:t>
            </w:r>
          </w:p>
          <w:p w:rsidR="000529CE" w:rsidRPr="00F93DDA" w:rsidRDefault="000529CE" w:rsidP="00F93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</w:pPr>
            <w:r w:rsidRPr="00F93DDA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>robust and defensible valuations for human-related intangible impacts of flooding,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 xml:space="preserve"> </w:t>
            </w:r>
            <w:r w:rsidRPr="00F93DDA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>which should be based on the improved understanding of the relevant social issues.</w:t>
            </w:r>
          </w:p>
        </w:tc>
      </w:tr>
      <w:tr w:rsidR="000529CE" w:rsidRPr="00F93DDA" w:rsidTr="006F24D1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" w:type="dxa"/>
        </w:trPr>
        <w:tc>
          <w:tcPr>
            <w:tcW w:w="2235" w:type="dxa"/>
            <w:vMerge w:val="restar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0529CE" w:rsidRPr="006F24D1" w:rsidRDefault="000529CE" w:rsidP="006F24D1">
            <w:pPr>
              <w:spacing w:before="80" w:after="80"/>
              <w:rPr>
                <w:rStyle w:val="Heading1Char"/>
                <w:rFonts w:ascii="Palatino Linotype" w:hAnsi="Palatino Linotype"/>
                <w:b w:val="0"/>
                <w:bCs w:val="0"/>
                <w:i/>
                <w:color w:val="auto"/>
                <w:sz w:val="22"/>
                <w:szCs w:val="22"/>
                <w:lang w:val="en-GB"/>
              </w:rPr>
            </w:pPr>
            <w:r w:rsidRPr="006F24D1">
              <w:rPr>
                <w:rStyle w:val="Heading1Char"/>
                <w:rFonts w:ascii="Palatino Linotype" w:hAnsi="Palatino Linotype"/>
                <w:bCs w:val="0"/>
                <w:i/>
                <w:color w:val="auto"/>
                <w:sz w:val="22"/>
                <w:szCs w:val="22"/>
                <w:lang w:val="en-GB"/>
              </w:rPr>
              <w:t>Impacts</w:t>
            </w:r>
          </w:p>
        </w:tc>
        <w:tc>
          <w:tcPr>
            <w:tcW w:w="250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0529CE" w:rsidRPr="006F24D1" w:rsidRDefault="000529CE" w:rsidP="006F24D1">
            <w:pPr>
              <w:spacing w:before="80" w:after="80"/>
              <w:jc w:val="center"/>
              <w:rPr>
                <w:rStyle w:val="Heading1Char"/>
                <w:rFonts w:ascii="Palatino Linotype" w:hAnsi="Palatino Linotype"/>
                <w:b w:val="0"/>
                <w:bCs w:val="0"/>
                <w:i/>
                <w:color w:val="auto"/>
                <w:sz w:val="22"/>
                <w:szCs w:val="22"/>
                <w:lang w:val="en-GB"/>
              </w:rPr>
            </w:pPr>
            <w:r w:rsidRPr="006F24D1">
              <w:rPr>
                <w:rStyle w:val="Heading1Char"/>
                <w:rFonts w:ascii="Palatino Linotype" w:hAnsi="Palatino Linotype"/>
                <w:b w:val="0"/>
                <w:bCs w:val="0"/>
                <w:i/>
                <w:color w:val="auto"/>
                <w:sz w:val="22"/>
                <w:szCs w:val="22"/>
                <w:lang w:val="en-GB"/>
              </w:rPr>
              <w:t>Environmental</w:t>
            </w:r>
          </w:p>
        </w:tc>
        <w:tc>
          <w:tcPr>
            <w:tcW w:w="250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0529CE" w:rsidRPr="006F24D1" w:rsidRDefault="000529CE" w:rsidP="006F24D1">
            <w:pPr>
              <w:spacing w:before="80" w:after="80"/>
              <w:jc w:val="center"/>
              <w:rPr>
                <w:rStyle w:val="Heading1Char"/>
                <w:rFonts w:ascii="Palatino Linotype" w:hAnsi="Palatino Linotype"/>
                <w:b w:val="0"/>
                <w:bCs w:val="0"/>
                <w:i/>
                <w:color w:val="auto"/>
                <w:sz w:val="22"/>
                <w:szCs w:val="22"/>
                <w:lang w:val="en-GB"/>
              </w:rPr>
            </w:pPr>
            <w:r w:rsidRPr="006F24D1">
              <w:rPr>
                <w:rStyle w:val="Heading1Char"/>
                <w:rFonts w:ascii="Palatino Linotype" w:hAnsi="Palatino Linotype"/>
                <w:b w:val="0"/>
                <w:bCs w:val="0"/>
                <w:i/>
                <w:color w:val="auto"/>
                <w:sz w:val="22"/>
                <w:szCs w:val="22"/>
                <w:lang w:val="en-GB"/>
              </w:rPr>
              <w:t>Social</w:t>
            </w:r>
          </w:p>
        </w:tc>
        <w:tc>
          <w:tcPr>
            <w:tcW w:w="250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0529CE" w:rsidRPr="006F24D1" w:rsidRDefault="000529CE" w:rsidP="006F24D1">
            <w:pPr>
              <w:spacing w:before="80" w:after="80"/>
              <w:jc w:val="center"/>
              <w:rPr>
                <w:rStyle w:val="Heading1Char"/>
                <w:rFonts w:ascii="Palatino Linotype" w:hAnsi="Palatino Linotype"/>
                <w:b w:val="0"/>
                <w:bCs w:val="0"/>
                <w:i/>
                <w:color w:val="auto"/>
                <w:sz w:val="22"/>
                <w:szCs w:val="22"/>
                <w:lang w:val="en-GB"/>
              </w:rPr>
            </w:pPr>
            <w:r w:rsidRPr="006F24D1">
              <w:rPr>
                <w:rStyle w:val="Heading1Char"/>
                <w:rFonts w:ascii="Palatino Linotype" w:hAnsi="Palatino Linotype"/>
                <w:b w:val="0"/>
                <w:bCs w:val="0"/>
                <w:i/>
                <w:color w:val="auto"/>
                <w:sz w:val="22"/>
                <w:szCs w:val="22"/>
                <w:lang w:val="en-GB"/>
              </w:rPr>
              <w:t>Economic</w:t>
            </w:r>
          </w:p>
        </w:tc>
      </w:tr>
      <w:tr w:rsidR="000529CE" w:rsidRPr="00F93DDA" w:rsidTr="006F24D1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" w:type="dxa"/>
        </w:trPr>
        <w:tc>
          <w:tcPr>
            <w:tcW w:w="2235" w:type="dxa"/>
            <w:vMerge/>
            <w:tcBorders>
              <w:left w:val="nil"/>
              <w:right w:val="nil"/>
            </w:tcBorders>
            <w:shd w:val="clear" w:color="auto" w:fill="D3DFEE"/>
          </w:tcPr>
          <w:p w:rsidR="000529CE" w:rsidRPr="006F24D1" w:rsidRDefault="000529CE" w:rsidP="006F24D1">
            <w:pPr>
              <w:spacing w:before="80" w:after="80"/>
              <w:rPr>
                <w:rStyle w:val="Heading1Char"/>
                <w:rFonts w:ascii="Palatino Linotype" w:hAnsi="Palatino Linotype"/>
                <w:b w:val="0"/>
                <w:bCs w:val="0"/>
                <w:i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504" w:type="dxa"/>
            <w:tcBorders>
              <w:left w:val="nil"/>
              <w:right w:val="nil"/>
            </w:tcBorders>
            <w:shd w:val="clear" w:color="auto" w:fill="D3DFEE"/>
          </w:tcPr>
          <w:p w:rsidR="000529CE" w:rsidRPr="006F24D1" w:rsidRDefault="000529CE" w:rsidP="006F24D1">
            <w:pPr>
              <w:spacing w:before="80" w:after="80"/>
              <w:jc w:val="center"/>
              <w:rPr>
                <w:rStyle w:val="Heading1Char"/>
                <w:rFonts w:ascii="Palatino Linotype" w:hAnsi="Palatino Linotype"/>
                <w:i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504" w:type="dxa"/>
            <w:tcBorders>
              <w:left w:val="nil"/>
              <w:right w:val="nil"/>
            </w:tcBorders>
            <w:shd w:val="clear" w:color="auto" w:fill="D3DFEE"/>
          </w:tcPr>
          <w:p w:rsidR="000529CE" w:rsidRPr="006F24D1" w:rsidRDefault="000529CE" w:rsidP="006F24D1">
            <w:pPr>
              <w:spacing w:before="80" w:after="80"/>
              <w:jc w:val="center"/>
              <w:rPr>
                <w:rStyle w:val="Heading1Char"/>
                <w:rFonts w:ascii="Palatino Linotype" w:hAnsi="Palatino Linotype"/>
                <w:i/>
                <w:color w:val="auto"/>
                <w:sz w:val="20"/>
                <w:szCs w:val="20"/>
                <w:lang w:val="en-GB"/>
              </w:rPr>
            </w:pPr>
            <w:r w:rsidRPr="006F24D1">
              <w:rPr>
                <w:rStyle w:val="Heading1Char"/>
                <w:rFonts w:ascii="Palatino Linotype" w:hAnsi="Palatino Linotype"/>
                <w:i/>
                <w:color w:val="auto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504" w:type="dxa"/>
            <w:tcBorders>
              <w:left w:val="nil"/>
              <w:right w:val="nil"/>
            </w:tcBorders>
            <w:shd w:val="clear" w:color="auto" w:fill="D3DFEE"/>
          </w:tcPr>
          <w:p w:rsidR="000529CE" w:rsidRPr="006F24D1" w:rsidRDefault="000529CE" w:rsidP="006F24D1">
            <w:pPr>
              <w:spacing w:before="80" w:after="80"/>
              <w:jc w:val="center"/>
              <w:rPr>
                <w:rStyle w:val="Heading1Char"/>
                <w:rFonts w:ascii="Palatino Linotype" w:hAnsi="Palatino Linotype"/>
                <w:i/>
                <w:color w:val="auto"/>
                <w:sz w:val="20"/>
                <w:szCs w:val="20"/>
                <w:lang w:val="en-GB"/>
              </w:rPr>
            </w:pPr>
            <w:r w:rsidRPr="006F24D1">
              <w:rPr>
                <w:rStyle w:val="Heading1Char"/>
                <w:rFonts w:ascii="Palatino Linotype" w:hAnsi="Palatino Linotype"/>
                <w:i/>
                <w:color w:val="auto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0529CE" w:rsidRPr="008C2C3F" w:rsidTr="006F24D1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" w:type="dxa"/>
          <w:trHeight w:val="1847"/>
        </w:trPr>
        <w:tc>
          <w:tcPr>
            <w:tcW w:w="2235" w:type="dxa"/>
            <w:vMerge/>
          </w:tcPr>
          <w:p w:rsidR="000529CE" w:rsidRPr="006F24D1" w:rsidRDefault="000529CE" w:rsidP="006F24D1">
            <w:pPr>
              <w:spacing w:before="80" w:after="80"/>
              <w:rPr>
                <w:rStyle w:val="Heading1Char"/>
                <w:rFonts w:ascii="Palatino Linotype" w:hAnsi="Palatino Linotype"/>
                <w:b w:val="0"/>
                <w:bCs w:val="0"/>
                <w:i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504" w:type="dxa"/>
          </w:tcPr>
          <w:p w:rsidR="000529CE" w:rsidRPr="006F24D1" w:rsidRDefault="000529CE" w:rsidP="006F24D1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504" w:type="dxa"/>
          </w:tcPr>
          <w:p w:rsidR="000529CE" w:rsidRPr="007517A1" w:rsidRDefault="000529CE" w:rsidP="006F24D1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</w:pPr>
            <w:r w:rsidRPr="007517A1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Measuring the health effects of flooding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 xml:space="preserve">: </w:t>
            </w:r>
            <w:r w:rsidRPr="007517A1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 xml:space="preserve">measurements of general health 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and social</w:t>
            </w:r>
            <w:r w:rsidRPr="007517A1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 xml:space="preserve"> well-being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 xml:space="preserve">, and </w:t>
            </w:r>
            <w:r w:rsidRPr="007517A1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determin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ation of</w:t>
            </w:r>
            <w:r w:rsidRPr="007517A1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 xml:space="preserve"> the level of stress experienced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.</w:t>
            </w:r>
          </w:p>
        </w:tc>
        <w:tc>
          <w:tcPr>
            <w:tcW w:w="2504" w:type="dxa"/>
          </w:tcPr>
          <w:p w:rsidR="000529CE" w:rsidRPr="00113950" w:rsidRDefault="000529CE" w:rsidP="006F2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</w:pP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 xml:space="preserve">Direct and indirect economic impacts are estimated using: data from actual markets; </w:t>
            </w:r>
            <w:r w:rsidRPr="007517A1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revealed preference techniques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 xml:space="preserve">; </w:t>
            </w:r>
            <w:r w:rsidRPr="007517A1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stated preference techniques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 xml:space="preserve">; </w:t>
            </w:r>
            <w:r w:rsidRPr="007517A1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contingent valuation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 xml:space="preserve">; and choice modelling. Determination of the </w:t>
            </w:r>
            <w:r w:rsidRPr="00113950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willing to pay for a marginal reduction in the risk of flooding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.</w:t>
            </w:r>
          </w:p>
        </w:tc>
      </w:tr>
      <w:tr w:rsidR="000529CE" w:rsidRPr="006F24D1" w:rsidTr="006F24D1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" w:type="dxa"/>
        </w:trPr>
        <w:tc>
          <w:tcPr>
            <w:tcW w:w="2235" w:type="dxa"/>
            <w:vMerge/>
            <w:tcBorders>
              <w:left w:val="nil"/>
              <w:right w:val="nil"/>
            </w:tcBorders>
            <w:shd w:val="clear" w:color="auto" w:fill="D3DFEE"/>
          </w:tcPr>
          <w:p w:rsidR="000529CE" w:rsidRPr="006F24D1" w:rsidRDefault="000529CE" w:rsidP="006F24D1">
            <w:pPr>
              <w:spacing w:before="80" w:after="80"/>
              <w:rPr>
                <w:rStyle w:val="Heading1Char"/>
                <w:rFonts w:ascii="Palatino Linotype" w:hAnsi="Palatino Linotype"/>
                <w:b w:val="0"/>
                <w:bCs w:val="0"/>
                <w:i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04" w:type="dxa"/>
            <w:tcBorders>
              <w:left w:val="nil"/>
              <w:right w:val="nil"/>
            </w:tcBorders>
            <w:shd w:val="clear" w:color="auto" w:fill="D3DFEE"/>
          </w:tcPr>
          <w:p w:rsidR="000529CE" w:rsidRPr="006F24D1" w:rsidRDefault="000529CE" w:rsidP="006F24D1">
            <w:pPr>
              <w:spacing w:before="80" w:after="80"/>
              <w:jc w:val="center"/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504" w:type="dxa"/>
            <w:tcBorders>
              <w:left w:val="nil"/>
              <w:right w:val="nil"/>
            </w:tcBorders>
            <w:shd w:val="clear" w:color="auto" w:fill="D3DFEE"/>
          </w:tcPr>
          <w:p w:rsidR="000529CE" w:rsidRPr="006F24D1" w:rsidRDefault="000529CE" w:rsidP="006F24D1">
            <w:pPr>
              <w:spacing w:before="80" w:after="80"/>
              <w:jc w:val="center"/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</w:pPr>
            <w:r w:rsidRPr="006F24D1"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  <w:t>Direct - Indirect</w:t>
            </w:r>
          </w:p>
        </w:tc>
        <w:tc>
          <w:tcPr>
            <w:tcW w:w="2504" w:type="dxa"/>
            <w:tcBorders>
              <w:left w:val="nil"/>
              <w:right w:val="nil"/>
            </w:tcBorders>
            <w:shd w:val="clear" w:color="auto" w:fill="D3DFEE"/>
          </w:tcPr>
          <w:p w:rsidR="000529CE" w:rsidRPr="006F24D1" w:rsidRDefault="000529CE" w:rsidP="006F24D1">
            <w:pPr>
              <w:spacing w:before="80" w:after="80"/>
              <w:jc w:val="center"/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</w:pPr>
            <w:r w:rsidRPr="006F24D1"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  <w:t>Direct - Indirect</w:t>
            </w:r>
          </w:p>
        </w:tc>
      </w:tr>
      <w:tr w:rsidR="008C2C3F" w:rsidRPr="006F24D1" w:rsidTr="006F24D1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" w:type="dxa"/>
        </w:trPr>
        <w:tc>
          <w:tcPr>
            <w:tcW w:w="2235" w:type="dxa"/>
            <w:vMerge/>
            <w:tcBorders>
              <w:bottom w:val="single" w:sz="8" w:space="0" w:color="4F81BD"/>
            </w:tcBorders>
          </w:tcPr>
          <w:p w:rsidR="008C2C3F" w:rsidRPr="006F24D1" w:rsidRDefault="008C2C3F" w:rsidP="006F24D1">
            <w:pPr>
              <w:spacing w:before="80" w:after="80"/>
              <w:rPr>
                <w:rStyle w:val="Heading1Char"/>
                <w:rFonts w:ascii="Palatino Linotype" w:hAnsi="Palatino Linotype"/>
                <w:b w:val="0"/>
                <w:bCs w:val="0"/>
                <w:i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504" w:type="dxa"/>
            <w:tcBorders>
              <w:bottom w:val="single" w:sz="8" w:space="0" w:color="4F81BD"/>
            </w:tcBorders>
          </w:tcPr>
          <w:p w:rsidR="008C2C3F" w:rsidRPr="006F24D1" w:rsidRDefault="008C2C3F" w:rsidP="006F24D1">
            <w:pPr>
              <w:spacing w:before="80" w:after="80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504" w:type="dxa"/>
            <w:tcBorders>
              <w:bottom w:val="single" w:sz="8" w:space="0" w:color="4F81BD"/>
            </w:tcBorders>
          </w:tcPr>
          <w:p w:rsidR="008C2C3F" w:rsidRPr="006F24D1" w:rsidRDefault="008C2C3F" w:rsidP="008C2C3F">
            <w:pPr>
              <w:spacing w:before="80" w:after="80"/>
              <w:jc w:val="center"/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</w:pPr>
            <w:r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  <w:t>Tangible</w:t>
            </w:r>
            <w:r w:rsidRPr="006F24D1"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  <w:t xml:space="preserve"> - In</w:t>
            </w:r>
            <w:r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  <w:t>tangible</w:t>
            </w:r>
          </w:p>
        </w:tc>
        <w:tc>
          <w:tcPr>
            <w:tcW w:w="2504" w:type="dxa"/>
            <w:tcBorders>
              <w:bottom w:val="single" w:sz="8" w:space="0" w:color="4F81BD"/>
            </w:tcBorders>
          </w:tcPr>
          <w:p w:rsidR="008C2C3F" w:rsidRPr="006F24D1" w:rsidRDefault="008C2C3F" w:rsidP="000D6353">
            <w:pPr>
              <w:spacing w:before="80" w:after="80"/>
              <w:jc w:val="center"/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</w:pPr>
            <w:r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  <w:t>Tangible</w:t>
            </w:r>
            <w:r w:rsidRPr="006F24D1"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  <w:t xml:space="preserve"> - In</w:t>
            </w:r>
            <w:r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  <w:t>tangible</w:t>
            </w:r>
            <w:bookmarkStart w:id="0" w:name="_GoBack"/>
            <w:bookmarkEnd w:id="0"/>
          </w:p>
        </w:tc>
      </w:tr>
      <w:tr w:rsidR="008C2C3F" w:rsidRPr="008C2C3F" w:rsidTr="008C2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" w:type="dxa"/>
          <w:trHeight w:val="626"/>
        </w:trPr>
        <w:tc>
          <w:tcPr>
            <w:tcW w:w="2152" w:type="dxa"/>
          </w:tcPr>
          <w:p w:rsidR="008C2C3F" w:rsidRPr="006F24D1" w:rsidRDefault="008C2C3F" w:rsidP="006F24D1">
            <w:pPr>
              <w:spacing w:before="80" w:after="80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6F24D1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 xml:space="preserve">Case Studies </w:t>
            </w:r>
          </w:p>
        </w:tc>
        <w:tc>
          <w:tcPr>
            <w:tcW w:w="7605" w:type="dxa"/>
            <w:gridSpan w:val="3"/>
          </w:tcPr>
          <w:p w:rsidR="008C2C3F" w:rsidRPr="006F24D1" w:rsidRDefault="008C2C3F" w:rsidP="006F24D1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</w:pP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The study has been conducted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Style w:val="Heading1Char"/>
                    <w:rFonts w:ascii="Palatino Linotype" w:hAnsi="Palatino Linotype"/>
                    <w:b w:val="0"/>
                    <w:color w:val="auto"/>
                    <w:sz w:val="22"/>
                    <w:szCs w:val="22"/>
                    <w:lang w:val="en-GB"/>
                  </w:rPr>
                  <w:t>UK</w:t>
                </w:r>
              </w:smartTag>
            </w:smartTag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.</w:t>
            </w:r>
          </w:p>
        </w:tc>
      </w:tr>
      <w:tr w:rsidR="008C2C3F" w:rsidRPr="008C2C3F" w:rsidTr="008C2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" w:type="dxa"/>
          <w:trHeight w:val="466"/>
        </w:trPr>
        <w:tc>
          <w:tcPr>
            <w:tcW w:w="2152" w:type="dxa"/>
          </w:tcPr>
          <w:p w:rsidR="008C2C3F" w:rsidRPr="006F24D1" w:rsidRDefault="008C2C3F" w:rsidP="006F24D1">
            <w:pPr>
              <w:spacing w:before="80" w:after="80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6F24D1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>Uncertainty</w:t>
            </w:r>
          </w:p>
        </w:tc>
        <w:tc>
          <w:tcPr>
            <w:tcW w:w="7605" w:type="dxa"/>
            <w:gridSpan w:val="3"/>
          </w:tcPr>
          <w:p w:rsidR="008C2C3F" w:rsidRPr="006F24D1" w:rsidRDefault="008C2C3F" w:rsidP="006F24D1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</w:pPr>
            <w:r w:rsidRPr="006F24D1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No specific indications about how uncertainty is treated</w:t>
            </w:r>
          </w:p>
        </w:tc>
      </w:tr>
      <w:tr w:rsidR="008C2C3F" w:rsidRPr="00113950" w:rsidTr="008C2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" w:type="dxa"/>
          <w:trHeight w:val="688"/>
        </w:trPr>
        <w:tc>
          <w:tcPr>
            <w:tcW w:w="2152" w:type="dxa"/>
          </w:tcPr>
          <w:p w:rsidR="008C2C3F" w:rsidRPr="006F24D1" w:rsidRDefault="008C2C3F" w:rsidP="006F24D1">
            <w:pPr>
              <w:spacing w:before="80" w:after="80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6F24D1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 xml:space="preserve">Climate Change </w:t>
            </w:r>
          </w:p>
        </w:tc>
        <w:tc>
          <w:tcPr>
            <w:tcW w:w="7605" w:type="dxa"/>
            <w:gridSpan w:val="3"/>
          </w:tcPr>
          <w:p w:rsidR="008C2C3F" w:rsidRPr="006F24D1" w:rsidRDefault="008C2C3F" w:rsidP="006F24D1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</w:pP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No. The guidance is not</w:t>
            </w:r>
            <w:r w:rsidRPr="006F24D1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aimed at the assessment of climate change patterns. It is specifically focused on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flood</w:t>
            </w:r>
            <w:r w:rsidRPr="006F24D1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impact assessment.</w:t>
            </w:r>
          </w:p>
        </w:tc>
      </w:tr>
      <w:tr w:rsidR="008C2C3F" w:rsidRPr="008C2C3F" w:rsidTr="008C2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" w:type="dxa"/>
          <w:trHeight w:val="407"/>
        </w:trPr>
        <w:tc>
          <w:tcPr>
            <w:tcW w:w="2152" w:type="dxa"/>
          </w:tcPr>
          <w:p w:rsidR="008C2C3F" w:rsidRPr="006F24D1" w:rsidRDefault="008C2C3F" w:rsidP="006F24D1">
            <w:pPr>
              <w:spacing w:before="80" w:after="80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6F24D1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>Flood</w:t>
            </w:r>
          </w:p>
        </w:tc>
        <w:tc>
          <w:tcPr>
            <w:tcW w:w="7605" w:type="dxa"/>
            <w:gridSpan w:val="3"/>
          </w:tcPr>
          <w:p w:rsidR="008C2C3F" w:rsidRPr="006F24D1" w:rsidRDefault="008C2C3F" w:rsidP="006F24D1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</w:pPr>
            <w:r w:rsidRPr="006F24D1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The guidance is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specifically</w:t>
            </w:r>
            <w:r w:rsidRPr="006F24D1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focused on 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flood</w:t>
            </w:r>
            <w:r w:rsidRPr="006F24D1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.</w:t>
            </w:r>
          </w:p>
        </w:tc>
      </w:tr>
      <w:tr w:rsidR="008C2C3F" w:rsidRPr="008C2C3F" w:rsidTr="008C2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" w:type="dxa"/>
          <w:trHeight w:val="302"/>
        </w:trPr>
        <w:tc>
          <w:tcPr>
            <w:tcW w:w="2152" w:type="dxa"/>
          </w:tcPr>
          <w:p w:rsidR="008C2C3F" w:rsidRPr="006F24D1" w:rsidRDefault="008C2C3F" w:rsidP="006F24D1">
            <w:pPr>
              <w:spacing w:before="80" w:after="80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6F24D1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>Data need</w:t>
            </w:r>
          </w:p>
        </w:tc>
        <w:tc>
          <w:tcPr>
            <w:tcW w:w="7605" w:type="dxa"/>
            <w:gridSpan w:val="3"/>
          </w:tcPr>
          <w:p w:rsidR="008C2C3F" w:rsidRPr="007517A1" w:rsidRDefault="008C2C3F" w:rsidP="006F24D1">
            <w:pPr>
              <w:spacing w:before="80" w:after="80" w:line="240" w:lineRule="auto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</w:pP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The study has been conducted utilising also a </w:t>
            </w:r>
            <w:r w:rsidRPr="007517A1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health impacts </w:t>
            </w:r>
            <w:r w:rsidRPr="007517A1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lastRenderedPageBreak/>
              <w:t>questionnaire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.</w:t>
            </w:r>
          </w:p>
        </w:tc>
      </w:tr>
      <w:tr w:rsidR="008C2C3F" w:rsidRPr="006F24D1" w:rsidTr="008C2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" w:type="dxa"/>
          <w:trHeight w:val="454"/>
        </w:trPr>
        <w:tc>
          <w:tcPr>
            <w:tcW w:w="2152" w:type="dxa"/>
          </w:tcPr>
          <w:p w:rsidR="008C2C3F" w:rsidRPr="006F24D1" w:rsidRDefault="008C2C3F" w:rsidP="006F24D1">
            <w:pPr>
              <w:spacing w:before="80" w:after="80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6F24D1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lastRenderedPageBreak/>
              <w:t>Comments</w:t>
            </w:r>
          </w:p>
        </w:tc>
        <w:tc>
          <w:tcPr>
            <w:tcW w:w="7605" w:type="dxa"/>
            <w:gridSpan w:val="3"/>
          </w:tcPr>
          <w:p w:rsidR="008C2C3F" w:rsidRPr="006F24D1" w:rsidRDefault="008C2C3F" w:rsidP="006F24D1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</w:pPr>
          </w:p>
        </w:tc>
      </w:tr>
    </w:tbl>
    <w:p w:rsidR="000529CE" w:rsidRPr="00AE5697" w:rsidRDefault="000529CE" w:rsidP="00C22D99">
      <w:pPr>
        <w:rPr>
          <w:rStyle w:val="Heading2Char"/>
          <w:color w:val="auto"/>
          <w:sz w:val="22"/>
          <w:szCs w:val="22"/>
          <w:lang w:val="en-GB"/>
        </w:rPr>
      </w:pPr>
    </w:p>
    <w:sectPr w:rsidR="000529CE" w:rsidRPr="00AE5697" w:rsidSect="00F430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872"/>
    <w:rsid w:val="000110FB"/>
    <w:rsid w:val="0003398C"/>
    <w:rsid w:val="000529CE"/>
    <w:rsid w:val="000602E5"/>
    <w:rsid w:val="000D0DE0"/>
    <w:rsid w:val="00113950"/>
    <w:rsid w:val="001F1FC6"/>
    <w:rsid w:val="002B3DA2"/>
    <w:rsid w:val="002E01DD"/>
    <w:rsid w:val="00475825"/>
    <w:rsid w:val="00476459"/>
    <w:rsid w:val="004D5D13"/>
    <w:rsid w:val="005E2677"/>
    <w:rsid w:val="006265A9"/>
    <w:rsid w:val="00695B80"/>
    <w:rsid w:val="006F24D1"/>
    <w:rsid w:val="007517A1"/>
    <w:rsid w:val="00771CDF"/>
    <w:rsid w:val="007B373A"/>
    <w:rsid w:val="007F1997"/>
    <w:rsid w:val="00862872"/>
    <w:rsid w:val="008748BE"/>
    <w:rsid w:val="008C2C3F"/>
    <w:rsid w:val="00A47827"/>
    <w:rsid w:val="00AB670E"/>
    <w:rsid w:val="00AD09BD"/>
    <w:rsid w:val="00AE5697"/>
    <w:rsid w:val="00B925E9"/>
    <w:rsid w:val="00C22D99"/>
    <w:rsid w:val="00C34433"/>
    <w:rsid w:val="00C6686B"/>
    <w:rsid w:val="00C779A1"/>
    <w:rsid w:val="00D07E49"/>
    <w:rsid w:val="00DA53F8"/>
    <w:rsid w:val="00E302BE"/>
    <w:rsid w:val="00E776BB"/>
    <w:rsid w:val="00E934AB"/>
    <w:rsid w:val="00F430B9"/>
    <w:rsid w:val="00F93DDA"/>
    <w:rsid w:val="00FD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E4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287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287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6287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862872"/>
    <w:rPr>
      <w:rFonts w:ascii="Cambria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475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99"/>
    <w:rsid w:val="0047582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ommentReference">
    <w:name w:val="annotation reference"/>
    <w:uiPriority w:val="99"/>
    <w:semiHidden/>
    <w:rsid w:val="00AD09B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D0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D09B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D09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D09B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D09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B670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</dc:title>
  <dc:subject/>
  <dc:creator>Fabio Farinosi</dc:creator>
  <cp:keywords/>
  <dc:description/>
  <cp:lastModifiedBy>Fabio Farinosi</cp:lastModifiedBy>
  <cp:revision>6</cp:revision>
  <dcterms:created xsi:type="dcterms:W3CDTF">2013-06-26T11:31:00Z</dcterms:created>
  <dcterms:modified xsi:type="dcterms:W3CDTF">2013-07-25T13:14:00Z</dcterms:modified>
</cp:coreProperties>
</file>