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AD09BD" w:rsidRPr="003B757D" w:rsidTr="00AD09BD">
        <w:tc>
          <w:tcPr>
            <w:tcW w:w="2235" w:type="dxa"/>
            <w:vMerge w:val="restart"/>
            <w:vAlign w:val="center"/>
          </w:tcPr>
          <w:p w:rsidR="00AD09BD" w:rsidRPr="00AD09BD" w:rsidRDefault="00AD09BD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Reference</w:t>
            </w:r>
          </w:p>
        </w:tc>
        <w:tc>
          <w:tcPr>
            <w:tcW w:w="7512" w:type="dxa"/>
          </w:tcPr>
          <w:p w:rsidR="00AD09BD" w:rsidRPr="00AD09BD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color w:val="auto"/>
                <w:sz w:val="24"/>
                <w:szCs w:val="24"/>
                <w:lang w:val="en-GB"/>
              </w:rPr>
              <w:t>Technical guidelines for assessing climate change impact and adaptation</w:t>
            </w:r>
          </w:p>
        </w:tc>
      </w:tr>
      <w:tr w:rsidR="00AD09BD" w:rsidRPr="003B757D" w:rsidTr="00F430B9">
        <w:tc>
          <w:tcPr>
            <w:tcW w:w="2235" w:type="dxa"/>
            <w:vMerge/>
          </w:tcPr>
          <w:p w:rsidR="00AD09BD" w:rsidRPr="00AD09BD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Intergovernmental Panel on Climate Change - IPCC</w:t>
            </w:r>
          </w:p>
        </w:tc>
      </w:tr>
      <w:tr w:rsidR="00AD09BD" w:rsidRPr="003B757D" w:rsidTr="00F430B9">
        <w:tc>
          <w:tcPr>
            <w:tcW w:w="2235" w:type="dxa"/>
            <w:vMerge/>
          </w:tcPr>
          <w:p w:rsidR="00AD09BD" w:rsidRPr="00AD09BD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7512" w:type="dxa"/>
          </w:tcPr>
          <w:p w:rsidR="00AD09BD" w:rsidRPr="00AD09BD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IPCC (1994), IPCC technical guidelines for assessing climate change impact and adaptation</w:t>
            </w:r>
          </w:p>
        </w:tc>
      </w:tr>
      <w:tr w:rsidR="00F430B9" w:rsidRPr="003B757D" w:rsidTr="00F430B9">
        <w:tc>
          <w:tcPr>
            <w:tcW w:w="2235" w:type="dxa"/>
          </w:tcPr>
          <w:p w:rsidR="00F430B9" w:rsidRPr="00AD09BD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i/>
                <w:color w:val="auto"/>
                <w:sz w:val="24"/>
                <w:szCs w:val="24"/>
                <w:lang w:val="en-GB"/>
              </w:rPr>
              <w:t>Scope</w:t>
            </w:r>
          </w:p>
        </w:tc>
        <w:tc>
          <w:tcPr>
            <w:tcW w:w="7512" w:type="dxa"/>
          </w:tcPr>
          <w:p w:rsidR="00F430B9" w:rsidRPr="00AD09BD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</w:pPr>
            <w:r w:rsidRPr="00AD09BD">
              <w:rPr>
                <w:rStyle w:val="Heading1Char"/>
                <w:rFonts w:ascii="Palatino Linotype" w:hAnsi="Palatino Linotype"/>
                <w:b w:val="0"/>
                <w:color w:val="auto"/>
                <w:sz w:val="24"/>
                <w:szCs w:val="24"/>
                <w:lang w:val="en-GB"/>
              </w:rPr>
              <w:t>To provide a means for assessing the impacts of potential climate change and of evaluating appropriate adaptation</w:t>
            </w:r>
          </w:p>
        </w:tc>
      </w:tr>
    </w:tbl>
    <w:tbl>
      <w:tblPr>
        <w:tblStyle w:val="LightShading-Accent1"/>
        <w:tblW w:w="9747" w:type="dxa"/>
        <w:tblLook w:val="04A0" w:firstRow="1" w:lastRow="0" w:firstColumn="1" w:lastColumn="0" w:noHBand="0" w:noVBand="1"/>
      </w:tblPr>
      <w:tblGrid>
        <w:gridCol w:w="2235"/>
        <w:gridCol w:w="2504"/>
        <w:gridCol w:w="2504"/>
        <w:gridCol w:w="2504"/>
      </w:tblGrid>
      <w:tr w:rsidR="00F430B9" w:rsidRPr="00AE5697" w:rsidTr="00AD09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vAlign w:val="center"/>
          </w:tcPr>
          <w:p w:rsidR="00F430B9" w:rsidRPr="00AE5697" w:rsidRDefault="00F430B9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/>
                <w:i/>
                <w:color w:val="auto"/>
                <w:sz w:val="22"/>
                <w:szCs w:val="22"/>
                <w:lang w:val="en-GB"/>
              </w:rPr>
              <w:t>Impacts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Environmental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Social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Economic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0"/>
                <w:szCs w:val="20"/>
                <w:lang w:val="en-GB"/>
              </w:rPr>
              <w:sym w:font="Wingdings" w:char="F0FC"/>
            </w:r>
          </w:p>
        </w:tc>
      </w:tr>
      <w:tr w:rsidR="00F430B9" w:rsidRPr="003B757D" w:rsidTr="00F4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0110F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Climatic Scenarios. Baseline.</w:t>
            </w:r>
            <w:r w:rsidR="000110FB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 Experimentation; biophysical models</w:t>
            </w:r>
            <w:r w:rsidR="000602E5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. </w:t>
            </w:r>
          </w:p>
        </w:tc>
        <w:tc>
          <w:tcPr>
            <w:tcW w:w="2504" w:type="dxa"/>
          </w:tcPr>
          <w:p w:rsidR="00F430B9" w:rsidRPr="00AE5697" w:rsidRDefault="00F430B9" w:rsidP="000602E5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Socio-economic scenarios</w:t>
            </w:r>
            <w:r w:rsidR="000602E5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. Projections from: World Bank, UN, OECD, IMF.  </w:t>
            </w:r>
          </w:p>
        </w:tc>
        <w:tc>
          <w:tcPr>
            <w:tcW w:w="2504" w:type="dxa"/>
          </w:tcPr>
          <w:p w:rsidR="00F430B9" w:rsidRPr="00AE5697" w:rsidRDefault="000110FB" w:rsidP="000110FB">
            <w:pPr>
              <w:spacing w:before="80" w:after="8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 xml:space="preserve">Experimentation and projections. 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 xml:space="preserve">Socio-economic models (Linear Programming; Quadratic Programming; 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General Equilibrium</w:t>
            </w:r>
            <w:r w:rsidR="000602E5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GB"/>
              </w:rPr>
              <w:t>; Input-Output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>)</w:t>
            </w:r>
            <w:r w:rsidR="000602E5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0"/>
                <w:szCs w:val="20"/>
                <w:lang w:val="en-US"/>
              </w:rPr>
              <w:t xml:space="preserve"> applied at firm-level, sector-level, and economy-wide.</w:t>
            </w:r>
          </w:p>
        </w:tc>
      </w:tr>
      <w:tr w:rsidR="00F430B9" w:rsidRPr="00AE5697" w:rsidTr="00F43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  <w:tc>
          <w:tcPr>
            <w:tcW w:w="2504" w:type="dxa"/>
          </w:tcPr>
          <w:p w:rsidR="00F430B9" w:rsidRPr="00AE5697" w:rsidRDefault="00F430B9" w:rsidP="00AD09BD">
            <w:pPr>
              <w:spacing w:before="80" w:after="8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0"/>
                <w:szCs w:val="20"/>
                <w:lang w:val="en-GB"/>
              </w:rPr>
              <w:t>Direct - Indirect</w:t>
            </w:r>
          </w:p>
        </w:tc>
      </w:tr>
      <w:tr w:rsidR="00F430B9" w:rsidRPr="003B757D" w:rsidTr="00F43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</w:tcPr>
          <w:p w:rsidR="00F430B9" w:rsidRPr="00AE5697" w:rsidRDefault="00F430B9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AE5697" w:rsidRDefault="00F430B9" w:rsidP="00F430B9">
            <w:pPr>
              <w:spacing w:before="80" w:after="8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2504" w:type="dxa"/>
          </w:tcPr>
          <w:p w:rsidR="00F430B9" w:rsidRPr="003B757D" w:rsidRDefault="003B757D" w:rsidP="003B757D">
            <w:pPr>
              <w:spacing w:before="80" w:after="8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</w:pPr>
            <w:r w:rsidRPr="003B757D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 xml:space="preserve">Tangible </w:t>
            </w:r>
            <w:r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–</w:t>
            </w:r>
            <w:r w:rsidRPr="003B757D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 xml:space="preserve"> </w:t>
            </w:r>
            <w:r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 xml:space="preserve">some details about </w:t>
            </w:r>
            <w:bookmarkStart w:id="0" w:name="_GoBack"/>
            <w:bookmarkEnd w:id="0"/>
            <w:r w:rsidRPr="003B757D">
              <w:rPr>
                <w:rStyle w:val="Heading1Char"/>
                <w:rFonts w:ascii="Palatino Linotype" w:eastAsia="Calibri" w:hAnsi="Palatino Linotype" w:cs="Times New Roman"/>
                <w:b w:val="0"/>
                <w:i/>
                <w:color w:val="auto"/>
                <w:sz w:val="20"/>
                <w:szCs w:val="20"/>
                <w:lang w:val="en-GB"/>
              </w:rPr>
              <w:t>Intangible</w:t>
            </w:r>
          </w:p>
        </w:tc>
      </w:tr>
    </w:tbl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302BE" w:rsidRPr="00AE5697" w:rsidTr="00AE5697">
        <w:trPr>
          <w:trHeight w:val="626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Case Studies </w:t>
            </w:r>
          </w:p>
        </w:tc>
        <w:tc>
          <w:tcPr>
            <w:tcW w:w="7938" w:type="dxa"/>
          </w:tcPr>
          <w:p w:rsidR="00E302BE" w:rsidRPr="00AE5697" w:rsidRDefault="00771CDF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No </w:t>
            </w:r>
          </w:p>
        </w:tc>
      </w:tr>
      <w:tr w:rsidR="00E302BE" w:rsidRPr="003B757D" w:rsidTr="00AE5697">
        <w:trPr>
          <w:trHeight w:val="1236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Uncertainty</w:t>
            </w:r>
          </w:p>
        </w:tc>
        <w:tc>
          <w:tcPr>
            <w:tcW w:w="7938" w:type="dxa"/>
          </w:tcPr>
          <w:p w:rsidR="00AE5697" w:rsidRPr="00AE5697" w:rsidRDefault="00C6686B" w:rsidP="00AE5697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2"/>
                <w:szCs w:val="22"/>
                <w:lang w:val="en-GB"/>
              </w:rPr>
              <w:t>Uncertainty analysis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  <w:r w:rsidR="00AD09BD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addresses 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the uncertain </w:t>
            </w:r>
            <w:r w:rsidR="00AE5697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derived from errors and unknowns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. </w:t>
            </w:r>
            <w:r w:rsidRPr="00AE5697">
              <w:rPr>
                <w:rStyle w:val="Heading1Char"/>
                <w:rFonts w:ascii="Palatino Linotype" w:hAnsi="Palatino Linotype"/>
                <w:b w:val="0"/>
                <w:i/>
                <w:color w:val="auto"/>
                <w:sz w:val="22"/>
                <w:szCs w:val="22"/>
                <w:lang w:val="en-GB"/>
              </w:rPr>
              <w:t>Risk analysis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deals with uncertainty in terms of the risk of impact.</w:t>
            </w:r>
            <w:r w:rsidR="00AB670E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</w:tr>
      <w:tr w:rsidR="00E302BE" w:rsidRPr="00AE5697" w:rsidTr="00AE5697">
        <w:trPr>
          <w:trHeight w:val="688"/>
        </w:trPr>
        <w:tc>
          <w:tcPr>
            <w:tcW w:w="1809" w:type="dxa"/>
          </w:tcPr>
          <w:p w:rsidR="00E302BE" w:rsidRPr="00AE5697" w:rsidRDefault="00E302BE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 xml:space="preserve">Climate Change </w:t>
            </w:r>
          </w:p>
        </w:tc>
        <w:tc>
          <w:tcPr>
            <w:tcW w:w="7938" w:type="dxa"/>
          </w:tcPr>
          <w:p w:rsidR="00E302BE" w:rsidRPr="00AE5697" w:rsidRDefault="00AE5697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No. The guidance is not specifically aimed at the assessment of climate change patterns. It is specifically focused on impact assessment.</w:t>
            </w:r>
          </w:p>
        </w:tc>
      </w:tr>
      <w:tr w:rsidR="00C6686B" w:rsidRPr="00AE5697" w:rsidTr="00AE5697">
        <w:trPr>
          <w:trHeight w:val="689"/>
        </w:trPr>
        <w:tc>
          <w:tcPr>
            <w:tcW w:w="1809" w:type="dxa"/>
          </w:tcPr>
          <w:p w:rsidR="00C6686B" w:rsidRPr="00AE5697" w:rsidRDefault="00AD09BD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Flood</w:t>
            </w:r>
          </w:p>
        </w:tc>
        <w:tc>
          <w:tcPr>
            <w:tcW w:w="7938" w:type="dxa"/>
          </w:tcPr>
          <w:p w:rsidR="00C6686B" w:rsidRPr="00AE5697" w:rsidRDefault="00C6686B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No</w:t>
            </w:r>
            <w:r w:rsidR="00AD09BD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specific guidance</w:t>
            </w:r>
          </w:p>
        </w:tc>
      </w:tr>
      <w:tr w:rsidR="00C6686B" w:rsidRPr="003B757D" w:rsidTr="00AE5697">
        <w:trPr>
          <w:trHeight w:val="302"/>
        </w:trPr>
        <w:tc>
          <w:tcPr>
            <w:tcW w:w="1809" w:type="dxa"/>
          </w:tcPr>
          <w:p w:rsidR="00C6686B" w:rsidRPr="00AE5697" w:rsidRDefault="00C6686B" w:rsidP="00F430B9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Data need</w:t>
            </w:r>
          </w:p>
        </w:tc>
        <w:tc>
          <w:tcPr>
            <w:tcW w:w="7938" w:type="dxa"/>
          </w:tcPr>
          <w:p w:rsidR="00C6686B" w:rsidRPr="00AE5697" w:rsidRDefault="00AE5697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 guidance document specifies the basic characteristics of the data required for the assessment. Main issues are related to: type of data; time period; sources and format; quantity and quality; availability; and accessibility.</w:t>
            </w:r>
          </w:p>
        </w:tc>
      </w:tr>
      <w:tr w:rsidR="00E302BE" w:rsidRPr="003B757D" w:rsidTr="00AE5697">
        <w:trPr>
          <w:trHeight w:val="721"/>
        </w:trPr>
        <w:tc>
          <w:tcPr>
            <w:tcW w:w="1809" w:type="dxa"/>
          </w:tcPr>
          <w:p w:rsidR="00E302BE" w:rsidRPr="00AE5697" w:rsidRDefault="00AD09BD" w:rsidP="00AD09BD">
            <w:pPr>
              <w:spacing w:before="80" w:after="80" w:line="276" w:lineRule="auto"/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i/>
                <w:color w:val="auto"/>
                <w:sz w:val="22"/>
                <w:szCs w:val="22"/>
                <w:lang w:val="en-GB"/>
              </w:rPr>
              <w:t>Comments</w:t>
            </w:r>
          </w:p>
        </w:tc>
        <w:tc>
          <w:tcPr>
            <w:tcW w:w="7938" w:type="dxa"/>
          </w:tcPr>
          <w:p w:rsidR="00E302BE" w:rsidRPr="00AE5697" w:rsidRDefault="00AD09BD" w:rsidP="00AB670E">
            <w:pPr>
              <w:spacing w:before="80" w:after="80" w:line="276" w:lineRule="auto"/>
              <w:jc w:val="both"/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</w:pP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The</w:t>
            </w:r>
            <w:r w:rsidR="00E302BE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 Guid</w:t>
            </w:r>
            <w:r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ance is </w:t>
            </w:r>
            <w:r w:rsidR="00E302BE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 xml:space="preserve">currently being revised in the context of UNEP </w:t>
            </w:r>
            <w:r w:rsidR="00AB670E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- Programme of Research on Climate Change Vulnerability, Impacts and Adaptation (PROVIA) (</w:t>
            </w:r>
            <w:hyperlink r:id="rId6" w:history="1">
              <w:r w:rsidR="00AB670E" w:rsidRPr="00AE5697">
                <w:rPr>
                  <w:rStyle w:val="Hyperlink"/>
                  <w:rFonts w:ascii="Palatino Linotype" w:eastAsiaTheme="majorEastAsia" w:hAnsi="Palatino Linotype" w:cstheme="majorBidi"/>
                  <w:lang w:val="en-GB"/>
                </w:rPr>
                <w:t>http://www.unep.org/provia/</w:t>
              </w:r>
            </w:hyperlink>
            <w:r w:rsidR="00AB670E" w:rsidRPr="00AE5697">
              <w:rPr>
                <w:rStyle w:val="Heading1Char"/>
                <w:rFonts w:ascii="Palatino Linotype" w:hAnsi="Palatino Linotype"/>
                <w:b w:val="0"/>
                <w:color w:val="auto"/>
                <w:sz w:val="22"/>
                <w:szCs w:val="22"/>
                <w:lang w:val="en-GB"/>
              </w:rPr>
              <w:t>)</w:t>
            </w:r>
          </w:p>
        </w:tc>
      </w:tr>
    </w:tbl>
    <w:p w:rsidR="00475825" w:rsidRPr="00AE5697" w:rsidRDefault="00475825" w:rsidP="00C6686B">
      <w:pPr>
        <w:rPr>
          <w:rStyle w:val="Heading2Char"/>
          <w:color w:val="auto"/>
          <w:sz w:val="22"/>
          <w:szCs w:val="22"/>
          <w:lang w:val="en-GB"/>
        </w:rPr>
      </w:pPr>
    </w:p>
    <w:sectPr w:rsidR="00475825" w:rsidRPr="00AE5697" w:rsidSect="00F4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72"/>
    <w:rsid w:val="000110FB"/>
    <w:rsid w:val="0003398C"/>
    <w:rsid w:val="000602E5"/>
    <w:rsid w:val="000D0DE0"/>
    <w:rsid w:val="001F1FC6"/>
    <w:rsid w:val="002E01DD"/>
    <w:rsid w:val="003B757D"/>
    <w:rsid w:val="00475825"/>
    <w:rsid w:val="005E2677"/>
    <w:rsid w:val="00771CDF"/>
    <w:rsid w:val="007B373A"/>
    <w:rsid w:val="00862872"/>
    <w:rsid w:val="008748BE"/>
    <w:rsid w:val="00A47827"/>
    <w:rsid w:val="00AB670E"/>
    <w:rsid w:val="00AD09BD"/>
    <w:rsid w:val="00AE5697"/>
    <w:rsid w:val="00B925E9"/>
    <w:rsid w:val="00C6686B"/>
    <w:rsid w:val="00E302BE"/>
    <w:rsid w:val="00F430B9"/>
    <w:rsid w:val="00FD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8628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8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628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628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75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758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0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7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nep.org/prov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5A390-E3DE-4423-8C46-F1A1FE65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Farinosi</dc:creator>
  <cp:lastModifiedBy>Fabio Farinosi</cp:lastModifiedBy>
  <cp:revision>6</cp:revision>
  <dcterms:created xsi:type="dcterms:W3CDTF">2013-06-25T08:58:00Z</dcterms:created>
  <dcterms:modified xsi:type="dcterms:W3CDTF">2013-07-25T13:50:00Z</dcterms:modified>
</cp:coreProperties>
</file>