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AD09BD" w:rsidRPr="00045A91" w:rsidTr="00AD09BD">
        <w:tc>
          <w:tcPr>
            <w:tcW w:w="2235" w:type="dxa"/>
            <w:vMerge w:val="restart"/>
            <w:vAlign w:val="center"/>
          </w:tcPr>
          <w:p w:rsidR="00AD09BD" w:rsidRPr="00AD09BD" w:rsidRDefault="00AD09BD" w:rsidP="004D5D13">
            <w:pPr>
              <w:spacing w:before="80" w:after="80" w:line="276" w:lineRule="auto"/>
              <w:jc w:val="both"/>
              <w:rPr>
                <w:rStyle w:val="Heading1Char"/>
                <w:rFonts w:ascii="Palatino Linotype" w:hAnsi="Palatino Linotype"/>
                <w:i/>
                <w:color w:val="auto"/>
                <w:sz w:val="24"/>
                <w:szCs w:val="24"/>
                <w:lang w:val="en-GB"/>
              </w:rPr>
            </w:pPr>
            <w:r w:rsidRPr="00AD09BD">
              <w:rPr>
                <w:rStyle w:val="Heading1Char"/>
                <w:rFonts w:ascii="Palatino Linotype" w:hAnsi="Palatino Linotype"/>
                <w:i/>
                <w:color w:val="auto"/>
                <w:sz w:val="24"/>
                <w:szCs w:val="24"/>
                <w:lang w:val="en-GB"/>
              </w:rPr>
              <w:t>Reference</w:t>
            </w:r>
          </w:p>
        </w:tc>
        <w:tc>
          <w:tcPr>
            <w:tcW w:w="7512" w:type="dxa"/>
          </w:tcPr>
          <w:p w:rsidR="00AD09BD" w:rsidRPr="00AD09BD" w:rsidRDefault="00803ABE" w:rsidP="004D5D13">
            <w:pPr>
              <w:spacing w:before="80" w:after="80" w:line="276" w:lineRule="auto"/>
              <w:jc w:val="both"/>
              <w:rPr>
                <w:rStyle w:val="Heading1Char"/>
                <w:rFonts w:ascii="Palatino Linotype" w:hAnsi="Palatino Linotype"/>
                <w:color w:val="auto"/>
                <w:sz w:val="24"/>
                <w:szCs w:val="24"/>
                <w:lang w:val="en-GB"/>
              </w:rPr>
            </w:pPr>
            <w:r w:rsidRPr="00803ABE">
              <w:rPr>
                <w:rStyle w:val="Heading1Char"/>
                <w:rFonts w:ascii="Palatino Linotype" w:hAnsi="Palatino Linotype"/>
                <w:color w:val="auto"/>
                <w:sz w:val="24"/>
                <w:szCs w:val="24"/>
                <w:lang w:val="en-GB"/>
              </w:rPr>
              <w:t>Evaluating flood damages: guidance and recommendations on principles and methods</w:t>
            </w:r>
          </w:p>
        </w:tc>
      </w:tr>
      <w:tr w:rsidR="00AD09BD" w:rsidRPr="00803ABE" w:rsidTr="00F430B9">
        <w:tc>
          <w:tcPr>
            <w:tcW w:w="2235" w:type="dxa"/>
            <w:vMerge/>
          </w:tcPr>
          <w:p w:rsidR="00AD09BD" w:rsidRPr="00AD09BD" w:rsidRDefault="00AD09BD" w:rsidP="004D5D13">
            <w:pPr>
              <w:spacing w:before="80" w:after="80" w:line="276" w:lineRule="auto"/>
              <w:jc w:val="both"/>
              <w:rPr>
                <w:rStyle w:val="Heading1Char"/>
                <w:rFonts w:ascii="Palatino Linotype" w:hAnsi="Palatino Linotype"/>
                <w:i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</w:tcPr>
          <w:p w:rsidR="00AD09BD" w:rsidRPr="00AD09BD" w:rsidRDefault="00803ABE" w:rsidP="004D5D13">
            <w:pPr>
              <w:spacing w:before="80" w:after="80" w:line="276" w:lineRule="auto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</w:pPr>
            <w:proofErr w:type="spellStart"/>
            <w:r w:rsidRPr="00803ABE"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>FLOODsite</w:t>
            </w:r>
            <w:proofErr w:type="spellEnd"/>
            <w:r w:rsidRPr="00803ABE"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 xml:space="preserve"> consortium</w:t>
            </w:r>
          </w:p>
        </w:tc>
      </w:tr>
      <w:tr w:rsidR="00AD09BD" w:rsidRPr="00803ABE" w:rsidTr="00F430B9">
        <w:tc>
          <w:tcPr>
            <w:tcW w:w="2235" w:type="dxa"/>
            <w:vMerge/>
          </w:tcPr>
          <w:p w:rsidR="00AD09BD" w:rsidRPr="00AD09BD" w:rsidRDefault="00AD09BD" w:rsidP="004D5D13">
            <w:pPr>
              <w:spacing w:before="80" w:after="80" w:line="276" w:lineRule="auto"/>
              <w:jc w:val="both"/>
              <w:rPr>
                <w:rStyle w:val="Heading1Char"/>
                <w:rFonts w:ascii="Palatino Linotype" w:hAnsi="Palatino Linotype"/>
                <w:i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</w:tcPr>
          <w:p w:rsidR="00AD09BD" w:rsidRPr="00AD09BD" w:rsidRDefault="00803ABE" w:rsidP="004D5D13">
            <w:pPr>
              <w:spacing w:before="80" w:after="80" w:line="276" w:lineRule="auto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</w:pPr>
            <w:proofErr w:type="spellStart"/>
            <w:r w:rsidRPr="00803ABE"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>Messner</w:t>
            </w:r>
            <w:proofErr w:type="spellEnd"/>
            <w:r w:rsidRPr="00803ABE"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 xml:space="preserve"> et al, F. (2007). Evaluating flood damages: guidance and recommendations on principles and methods. </w:t>
            </w:r>
            <w:proofErr w:type="spellStart"/>
            <w:r w:rsidRPr="00803ABE"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>FLOODsite</w:t>
            </w:r>
            <w:proofErr w:type="spellEnd"/>
            <w:r w:rsidRPr="00803ABE"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 xml:space="preserve"> consortium, 2007. Integrated Flood Risk Analysis and Management Methodologies.</w:t>
            </w:r>
          </w:p>
        </w:tc>
      </w:tr>
      <w:tr w:rsidR="00F430B9" w:rsidRPr="00045A91" w:rsidTr="00F430B9">
        <w:tc>
          <w:tcPr>
            <w:tcW w:w="2235" w:type="dxa"/>
          </w:tcPr>
          <w:p w:rsidR="00F430B9" w:rsidRPr="00AD09BD" w:rsidRDefault="00F430B9" w:rsidP="004D5D13">
            <w:pPr>
              <w:spacing w:before="80" w:after="80" w:line="276" w:lineRule="auto"/>
              <w:jc w:val="both"/>
              <w:rPr>
                <w:rStyle w:val="Heading1Char"/>
                <w:rFonts w:ascii="Palatino Linotype" w:hAnsi="Palatino Linotype"/>
                <w:i/>
                <w:color w:val="auto"/>
                <w:sz w:val="24"/>
                <w:szCs w:val="24"/>
                <w:lang w:val="en-GB"/>
              </w:rPr>
            </w:pPr>
            <w:r w:rsidRPr="00AD09BD">
              <w:rPr>
                <w:rStyle w:val="Heading1Char"/>
                <w:rFonts w:ascii="Palatino Linotype" w:hAnsi="Palatino Linotype"/>
                <w:i/>
                <w:color w:val="auto"/>
                <w:sz w:val="24"/>
                <w:szCs w:val="24"/>
                <w:lang w:val="en-GB"/>
              </w:rPr>
              <w:t>Scope</w:t>
            </w:r>
          </w:p>
        </w:tc>
        <w:tc>
          <w:tcPr>
            <w:tcW w:w="7512" w:type="dxa"/>
          </w:tcPr>
          <w:p w:rsidR="00F430B9" w:rsidRPr="004D5D13" w:rsidRDefault="00310F08" w:rsidP="00310F08">
            <w:pPr>
              <w:autoSpaceDE w:val="0"/>
              <w:autoSpaceDN w:val="0"/>
              <w:adjustRightInd w:val="0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</w:pPr>
            <w:r w:rsidRPr="00310F08"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>The major purpose of these guidelines is to give guidance for practitioners of governmental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 xml:space="preserve"> </w:t>
            </w:r>
            <w:r w:rsidRPr="00310F08"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>authorities and executing bodies dealing with ex-ante flood damage evaluation in order to appraise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 xml:space="preserve"> </w:t>
            </w:r>
            <w:r w:rsidRPr="00310F08"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>public flood defence projects or strategies on different spatial scales.</w:t>
            </w:r>
          </w:p>
        </w:tc>
      </w:tr>
    </w:tbl>
    <w:tbl>
      <w:tblPr>
        <w:tblStyle w:val="LightShading-Accent1"/>
        <w:tblW w:w="9747" w:type="dxa"/>
        <w:tblLook w:val="04A0" w:firstRow="1" w:lastRow="0" w:firstColumn="1" w:lastColumn="0" w:noHBand="0" w:noVBand="1"/>
      </w:tblPr>
      <w:tblGrid>
        <w:gridCol w:w="2235"/>
        <w:gridCol w:w="2504"/>
        <w:gridCol w:w="2504"/>
        <w:gridCol w:w="2504"/>
      </w:tblGrid>
      <w:tr w:rsidR="00F430B9" w:rsidRPr="00AE5697" w:rsidTr="00AD0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vAlign w:val="center"/>
          </w:tcPr>
          <w:p w:rsidR="00F430B9" w:rsidRPr="00AE5697" w:rsidRDefault="00F430B9" w:rsidP="00AD09BD">
            <w:pPr>
              <w:spacing w:before="80" w:after="80" w:line="276" w:lineRule="auto"/>
              <w:rPr>
                <w:rStyle w:val="Heading1Char"/>
                <w:rFonts w:ascii="Palatino Linotype" w:hAnsi="Palatino Linotype"/>
                <w:b/>
                <w:i/>
                <w:color w:val="auto"/>
                <w:sz w:val="22"/>
                <w:szCs w:val="22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b/>
                <w:i/>
                <w:color w:val="auto"/>
                <w:sz w:val="22"/>
                <w:szCs w:val="22"/>
                <w:lang w:val="en-GB"/>
              </w:rPr>
              <w:t>Impacts</w:t>
            </w:r>
          </w:p>
        </w:tc>
        <w:tc>
          <w:tcPr>
            <w:tcW w:w="2504" w:type="dxa"/>
          </w:tcPr>
          <w:p w:rsidR="00F430B9" w:rsidRPr="00AE5697" w:rsidRDefault="00F430B9" w:rsidP="00AD09BD">
            <w:pPr>
              <w:spacing w:before="80" w:after="8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  <w:t>Environmental</w:t>
            </w:r>
          </w:p>
        </w:tc>
        <w:tc>
          <w:tcPr>
            <w:tcW w:w="2504" w:type="dxa"/>
          </w:tcPr>
          <w:p w:rsidR="00F430B9" w:rsidRPr="00AE5697" w:rsidRDefault="00F430B9" w:rsidP="00AD09BD">
            <w:pPr>
              <w:spacing w:before="80" w:after="8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  <w:t>Social</w:t>
            </w:r>
          </w:p>
        </w:tc>
        <w:tc>
          <w:tcPr>
            <w:tcW w:w="2504" w:type="dxa"/>
          </w:tcPr>
          <w:p w:rsidR="00F430B9" w:rsidRPr="00AE5697" w:rsidRDefault="00F430B9" w:rsidP="00AD09BD">
            <w:pPr>
              <w:spacing w:before="80" w:after="8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  <w:t>Economic</w:t>
            </w:r>
          </w:p>
        </w:tc>
      </w:tr>
      <w:tr w:rsidR="00F430B9" w:rsidRPr="00AE5697" w:rsidTr="00F43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F430B9" w:rsidRPr="00AE5697" w:rsidRDefault="00F430B9" w:rsidP="00F430B9">
            <w:pPr>
              <w:spacing w:before="80" w:after="80" w:line="276" w:lineRule="auto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504" w:type="dxa"/>
          </w:tcPr>
          <w:p w:rsidR="00F430B9" w:rsidRPr="00AE5697" w:rsidRDefault="00F430B9" w:rsidP="00F430B9">
            <w:pPr>
              <w:spacing w:before="80" w:after="8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eading1Char"/>
                <w:rFonts w:ascii="Palatino Linotype" w:hAnsi="Palatino Linotype"/>
                <w:i/>
                <w:color w:val="auto"/>
                <w:sz w:val="20"/>
                <w:szCs w:val="20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i/>
                <w:color w:val="auto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2504" w:type="dxa"/>
          </w:tcPr>
          <w:p w:rsidR="00F430B9" w:rsidRPr="00AE5697" w:rsidRDefault="00F430B9" w:rsidP="00F430B9">
            <w:pPr>
              <w:spacing w:before="80" w:after="8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eading1Char"/>
                <w:rFonts w:ascii="Palatino Linotype" w:hAnsi="Palatino Linotype"/>
                <w:i/>
                <w:color w:val="auto"/>
                <w:sz w:val="20"/>
                <w:szCs w:val="20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i/>
                <w:color w:val="auto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2504" w:type="dxa"/>
          </w:tcPr>
          <w:p w:rsidR="00F430B9" w:rsidRPr="00AE5697" w:rsidRDefault="00F430B9" w:rsidP="00F430B9">
            <w:pPr>
              <w:spacing w:before="80" w:after="8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eading1Char"/>
                <w:rFonts w:ascii="Palatino Linotype" w:hAnsi="Palatino Linotype"/>
                <w:i/>
                <w:color w:val="auto"/>
                <w:sz w:val="20"/>
                <w:szCs w:val="20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i/>
                <w:color w:val="auto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F430B9" w:rsidRPr="002D50EE" w:rsidTr="002B3DA2">
        <w:trPr>
          <w:trHeight w:val="1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F430B9" w:rsidRPr="00AE5697" w:rsidRDefault="00F430B9" w:rsidP="00F430B9">
            <w:pPr>
              <w:spacing w:before="80" w:after="80" w:line="276" w:lineRule="auto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504" w:type="dxa"/>
          </w:tcPr>
          <w:p w:rsidR="00F430B9" w:rsidRDefault="002D50EE" w:rsidP="002D50EE">
            <w:pPr>
              <w:spacing w:before="8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US"/>
              </w:rPr>
            </w:pPr>
            <w:r w:rsidRPr="002D50EE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US"/>
              </w:rPr>
              <w:t>Contingent valuation and cost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US"/>
              </w:rPr>
              <w:t>-</w:t>
            </w:r>
            <w:r w:rsidRPr="002D50EE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US"/>
              </w:rPr>
              <w:t>benefit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2D50EE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US"/>
              </w:rPr>
              <w:t>analysis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US"/>
              </w:rPr>
              <w:t>.</w:t>
            </w:r>
          </w:p>
          <w:p w:rsidR="002D50EE" w:rsidRPr="00AE5697" w:rsidRDefault="002619E0" w:rsidP="002D50EE">
            <w:pPr>
              <w:spacing w:before="8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</w:pPr>
            <w:r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>Introduction of measures of</w:t>
            </w:r>
            <w:r w:rsidR="002D50EE" w:rsidRPr="002D50EE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 xml:space="preserve"> non-use values and welfare economics</w:t>
            </w:r>
            <w:r w:rsidR="002D50EE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2504" w:type="dxa"/>
          </w:tcPr>
          <w:p w:rsidR="00F430B9" w:rsidRPr="00AE5697" w:rsidRDefault="002619E0" w:rsidP="000602E5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</w:pPr>
            <w:r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>Qualitative and quantitative vulnerability assessment; monetary evaluation (expressed preference and inferential approaches).</w:t>
            </w:r>
          </w:p>
        </w:tc>
        <w:tc>
          <w:tcPr>
            <w:tcW w:w="2504" w:type="dxa"/>
          </w:tcPr>
          <w:p w:rsidR="00F430B9" w:rsidRPr="006265A9" w:rsidRDefault="002D50EE" w:rsidP="002619E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</w:pPr>
            <w:r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>Di</w:t>
            </w:r>
            <w:r w:rsidR="002619E0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 xml:space="preserve">rect impacts assessed through 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>geo-referenced analysis of flood extent</w:t>
            </w:r>
            <w:r w:rsidR="002619E0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 xml:space="preserve">, land use and damage functions. Indirect impacts assessment at micro, </w:t>
            </w:r>
            <w:proofErr w:type="spellStart"/>
            <w:r w:rsidR="002619E0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>meso</w:t>
            </w:r>
            <w:proofErr w:type="spellEnd"/>
            <w:r w:rsidR="002619E0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 xml:space="preserve"> and macro scale.</w:t>
            </w:r>
          </w:p>
        </w:tc>
      </w:tr>
      <w:tr w:rsidR="00F430B9" w:rsidRPr="00AE5697" w:rsidTr="00F43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F430B9" w:rsidRPr="00AE5697" w:rsidRDefault="00F430B9" w:rsidP="00F430B9">
            <w:pPr>
              <w:spacing w:before="80" w:after="80" w:line="276" w:lineRule="auto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04" w:type="dxa"/>
          </w:tcPr>
          <w:p w:rsidR="00F430B9" w:rsidRPr="00045A91" w:rsidRDefault="00F430B9" w:rsidP="00AD09BD">
            <w:pPr>
              <w:spacing w:before="80" w:after="8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eading1Char"/>
                <w:rFonts w:ascii="Palatino Linotype" w:eastAsia="Calibri" w:hAnsi="Palatino Linotype" w:cs="Times New Roman"/>
                <w:b w:val="0"/>
                <w:i/>
                <w:color w:val="auto"/>
                <w:sz w:val="20"/>
                <w:szCs w:val="20"/>
                <w:lang w:val="en-GB"/>
              </w:rPr>
            </w:pPr>
            <w:r w:rsidRPr="00045A91">
              <w:rPr>
                <w:rStyle w:val="Heading1Char"/>
                <w:rFonts w:ascii="Palatino Linotype" w:eastAsia="Calibri" w:hAnsi="Palatino Linotype" w:cs="Times New Roman"/>
                <w:b w:val="0"/>
                <w:i/>
                <w:color w:val="auto"/>
                <w:sz w:val="20"/>
                <w:szCs w:val="20"/>
                <w:lang w:val="en-GB"/>
              </w:rPr>
              <w:t>Direct - Indirect</w:t>
            </w:r>
          </w:p>
        </w:tc>
        <w:tc>
          <w:tcPr>
            <w:tcW w:w="2504" w:type="dxa"/>
          </w:tcPr>
          <w:p w:rsidR="00F430B9" w:rsidRPr="00045A91" w:rsidRDefault="00F430B9" w:rsidP="00AD09BD">
            <w:pPr>
              <w:spacing w:before="80" w:after="8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eading1Char"/>
                <w:rFonts w:ascii="Palatino Linotype" w:eastAsia="Calibri" w:hAnsi="Palatino Linotype" w:cs="Times New Roman"/>
                <w:b w:val="0"/>
                <w:i/>
                <w:color w:val="auto"/>
                <w:sz w:val="20"/>
                <w:szCs w:val="20"/>
                <w:lang w:val="en-GB"/>
              </w:rPr>
            </w:pPr>
            <w:r w:rsidRPr="00045A91">
              <w:rPr>
                <w:rStyle w:val="Heading1Char"/>
                <w:rFonts w:ascii="Palatino Linotype" w:eastAsia="Calibri" w:hAnsi="Palatino Linotype" w:cs="Times New Roman"/>
                <w:b w:val="0"/>
                <w:i/>
                <w:color w:val="auto"/>
                <w:sz w:val="20"/>
                <w:szCs w:val="20"/>
                <w:lang w:val="en-GB"/>
              </w:rPr>
              <w:t>Direct - Indirect</w:t>
            </w:r>
          </w:p>
        </w:tc>
        <w:tc>
          <w:tcPr>
            <w:tcW w:w="2504" w:type="dxa"/>
          </w:tcPr>
          <w:p w:rsidR="00F430B9" w:rsidRPr="00045A91" w:rsidRDefault="00F430B9" w:rsidP="00AD09BD">
            <w:pPr>
              <w:spacing w:before="80" w:after="8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eading1Char"/>
                <w:rFonts w:ascii="Palatino Linotype" w:eastAsia="Calibri" w:hAnsi="Palatino Linotype" w:cs="Times New Roman"/>
                <w:b w:val="0"/>
                <w:i/>
                <w:color w:val="auto"/>
                <w:sz w:val="20"/>
                <w:szCs w:val="20"/>
                <w:lang w:val="en-GB"/>
              </w:rPr>
            </w:pPr>
            <w:r w:rsidRPr="00045A91">
              <w:rPr>
                <w:rStyle w:val="Heading1Char"/>
                <w:rFonts w:ascii="Palatino Linotype" w:eastAsia="Calibri" w:hAnsi="Palatino Linotype" w:cs="Times New Roman"/>
                <w:b w:val="0"/>
                <w:i/>
                <w:color w:val="auto"/>
                <w:sz w:val="20"/>
                <w:szCs w:val="20"/>
                <w:lang w:val="en-GB"/>
              </w:rPr>
              <w:t>Direct - Indirect</w:t>
            </w:r>
          </w:p>
        </w:tc>
      </w:tr>
      <w:tr w:rsidR="00045A91" w:rsidRPr="00AE5697" w:rsidTr="00F43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045A91" w:rsidRPr="00AE5697" w:rsidRDefault="00045A91" w:rsidP="00F430B9">
            <w:pPr>
              <w:spacing w:before="80" w:after="80" w:line="276" w:lineRule="auto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504" w:type="dxa"/>
          </w:tcPr>
          <w:p w:rsidR="00045A91" w:rsidRPr="00045A91" w:rsidRDefault="00045A91" w:rsidP="0086771A">
            <w:pPr>
              <w:spacing w:before="80" w:after="8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="Palatino Linotype" w:eastAsia="Calibri" w:hAnsi="Palatino Linotype" w:cs="Times New Roman"/>
                <w:i/>
                <w:color w:val="auto"/>
                <w:sz w:val="20"/>
                <w:szCs w:val="20"/>
                <w:lang w:val="en-GB"/>
              </w:rPr>
            </w:pPr>
            <w:r w:rsidRPr="00045A91">
              <w:rPr>
                <w:rStyle w:val="Heading1Char"/>
                <w:rFonts w:ascii="Palatino Linotype" w:eastAsia="Calibri" w:hAnsi="Palatino Linotype" w:cs="Times New Roman"/>
                <w:b w:val="0"/>
                <w:i/>
                <w:color w:val="auto"/>
                <w:sz w:val="20"/>
                <w:szCs w:val="20"/>
                <w:lang w:val="en-GB"/>
              </w:rPr>
              <w:t>Tangible</w:t>
            </w:r>
          </w:p>
        </w:tc>
        <w:tc>
          <w:tcPr>
            <w:tcW w:w="2504" w:type="dxa"/>
          </w:tcPr>
          <w:p w:rsidR="00045A91" w:rsidRPr="00045A91" w:rsidRDefault="00045A91" w:rsidP="00045A91">
            <w:pPr>
              <w:spacing w:before="80" w:after="8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="Palatino Linotype" w:eastAsia="Calibri" w:hAnsi="Palatino Linotype" w:cs="Times New Roman"/>
                <w:i/>
                <w:color w:val="auto"/>
                <w:sz w:val="20"/>
                <w:szCs w:val="20"/>
                <w:lang w:val="en-GB"/>
              </w:rPr>
            </w:pPr>
            <w:r w:rsidRPr="00045A91">
              <w:rPr>
                <w:rStyle w:val="Heading1Char"/>
                <w:rFonts w:ascii="Palatino Linotype" w:eastAsia="Calibri" w:hAnsi="Palatino Linotype" w:cs="Times New Roman"/>
                <w:b w:val="0"/>
                <w:i/>
                <w:color w:val="auto"/>
                <w:sz w:val="20"/>
                <w:szCs w:val="20"/>
                <w:lang w:val="en-GB"/>
              </w:rPr>
              <w:t>Tangible - Intangible</w:t>
            </w:r>
          </w:p>
        </w:tc>
        <w:tc>
          <w:tcPr>
            <w:tcW w:w="2504" w:type="dxa"/>
          </w:tcPr>
          <w:p w:rsidR="00045A91" w:rsidRPr="00045A91" w:rsidRDefault="00045A91" w:rsidP="0086771A">
            <w:pPr>
              <w:spacing w:before="80" w:after="8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="Palatino Linotype" w:eastAsia="Calibri" w:hAnsi="Palatino Linotype" w:cs="Times New Roman"/>
                <w:i/>
                <w:color w:val="auto"/>
                <w:sz w:val="20"/>
                <w:szCs w:val="20"/>
                <w:lang w:val="en-GB"/>
              </w:rPr>
            </w:pPr>
            <w:r w:rsidRPr="00045A91">
              <w:rPr>
                <w:rStyle w:val="Heading1Char"/>
                <w:rFonts w:ascii="Palatino Linotype" w:eastAsia="Calibri" w:hAnsi="Palatino Linotype" w:cs="Times New Roman"/>
                <w:b w:val="0"/>
                <w:i/>
                <w:color w:val="auto"/>
                <w:sz w:val="20"/>
                <w:szCs w:val="20"/>
                <w:lang w:val="en-GB"/>
              </w:rPr>
              <w:t>Tangible</w:t>
            </w:r>
            <w:bookmarkStart w:id="0" w:name="_GoBack"/>
            <w:bookmarkEnd w:id="0"/>
          </w:p>
        </w:tc>
      </w:tr>
    </w:tbl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E302BE" w:rsidRPr="00AE5697" w:rsidTr="00AE5697">
        <w:trPr>
          <w:trHeight w:val="626"/>
        </w:trPr>
        <w:tc>
          <w:tcPr>
            <w:tcW w:w="1809" w:type="dxa"/>
          </w:tcPr>
          <w:p w:rsidR="00E302BE" w:rsidRPr="00AE5697" w:rsidRDefault="00E302BE" w:rsidP="00AD09BD">
            <w:pPr>
              <w:spacing w:before="80" w:after="80" w:line="276" w:lineRule="auto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  <w:t xml:space="preserve">Case Studies </w:t>
            </w:r>
          </w:p>
        </w:tc>
        <w:tc>
          <w:tcPr>
            <w:tcW w:w="7938" w:type="dxa"/>
          </w:tcPr>
          <w:p w:rsidR="00E302BE" w:rsidRPr="00AE5697" w:rsidRDefault="00771CDF" w:rsidP="00AB670E">
            <w:pPr>
              <w:spacing w:before="80" w:after="80" w:line="276" w:lineRule="auto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No </w:t>
            </w:r>
          </w:p>
        </w:tc>
      </w:tr>
      <w:tr w:rsidR="00E302BE" w:rsidRPr="00045A91" w:rsidTr="006265A9">
        <w:trPr>
          <w:trHeight w:val="647"/>
        </w:trPr>
        <w:tc>
          <w:tcPr>
            <w:tcW w:w="1809" w:type="dxa"/>
          </w:tcPr>
          <w:p w:rsidR="00E302BE" w:rsidRPr="00AE5697" w:rsidRDefault="00E302BE" w:rsidP="00AD09BD">
            <w:pPr>
              <w:spacing w:before="80" w:after="80" w:line="276" w:lineRule="auto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  <w:t>Uncertainty</w:t>
            </w:r>
          </w:p>
        </w:tc>
        <w:tc>
          <w:tcPr>
            <w:tcW w:w="7938" w:type="dxa"/>
          </w:tcPr>
          <w:p w:rsidR="00AE5697" w:rsidRPr="006A5C6E" w:rsidRDefault="006A5C6E" w:rsidP="00C0376C">
            <w:pPr>
              <w:autoSpaceDE w:val="0"/>
              <w:autoSpaceDN w:val="0"/>
              <w:adjustRightInd w:val="0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</w:pPr>
            <w:r w:rsidRPr="006A5C6E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The assessment of flood damages imports uncertainties from the 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c</w:t>
            </w:r>
            <w:r w:rsidRPr="006A5C6E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limatic/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06A5C6E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hydrological/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06A5C6E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hydraulic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06A5C6E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domain, adds some of its own uncertainties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 (knowledge uncertainty)</w:t>
            </w:r>
            <w:r w:rsidRPr="006A5C6E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, and 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exports</w:t>
            </w:r>
            <w:r w:rsidRPr="006A5C6E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 the resulting composite uncertainties into the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06A5C6E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decision domain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 (decision uncertainty)</w:t>
            </w:r>
            <w:r w:rsidRPr="006A5C6E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.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 The two categories of uncertainty are discussed and treated wit</w:t>
            </w:r>
            <w:r w:rsidR="00C0376C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h methodologies provided by the detailed literature analysed.</w:t>
            </w:r>
          </w:p>
        </w:tc>
      </w:tr>
      <w:tr w:rsidR="00E302BE" w:rsidRPr="00AE5697" w:rsidTr="00AE5697">
        <w:trPr>
          <w:trHeight w:val="688"/>
        </w:trPr>
        <w:tc>
          <w:tcPr>
            <w:tcW w:w="1809" w:type="dxa"/>
          </w:tcPr>
          <w:p w:rsidR="00E302BE" w:rsidRPr="00AE5697" w:rsidRDefault="00E302BE" w:rsidP="00AD09BD">
            <w:pPr>
              <w:spacing w:before="80" w:after="80" w:line="276" w:lineRule="auto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  <w:t xml:space="preserve">Climate Change </w:t>
            </w:r>
          </w:p>
        </w:tc>
        <w:tc>
          <w:tcPr>
            <w:tcW w:w="7938" w:type="dxa"/>
          </w:tcPr>
          <w:p w:rsidR="00E302BE" w:rsidRPr="00AE5697" w:rsidRDefault="00AE5697" w:rsidP="00AB670E">
            <w:pPr>
              <w:spacing w:before="80" w:after="80" w:line="276" w:lineRule="auto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No. The guidance is not specifically aimed at the assessment of climate change patterns. It is specifically focused on</w:t>
            </w:r>
            <w:r w:rsidR="00C0376C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 flood</w:t>
            </w:r>
            <w:r w:rsidRPr="00AE5697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 impact assessment.</w:t>
            </w:r>
          </w:p>
        </w:tc>
      </w:tr>
      <w:tr w:rsidR="00C6686B" w:rsidRPr="00803ABE" w:rsidTr="00AE5697">
        <w:trPr>
          <w:trHeight w:val="689"/>
        </w:trPr>
        <w:tc>
          <w:tcPr>
            <w:tcW w:w="1809" w:type="dxa"/>
          </w:tcPr>
          <w:p w:rsidR="00C6686B" w:rsidRPr="00AE5697" w:rsidRDefault="00AD09BD" w:rsidP="00F430B9">
            <w:pPr>
              <w:spacing w:before="80" w:after="80" w:line="276" w:lineRule="auto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  <w:t>Flood</w:t>
            </w:r>
          </w:p>
        </w:tc>
        <w:tc>
          <w:tcPr>
            <w:tcW w:w="7938" w:type="dxa"/>
          </w:tcPr>
          <w:p w:rsidR="00C6686B" w:rsidRPr="00AE5697" w:rsidRDefault="00C0376C" w:rsidP="00AB670E">
            <w:pPr>
              <w:spacing w:before="80" w:after="80" w:line="276" w:lineRule="auto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</w:pP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Yes</w:t>
            </w:r>
          </w:p>
        </w:tc>
      </w:tr>
      <w:tr w:rsidR="00C6686B" w:rsidRPr="00045A91" w:rsidTr="00AE5697">
        <w:trPr>
          <w:trHeight w:val="302"/>
        </w:trPr>
        <w:tc>
          <w:tcPr>
            <w:tcW w:w="1809" w:type="dxa"/>
          </w:tcPr>
          <w:p w:rsidR="00C6686B" w:rsidRPr="00AE5697" w:rsidRDefault="00C6686B" w:rsidP="00F430B9">
            <w:pPr>
              <w:spacing w:before="80" w:after="80" w:line="276" w:lineRule="auto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  <w:t>Data need</w:t>
            </w:r>
          </w:p>
        </w:tc>
        <w:tc>
          <w:tcPr>
            <w:tcW w:w="7938" w:type="dxa"/>
          </w:tcPr>
          <w:p w:rsidR="00C6686B" w:rsidRPr="002D50EE" w:rsidRDefault="002D50EE" w:rsidP="006265A9">
            <w:pPr>
              <w:spacing w:before="80" w:after="80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</w:pPr>
            <w:r w:rsidRPr="002D50EE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Inundation characteristics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; land use data; damage function</w:t>
            </w:r>
            <w:r w:rsidR="00C0376C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; social economic and environmental variables.</w:t>
            </w:r>
          </w:p>
        </w:tc>
      </w:tr>
      <w:tr w:rsidR="00E302BE" w:rsidRPr="00AE5697" w:rsidTr="00AE5697">
        <w:trPr>
          <w:trHeight w:val="721"/>
        </w:trPr>
        <w:tc>
          <w:tcPr>
            <w:tcW w:w="1809" w:type="dxa"/>
          </w:tcPr>
          <w:p w:rsidR="00E302BE" w:rsidRPr="00AE5697" w:rsidRDefault="00AD09BD" w:rsidP="00AD09BD">
            <w:pPr>
              <w:spacing w:before="80" w:after="80" w:line="276" w:lineRule="auto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  <w:t>Comments</w:t>
            </w:r>
          </w:p>
        </w:tc>
        <w:tc>
          <w:tcPr>
            <w:tcW w:w="7938" w:type="dxa"/>
          </w:tcPr>
          <w:p w:rsidR="00E302BE" w:rsidRPr="00AE5697" w:rsidRDefault="00E302BE" w:rsidP="00AB670E">
            <w:pPr>
              <w:spacing w:before="80" w:after="80" w:line="276" w:lineRule="auto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</w:pPr>
          </w:p>
        </w:tc>
      </w:tr>
    </w:tbl>
    <w:p w:rsidR="00475825" w:rsidRPr="00AE5697" w:rsidRDefault="00475825" w:rsidP="00C6686B">
      <w:pPr>
        <w:rPr>
          <w:rStyle w:val="Heading2Char"/>
          <w:color w:val="auto"/>
          <w:sz w:val="22"/>
          <w:szCs w:val="22"/>
          <w:lang w:val="en-GB"/>
        </w:rPr>
      </w:pPr>
    </w:p>
    <w:sectPr w:rsidR="00475825" w:rsidRPr="00AE5697" w:rsidSect="00F430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72"/>
    <w:rsid w:val="000110FB"/>
    <w:rsid w:val="0003398C"/>
    <w:rsid w:val="00045A91"/>
    <w:rsid w:val="000602E5"/>
    <w:rsid w:val="000D0DE0"/>
    <w:rsid w:val="001F1FC6"/>
    <w:rsid w:val="002619E0"/>
    <w:rsid w:val="002B3DA2"/>
    <w:rsid w:val="002D50EE"/>
    <w:rsid w:val="002E01DD"/>
    <w:rsid w:val="00310F08"/>
    <w:rsid w:val="00475825"/>
    <w:rsid w:val="00476459"/>
    <w:rsid w:val="004D5D13"/>
    <w:rsid w:val="005E2677"/>
    <w:rsid w:val="006265A9"/>
    <w:rsid w:val="006A5C6E"/>
    <w:rsid w:val="00771CDF"/>
    <w:rsid w:val="007B373A"/>
    <w:rsid w:val="00803ABE"/>
    <w:rsid w:val="00862872"/>
    <w:rsid w:val="0086771A"/>
    <w:rsid w:val="008748BE"/>
    <w:rsid w:val="00A47827"/>
    <w:rsid w:val="00AB670E"/>
    <w:rsid w:val="00AD09BD"/>
    <w:rsid w:val="00AE5697"/>
    <w:rsid w:val="00B925E9"/>
    <w:rsid w:val="00C0376C"/>
    <w:rsid w:val="00C34433"/>
    <w:rsid w:val="00C6686B"/>
    <w:rsid w:val="00DA53F8"/>
    <w:rsid w:val="00E302BE"/>
    <w:rsid w:val="00E934AB"/>
    <w:rsid w:val="00F430B9"/>
    <w:rsid w:val="00FD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8628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8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628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28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75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4758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D0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9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9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9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9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67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8628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8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628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28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75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4758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D0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9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9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9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9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67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0F56E-5DBD-4187-AACB-960E224C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Farinosi</dc:creator>
  <cp:lastModifiedBy>Fabio Farinosi</cp:lastModifiedBy>
  <cp:revision>6</cp:revision>
  <dcterms:created xsi:type="dcterms:W3CDTF">2013-06-25T16:36:00Z</dcterms:created>
  <dcterms:modified xsi:type="dcterms:W3CDTF">2013-07-25T14:31:00Z</dcterms:modified>
</cp:coreProperties>
</file>