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2211"/>
        <w:gridCol w:w="2476"/>
        <w:gridCol w:w="2484"/>
        <w:gridCol w:w="2579"/>
        <w:gridCol w:w="104"/>
      </w:tblGrid>
      <w:tr w:rsidR="009D0AAC" w:rsidRPr="00181996" w:rsidTr="00606E29">
        <w:tc>
          <w:tcPr>
            <w:tcW w:w="2142" w:type="dxa"/>
            <w:vMerge w:val="restart"/>
            <w:vAlign w:val="center"/>
          </w:tcPr>
          <w:p w:rsidR="009D0AAC" w:rsidRPr="00181996" w:rsidRDefault="009D0AAC" w:rsidP="00181996">
            <w:pPr>
              <w:spacing w:before="80" w:after="80"/>
              <w:jc w:val="both"/>
              <w:rPr>
                <w:rStyle w:val="Heading1Char"/>
                <w:rFonts w:ascii="Palatino Linotype" w:hAnsi="Palatino Linotype"/>
                <w:i/>
                <w:color w:val="auto"/>
                <w:sz w:val="24"/>
                <w:szCs w:val="24"/>
                <w:lang w:val="en-GB"/>
              </w:rPr>
            </w:pPr>
            <w:r w:rsidRPr="00181996">
              <w:rPr>
                <w:rStyle w:val="Heading1Char"/>
                <w:rFonts w:ascii="Palatino Linotype" w:hAnsi="Palatino Linotype"/>
                <w:i/>
                <w:color w:val="auto"/>
                <w:sz w:val="24"/>
                <w:szCs w:val="24"/>
                <w:lang w:val="en-GB"/>
              </w:rPr>
              <w:t>Reference</w:t>
            </w:r>
          </w:p>
        </w:tc>
        <w:tc>
          <w:tcPr>
            <w:tcW w:w="7712" w:type="dxa"/>
            <w:gridSpan w:val="4"/>
          </w:tcPr>
          <w:p w:rsidR="009D0AAC" w:rsidRPr="00181996" w:rsidRDefault="009D0AAC" w:rsidP="00181996">
            <w:pPr>
              <w:spacing w:before="80" w:after="80"/>
              <w:jc w:val="both"/>
              <w:rPr>
                <w:rStyle w:val="Heading1Char"/>
                <w:rFonts w:ascii="Palatino Linotype" w:hAnsi="Palatino Linotype"/>
                <w:color w:val="auto"/>
                <w:sz w:val="24"/>
                <w:szCs w:val="24"/>
                <w:lang w:val="en-GB"/>
              </w:rPr>
            </w:pPr>
            <w:r>
              <w:rPr>
                <w:rStyle w:val="Heading1Char"/>
                <w:rFonts w:ascii="Palatino Linotype" w:hAnsi="Palatino Linotype"/>
                <w:color w:val="auto"/>
                <w:sz w:val="24"/>
                <w:szCs w:val="24"/>
                <w:lang w:val="en-GB"/>
              </w:rPr>
              <w:t>PREEMPT Guidance Document</w:t>
            </w:r>
          </w:p>
        </w:tc>
      </w:tr>
      <w:tr w:rsidR="009D0AAC" w:rsidRPr="00606E29" w:rsidTr="00181996">
        <w:tc>
          <w:tcPr>
            <w:tcW w:w="2235" w:type="dxa"/>
            <w:vMerge/>
          </w:tcPr>
          <w:p w:rsidR="009D0AAC" w:rsidRPr="00181996" w:rsidRDefault="009D0AAC" w:rsidP="00181996">
            <w:pPr>
              <w:spacing w:before="80" w:after="80"/>
              <w:jc w:val="both"/>
              <w:rPr>
                <w:rStyle w:val="Heading1Char"/>
                <w:rFonts w:ascii="Palatino Linotype" w:hAnsi="Palatino Linotype"/>
                <w:i/>
                <w:color w:val="auto"/>
                <w:sz w:val="24"/>
                <w:szCs w:val="24"/>
                <w:lang w:val="en-GB"/>
              </w:rPr>
            </w:pPr>
          </w:p>
        </w:tc>
        <w:tc>
          <w:tcPr>
            <w:tcW w:w="7512" w:type="dxa"/>
            <w:gridSpan w:val="4"/>
          </w:tcPr>
          <w:p w:rsidR="009D0AAC" w:rsidRPr="00181996" w:rsidRDefault="009D0AAC" w:rsidP="00181996">
            <w:pPr>
              <w:spacing w:before="80" w:after="80"/>
              <w:jc w:val="both"/>
              <w:rPr>
                <w:rStyle w:val="Heading1Char"/>
                <w:rFonts w:ascii="Palatino Linotype" w:hAnsi="Palatino Linotype"/>
                <w:b w:val="0"/>
                <w:color w:val="auto"/>
                <w:sz w:val="24"/>
                <w:szCs w:val="24"/>
                <w:lang w:val="en-GB"/>
              </w:rPr>
            </w:pPr>
            <w:r>
              <w:rPr>
                <w:rStyle w:val="Heading1Char"/>
                <w:rFonts w:ascii="Palatino Linotype" w:hAnsi="Palatino Linotype"/>
                <w:b w:val="0"/>
                <w:color w:val="auto"/>
                <w:sz w:val="24"/>
                <w:szCs w:val="24"/>
                <w:lang w:val="en-GB"/>
              </w:rPr>
              <w:t>Policy Relevant Assessment of socio-economic effects of droughts and floods (PREEMPT)</w:t>
            </w:r>
          </w:p>
        </w:tc>
      </w:tr>
      <w:tr w:rsidR="009D0AAC" w:rsidRPr="00606E29" w:rsidTr="00181996">
        <w:tc>
          <w:tcPr>
            <w:tcW w:w="2235" w:type="dxa"/>
            <w:vMerge/>
          </w:tcPr>
          <w:p w:rsidR="009D0AAC" w:rsidRPr="00181996" w:rsidRDefault="009D0AAC" w:rsidP="00181996">
            <w:pPr>
              <w:spacing w:before="80" w:after="80"/>
              <w:jc w:val="both"/>
              <w:rPr>
                <w:rStyle w:val="Heading1Char"/>
                <w:rFonts w:ascii="Palatino Linotype" w:hAnsi="Palatino Linotype"/>
                <w:i/>
                <w:color w:val="auto"/>
                <w:sz w:val="24"/>
                <w:szCs w:val="24"/>
                <w:lang w:val="en-GB"/>
              </w:rPr>
            </w:pPr>
          </w:p>
        </w:tc>
        <w:tc>
          <w:tcPr>
            <w:tcW w:w="7512" w:type="dxa"/>
            <w:gridSpan w:val="4"/>
          </w:tcPr>
          <w:p w:rsidR="009D0AAC" w:rsidRDefault="009D0AAC" w:rsidP="00181996">
            <w:pPr>
              <w:spacing w:before="80" w:after="80"/>
              <w:jc w:val="both"/>
              <w:rPr>
                <w:rStyle w:val="Heading1Char"/>
                <w:rFonts w:ascii="Palatino Linotype" w:hAnsi="Palatino Linotype"/>
                <w:b w:val="0"/>
                <w:color w:val="auto"/>
                <w:sz w:val="24"/>
                <w:szCs w:val="24"/>
                <w:lang w:val="en-GB"/>
              </w:rPr>
            </w:pPr>
            <w:r>
              <w:rPr>
                <w:rStyle w:val="Heading1Char"/>
                <w:rFonts w:ascii="Palatino Linotype" w:hAnsi="Palatino Linotype"/>
                <w:b w:val="0"/>
                <w:color w:val="auto"/>
                <w:sz w:val="24"/>
                <w:szCs w:val="24"/>
                <w:lang w:val="en-GB"/>
              </w:rPr>
              <w:t>PREEMPT (2013). Guidance Document</w:t>
            </w:r>
          </w:p>
          <w:p w:rsidR="009D0AAC" w:rsidRPr="00181996" w:rsidRDefault="009D0AAC" w:rsidP="00181996">
            <w:pPr>
              <w:spacing w:before="80" w:after="80"/>
              <w:jc w:val="both"/>
              <w:rPr>
                <w:rStyle w:val="Heading1Char"/>
                <w:rFonts w:ascii="Palatino Linotype" w:hAnsi="Palatino Linotype"/>
                <w:b w:val="0"/>
                <w:color w:val="auto"/>
                <w:sz w:val="24"/>
                <w:szCs w:val="24"/>
                <w:lang w:val="en-GB"/>
              </w:rPr>
            </w:pPr>
            <w:r>
              <w:rPr>
                <w:rStyle w:val="Heading1Char"/>
                <w:rFonts w:ascii="Palatino Linotype" w:hAnsi="Palatino Linotype"/>
                <w:b w:val="0"/>
                <w:color w:val="auto"/>
                <w:sz w:val="24"/>
                <w:szCs w:val="24"/>
                <w:lang w:val="en-GB"/>
              </w:rPr>
              <w:t>PREEMPT (2013). Guidance Document – Summary for Policy Makers</w:t>
            </w:r>
          </w:p>
        </w:tc>
      </w:tr>
      <w:tr w:rsidR="009D0AAC" w:rsidRPr="00606E29" w:rsidTr="00181996">
        <w:tc>
          <w:tcPr>
            <w:tcW w:w="2235" w:type="dxa"/>
          </w:tcPr>
          <w:p w:rsidR="009D0AAC" w:rsidRPr="00181996" w:rsidRDefault="009D0AAC" w:rsidP="00181996">
            <w:pPr>
              <w:spacing w:before="80" w:after="80"/>
              <w:jc w:val="both"/>
              <w:rPr>
                <w:rStyle w:val="Heading1Char"/>
                <w:rFonts w:ascii="Palatino Linotype" w:hAnsi="Palatino Linotype"/>
                <w:i/>
                <w:color w:val="auto"/>
                <w:sz w:val="24"/>
                <w:szCs w:val="24"/>
                <w:lang w:val="en-GB"/>
              </w:rPr>
            </w:pPr>
            <w:r w:rsidRPr="00181996">
              <w:rPr>
                <w:rStyle w:val="Heading1Char"/>
                <w:rFonts w:ascii="Palatino Linotype" w:hAnsi="Palatino Linotype"/>
                <w:i/>
                <w:color w:val="auto"/>
                <w:sz w:val="24"/>
                <w:szCs w:val="24"/>
                <w:lang w:val="en-GB"/>
              </w:rPr>
              <w:t>Scope</w:t>
            </w:r>
          </w:p>
        </w:tc>
        <w:tc>
          <w:tcPr>
            <w:tcW w:w="7512" w:type="dxa"/>
            <w:gridSpan w:val="4"/>
          </w:tcPr>
          <w:p w:rsidR="009D0AAC" w:rsidRPr="00D83290" w:rsidRDefault="009D0AAC" w:rsidP="00181996">
            <w:pPr>
              <w:autoSpaceDE w:val="0"/>
              <w:autoSpaceDN w:val="0"/>
              <w:adjustRightInd w:val="0"/>
              <w:spacing w:after="0" w:line="240" w:lineRule="auto"/>
              <w:jc w:val="both"/>
              <w:rPr>
                <w:rStyle w:val="Heading1Char"/>
                <w:rFonts w:ascii="Palatino Linotype" w:hAnsi="Palatino Linotype"/>
                <w:b w:val="0"/>
                <w:color w:val="auto"/>
                <w:sz w:val="24"/>
                <w:szCs w:val="24"/>
                <w:lang w:val="en-GB"/>
              </w:rPr>
            </w:pPr>
            <w:r w:rsidRPr="00D83290">
              <w:rPr>
                <w:rStyle w:val="Heading1Char"/>
                <w:rFonts w:ascii="Palatino Linotype" w:hAnsi="Palatino Linotype"/>
                <w:b w:val="0"/>
                <w:color w:val="auto"/>
                <w:sz w:val="24"/>
                <w:szCs w:val="24"/>
                <w:lang w:val="en-GB"/>
              </w:rPr>
              <w:t xml:space="preserve">This Guidance document is dedicated to the risk management practitioners and authorities. It aims at explaining the importance of </w:t>
            </w:r>
            <w:proofErr w:type="gramStart"/>
            <w:r w:rsidRPr="00D83290">
              <w:rPr>
                <w:rStyle w:val="Heading1Char"/>
                <w:rFonts w:ascii="Palatino Linotype" w:hAnsi="Palatino Linotype"/>
                <w:b w:val="0"/>
                <w:color w:val="auto"/>
                <w:sz w:val="24"/>
                <w:szCs w:val="24"/>
                <w:lang w:val="en-GB"/>
              </w:rPr>
              <w:t>an</w:t>
            </w:r>
            <w:proofErr w:type="gramEnd"/>
            <w:r w:rsidRPr="00D83290">
              <w:rPr>
                <w:rStyle w:val="Heading1Char"/>
                <w:rFonts w:ascii="Palatino Linotype" w:hAnsi="Palatino Linotype"/>
                <w:b w:val="0"/>
                <w:color w:val="auto"/>
                <w:sz w:val="24"/>
                <w:szCs w:val="24"/>
                <w:lang w:val="en-GB"/>
              </w:rPr>
              <w:t xml:space="preserve"> comprehensive and purpose-fitting assessment of natural hazard losses, especially those related to drought spells and flood events. It offers an overview and practical guidance for the choice and application of the impact and risk assessment methods and tools. Where </w:t>
            </w:r>
            <w:proofErr w:type="gramStart"/>
            <w:r w:rsidRPr="00D83290">
              <w:rPr>
                <w:rStyle w:val="Heading1Char"/>
                <w:rFonts w:ascii="Palatino Linotype" w:hAnsi="Palatino Linotype"/>
                <w:b w:val="0"/>
                <w:color w:val="auto"/>
                <w:sz w:val="24"/>
                <w:szCs w:val="24"/>
                <w:lang w:val="en-GB"/>
              </w:rPr>
              <w:t>an</w:t>
            </w:r>
            <w:proofErr w:type="gramEnd"/>
            <w:r w:rsidRPr="00D83290">
              <w:rPr>
                <w:rStyle w:val="Heading1Char"/>
                <w:rFonts w:ascii="Palatino Linotype" w:hAnsi="Palatino Linotype"/>
                <w:b w:val="0"/>
                <w:color w:val="auto"/>
                <w:sz w:val="24"/>
                <w:szCs w:val="24"/>
                <w:lang w:val="en-GB"/>
              </w:rPr>
              <w:t xml:space="preserve"> quantitative assessment is limited by lack of readily available data, it shows how useful insights and lessons learned may be gained to inform risk analysis and management decisions. Although the document has been written in a way accessible also for non-experts in the field, it presumes a basic understanding of natural processes leading to floods and droughts, as well as socio-economic drivers of risk.</w:t>
            </w:r>
          </w:p>
        </w:tc>
      </w:tr>
      <w:tr w:rsidR="009D0AAC" w:rsidRPr="00181996" w:rsidTr="00181996">
        <w:tblPrEx>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Ex>
        <w:trPr>
          <w:gridAfter w:val="1"/>
          <w:wAfter w:w="107" w:type="dxa"/>
        </w:trPr>
        <w:tc>
          <w:tcPr>
            <w:tcW w:w="2235" w:type="dxa"/>
            <w:vMerge w:val="restart"/>
            <w:tcBorders>
              <w:top w:val="single" w:sz="8" w:space="0" w:color="4F81BD"/>
              <w:left w:val="nil"/>
              <w:bottom w:val="single" w:sz="8" w:space="0" w:color="4F81BD"/>
              <w:right w:val="nil"/>
            </w:tcBorders>
            <w:vAlign w:val="center"/>
          </w:tcPr>
          <w:p w:rsidR="009D0AAC" w:rsidRPr="00181996" w:rsidRDefault="009D0AAC" w:rsidP="00181996">
            <w:pPr>
              <w:spacing w:before="80" w:after="80"/>
              <w:rPr>
                <w:rStyle w:val="Heading1Char"/>
                <w:rFonts w:ascii="Palatino Linotype" w:hAnsi="Palatino Linotype"/>
                <w:b w:val="0"/>
                <w:bCs w:val="0"/>
                <w:i/>
                <w:color w:val="auto"/>
                <w:sz w:val="22"/>
                <w:szCs w:val="22"/>
                <w:lang w:val="en-GB"/>
              </w:rPr>
            </w:pPr>
            <w:r w:rsidRPr="00181996">
              <w:rPr>
                <w:rStyle w:val="Heading1Char"/>
                <w:rFonts w:ascii="Palatino Linotype" w:hAnsi="Palatino Linotype"/>
                <w:bCs w:val="0"/>
                <w:i/>
                <w:color w:val="auto"/>
                <w:sz w:val="22"/>
                <w:szCs w:val="22"/>
                <w:lang w:val="en-GB"/>
              </w:rPr>
              <w:t>Impacts</w:t>
            </w:r>
          </w:p>
        </w:tc>
        <w:tc>
          <w:tcPr>
            <w:tcW w:w="2504" w:type="dxa"/>
            <w:tcBorders>
              <w:top w:val="single" w:sz="8" w:space="0" w:color="4F81BD"/>
              <w:left w:val="nil"/>
              <w:bottom w:val="single" w:sz="8" w:space="0" w:color="4F81BD"/>
              <w:right w:val="nil"/>
            </w:tcBorders>
          </w:tcPr>
          <w:p w:rsidR="009D0AAC" w:rsidRPr="00181996" w:rsidRDefault="009D0AAC" w:rsidP="00181996">
            <w:pPr>
              <w:spacing w:before="80" w:after="80"/>
              <w:jc w:val="center"/>
              <w:rPr>
                <w:rStyle w:val="Heading1Char"/>
                <w:rFonts w:ascii="Palatino Linotype" w:hAnsi="Palatino Linotype"/>
                <w:b w:val="0"/>
                <w:bCs w:val="0"/>
                <w:i/>
                <w:color w:val="auto"/>
                <w:sz w:val="22"/>
                <w:szCs w:val="22"/>
                <w:lang w:val="en-GB"/>
              </w:rPr>
            </w:pPr>
            <w:r w:rsidRPr="00181996">
              <w:rPr>
                <w:rStyle w:val="Heading1Char"/>
                <w:rFonts w:ascii="Palatino Linotype" w:hAnsi="Palatino Linotype"/>
                <w:b w:val="0"/>
                <w:bCs w:val="0"/>
                <w:i/>
                <w:color w:val="auto"/>
                <w:sz w:val="22"/>
                <w:szCs w:val="22"/>
                <w:lang w:val="en-GB"/>
              </w:rPr>
              <w:t>Environmental</w:t>
            </w:r>
          </w:p>
        </w:tc>
        <w:tc>
          <w:tcPr>
            <w:tcW w:w="2504" w:type="dxa"/>
            <w:tcBorders>
              <w:top w:val="single" w:sz="8" w:space="0" w:color="4F81BD"/>
              <w:left w:val="nil"/>
              <w:bottom w:val="single" w:sz="8" w:space="0" w:color="4F81BD"/>
              <w:right w:val="nil"/>
            </w:tcBorders>
          </w:tcPr>
          <w:p w:rsidR="009D0AAC" w:rsidRPr="00181996" w:rsidRDefault="009D0AAC" w:rsidP="00181996">
            <w:pPr>
              <w:spacing w:before="80" w:after="80"/>
              <w:jc w:val="center"/>
              <w:rPr>
                <w:rStyle w:val="Heading1Char"/>
                <w:rFonts w:ascii="Palatino Linotype" w:hAnsi="Palatino Linotype"/>
                <w:b w:val="0"/>
                <w:bCs w:val="0"/>
                <w:i/>
                <w:color w:val="auto"/>
                <w:sz w:val="22"/>
                <w:szCs w:val="22"/>
                <w:lang w:val="en-GB"/>
              </w:rPr>
            </w:pPr>
            <w:r w:rsidRPr="00181996">
              <w:rPr>
                <w:rStyle w:val="Heading1Char"/>
                <w:rFonts w:ascii="Palatino Linotype" w:hAnsi="Palatino Linotype"/>
                <w:b w:val="0"/>
                <w:bCs w:val="0"/>
                <w:i/>
                <w:color w:val="auto"/>
                <w:sz w:val="22"/>
                <w:szCs w:val="22"/>
                <w:lang w:val="en-GB"/>
              </w:rPr>
              <w:t>Social</w:t>
            </w:r>
          </w:p>
        </w:tc>
        <w:tc>
          <w:tcPr>
            <w:tcW w:w="2504" w:type="dxa"/>
            <w:tcBorders>
              <w:top w:val="single" w:sz="8" w:space="0" w:color="4F81BD"/>
              <w:left w:val="nil"/>
              <w:bottom w:val="single" w:sz="8" w:space="0" w:color="4F81BD"/>
              <w:right w:val="nil"/>
            </w:tcBorders>
          </w:tcPr>
          <w:p w:rsidR="009D0AAC" w:rsidRPr="00181996" w:rsidRDefault="009D0AAC" w:rsidP="00181996">
            <w:pPr>
              <w:spacing w:before="80" w:after="80"/>
              <w:jc w:val="center"/>
              <w:rPr>
                <w:rStyle w:val="Heading1Char"/>
                <w:rFonts w:ascii="Palatino Linotype" w:hAnsi="Palatino Linotype"/>
                <w:b w:val="0"/>
                <w:bCs w:val="0"/>
                <w:i/>
                <w:color w:val="auto"/>
                <w:sz w:val="22"/>
                <w:szCs w:val="22"/>
                <w:lang w:val="en-GB"/>
              </w:rPr>
            </w:pPr>
            <w:r w:rsidRPr="00181996">
              <w:rPr>
                <w:rStyle w:val="Heading1Char"/>
                <w:rFonts w:ascii="Palatino Linotype" w:hAnsi="Palatino Linotype"/>
                <w:b w:val="0"/>
                <w:bCs w:val="0"/>
                <w:i/>
                <w:color w:val="auto"/>
                <w:sz w:val="22"/>
                <w:szCs w:val="22"/>
                <w:lang w:val="en-GB"/>
              </w:rPr>
              <w:t>Economic</w:t>
            </w:r>
          </w:p>
        </w:tc>
      </w:tr>
      <w:tr w:rsidR="009D0AAC" w:rsidRPr="00181996" w:rsidTr="00181996">
        <w:tblPrEx>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Ex>
        <w:trPr>
          <w:gridAfter w:val="1"/>
          <w:wAfter w:w="107" w:type="dxa"/>
        </w:trPr>
        <w:tc>
          <w:tcPr>
            <w:tcW w:w="2235" w:type="dxa"/>
            <w:vMerge/>
            <w:tcBorders>
              <w:left w:val="nil"/>
              <w:right w:val="nil"/>
            </w:tcBorders>
            <w:shd w:val="clear" w:color="auto" w:fill="D3DFEE"/>
          </w:tcPr>
          <w:p w:rsidR="009D0AAC" w:rsidRPr="00181996" w:rsidRDefault="009D0AAC" w:rsidP="00181996">
            <w:pPr>
              <w:spacing w:before="80" w:after="80"/>
              <w:rPr>
                <w:rStyle w:val="Heading1Char"/>
                <w:rFonts w:ascii="Palatino Linotype" w:hAnsi="Palatino Linotype"/>
                <w:b w:val="0"/>
                <w:bCs w:val="0"/>
                <w:i/>
                <w:color w:val="auto"/>
                <w:sz w:val="22"/>
                <w:szCs w:val="22"/>
                <w:lang w:val="en-GB"/>
              </w:rPr>
            </w:pPr>
          </w:p>
        </w:tc>
        <w:tc>
          <w:tcPr>
            <w:tcW w:w="2504" w:type="dxa"/>
            <w:tcBorders>
              <w:left w:val="nil"/>
              <w:right w:val="nil"/>
            </w:tcBorders>
            <w:shd w:val="clear" w:color="auto" w:fill="D3DFEE"/>
          </w:tcPr>
          <w:p w:rsidR="009D0AAC" w:rsidRPr="00181996" w:rsidRDefault="009D0AAC" w:rsidP="00181996">
            <w:pPr>
              <w:spacing w:before="80" w:after="80"/>
              <w:jc w:val="center"/>
              <w:rPr>
                <w:rStyle w:val="Heading1Char"/>
                <w:rFonts w:ascii="Palatino Linotype" w:hAnsi="Palatino Linotype"/>
                <w:i/>
                <w:color w:val="auto"/>
                <w:sz w:val="20"/>
                <w:szCs w:val="20"/>
                <w:lang w:val="en-GB"/>
              </w:rPr>
            </w:pPr>
            <w:r w:rsidRPr="00181996">
              <w:rPr>
                <w:rStyle w:val="Heading1Char"/>
                <w:rFonts w:ascii="Palatino Linotype" w:hAnsi="Palatino Linotype"/>
                <w:i/>
                <w:color w:val="auto"/>
                <w:sz w:val="20"/>
                <w:szCs w:val="20"/>
                <w:lang w:val="en-GB"/>
              </w:rPr>
              <w:sym w:font="Wingdings" w:char="F0FC"/>
            </w:r>
          </w:p>
        </w:tc>
        <w:tc>
          <w:tcPr>
            <w:tcW w:w="2504" w:type="dxa"/>
            <w:tcBorders>
              <w:left w:val="nil"/>
              <w:right w:val="nil"/>
            </w:tcBorders>
            <w:shd w:val="clear" w:color="auto" w:fill="D3DFEE"/>
          </w:tcPr>
          <w:p w:rsidR="009D0AAC" w:rsidRPr="00181996" w:rsidRDefault="009D0AAC" w:rsidP="00181996">
            <w:pPr>
              <w:spacing w:before="80" w:after="80"/>
              <w:jc w:val="center"/>
              <w:rPr>
                <w:rStyle w:val="Heading1Char"/>
                <w:rFonts w:ascii="Palatino Linotype" w:hAnsi="Palatino Linotype"/>
                <w:i/>
                <w:color w:val="auto"/>
                <w:sz w:val="20"/>
                <w:szCs w:val="20"/>
                <w:lang w:val="en-GB"/>
              </w:rPr>
            </w:pPr>
            <w:r w:rsidRPr="00181996">
              <w:rPr>
                <w:rStyle w:val="Heading1Char"/>
                <w:rFonts w:ascii="Palatino Linotype" w:hAnsi="Palatino Linotype"/>
                <w:i/>
                <w:color w:val="auto"/>
                <w:sz w:val="20"/>
                <w:szCs w:val="20"/>
                <w:lang w:val="en-GB"/>
              </w:rPr>
              <w:sym w:font="Wingdings" w:char="F0FC"/>
            </w:r>
          </w:p>
        </w:tc>
        <w:tc>
          <w:tcPr>
            <w:tcW w:w="2504" w:type="dxa"/>
            <w:tcBorders>
              <w:left w:val="nil"/>
              <w:right w:val="nil"/>
            </w:tcBorders>
            <w:shd w:val="clear" w:color="auto" w:fill="D3DFEE"/>
          </w:tcPr>
          <w:p w:rsidR="009D0AAC" w:rsidRPr="00181996" w:rsidRDefault="009D0AAC" w:rsidP="00181996">
            <w:pPr>
              <w:spacing w:before="80" w:after="80"/>
              <w:jc w:val="center"/>
              <w:rPr>
                <w:rStyle w:val="Heading1Char"/>
                <w:rFonts w:ascii="Palatino Linotype" w:hAnsi="Palatino Linotype"/>
                <w:i/>
                <w:color w:val="auto"/>
                <w:sz w:val="20"/>
                <w:szCs w:val="20"/>
                <w:lang w:val="en-GB"/>
              </w:rPr>
            </w:pPr>
            <w:r w:rsidRPr="00181996">
              <w:rPr>
                <w:rStyle w:val="Heading1Char"/>
                <w:rFonts w:ascii="Palatino Linotype" w:hAnsi="Palatino Linotype"/>
                <w:i/>
                <w:color w:val="auto"/>
                <w:sz w:val="20"/>
                <w:szCs w:val="20"/>
                <w:lang w:val="en-GB"/>
              </w:rPr>
              <w:sym w:font="Wingdings" w:char="F0FC"/>
            </w:r>
          </w:p>
        </w:tc>
      </w:tr>
      <w:tr w:rsidR="009D0AAC" w:rsidRPr="00606E29" w:rsidTr="00181996">
        <w:tblPrEx>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Ex>
        <w:trPr>
          <w:gridAfter w:val="1"/>
          <w:wAfter w:w="107" w:type="dxa"/>
          <w:trHeight w:val="1847"/>
        </w:trPr>
        <w:tc>
          <w:tcPr>
            <w:tcW w:w="2235" w:type="dxa"/>
            <w:vMerge/>
          </w:tcPr>
          <w:p w:rsidR="009D0AAC" w:rsidRPr="00181996" w:rsidRDefault="009D0AAC" w:rsidP="00181996">
            <w:pPr>
              <w:spacing w:before="80" w:after="80"/>
              <w:rPr>
                <w:rStyle w:val="Heading1Char"/>
                <w:rFonts w:ascii="Palatino Linotype" w:hAnsi="Palatino Linotype"/>
                <w:b w:val="0"/>
                <w:bCs w:val="0"/>
                <w:i/>
                <w:color w:val="auto"/>
                <w:sz w:val="22"/>
                <w:szCs w:val="22"/>
                <w:lang w:val="en-GB"/>
              </w:rPr>
            </w:pPr>
          </w:p>
        </w:tc>
        <w:tc>
          <w:tcPr>
            <w:tcW w:w="2504" w:type="dxa"/>
          </w:tcPr>
          <w:p w:rsidR="009D0AAC" w:rsidRPr="00181996" w:rsidRDefault="009D0AAC" w:rsidP="00181996">
            <w:pPr>
              <w:spacing w:before="80" w:after="80"/>
              <w:jc w:val="both"/>
              <w:rPr>
                <w:rStyle w:val="Heading1Char"/>
                <w:rFonts w:ascii="Palatino Linotype" w:hAnsi="Palatino Linotype"/>
                <w:b w:val="0"/>
                <w:color w:val="auto"/>
                <w:sz w:val="20"/>
                <w:szCs w:val="20"/>
                <w:lang w:val="en-GB"/>
              </w:rPr>
            </w:pPr>
            <w:r>
              <w:rPr>
                <w:rStyle w:val="Heading1Char"/>
                <w:rFonts w:ascii="Palatino Linotype" w:hAnsi="Palatino Linotype"/>
                <w:b w:val="0"/>
                <w:color w:val="auto"/>
                <w:sz w:val="20"/>
                <w:szCs w:val="20"/>
                <w:lang w:val="en-GB"/>
              </w:rPr>
              <w:t xml:space="preserve">Environmental impact is qualitatively assessed. Environmental vulnerability is analysed: </w:t>
            </w:r>
            <w:r w:rsidRPr="00154F11">
              <w:rPr>
                <w:rStyle w:val="Heading1Char"/>
                <w:rFonts w:ascii="Palatino Linotype" w:hAnsi="Palatino Linotype"/>
                <w:b w:val="0"/>
                <w:color w:val="auto"/>
                <w:sz w:val="20"/>
                <w:szCs w:val="20"/>
                <w:lang w:val="en-GB"/>
              </w:rPr>
              <w:t>as a semi-quantitative assessment, the drivers of vulnerability are classified as high, medium or low considering the importance on the final impact analysed.</w:t>
            </w:r>
            <w:r>
              <w:rPr>
                <w:rStyle w:val="Heading1Char"/>
                <w:rFonts w:ascii="Palatino Linotype" w:hAnsi="Palatino Linotype"/>
                <w:b w:val="0"/>
                <w:color w:val="auto"/>
                <w:sz w:val="20"/>
                <w:szCs w:val="20"/>
                <w:lang w:val="en-GB"/>
              </w:rPr>
              <w:t xml:space="preserve"> </w:t>
            </w:r>
          </w:p>
        </w:tc>
        <w:tc>
          <w:tcPr>
            <w:tcW w:w="2504" w:type="dxa"/>
          </w:tcPr>
          <w:p w:rsidR="009D0AAC" w:rsidRPr="00154F11" w:rsidRDefault="009D0AAC" w:rsidP="00181996">
            <w:pPr>
              <w:spacing w:before="80" w:after="80"/>
              <w:jc w:val="both"/>
              <w:rPr>
                <w:rStyle w:val="Heading1Char"/>
                <w:rFonts w:ascii="Palatino Linotype" w:hAnsi="Palatino Linotype"/>
                <w:b w:val="0"/>
                <w:color w:val="auto"/>
                <w:sz w:val="20"/>
                <w:szCs w:val="20"/>
                <w:lang w:val="en-GB"/>
              </w:rPr>
            </w:pPr>
            <w:r w:rsidRPr="00154F11">
              <w:rPr>
                <w:rStyle w:val="Heading1Char"/>
                <w:rFonts w:ascii="Palatino Linotype" w:hAnsi="Palatino Linotype"/>
                <w:b w:val="0"/>
                <w:color w:val="auto"/>
                <w:sz w:val="20"/>
                <w:szCs w:val="20"/>
                <w:lang w:val="en-GB"/>
              </w:rPr>
              <w:t>Vulnerability is conveyed as a function of exposure, system's sensitivity and capacity to response/adaptive capacity. As a semi-quantitative assessment, the drivers of vulnerability are classified as high, medium or low considering the importance on the final impact analysed.</w:t>
            </w:r>
          </w:p>
        </w:tc>
        <w:tc>
          <w:tcPr>
            <w:tcW w:w="2504" w:type="dxa"/>
          </w:tcPr>
          <w:p w:rsidR="009D0AAC" w:rsidRDefault="009D0AAC" w:rsidP="00181996">
            <w:pPr>
              <w:autoSpaceDE w:val="0"/>
              <w:autoSpaceDN w:val="0"/>
              <w:adjustRightInd w:val="0"/>
              <w:spacing w:after="0" w:line="240" w:lineRule="auto"/>
              <w:jc w:val="both"/>
              <w:rPr>
                <w:rStyle w:val="Heading1Char"/>
                <w:rFonts w:ascii="Palatino Linotype" w:hAnsi="Palatino Linotype"/>
                <w:b w:val="0"/>
                <w:color w:val="auto"/>
                <w:sz w:val="20"/>
                <w:szCs w:val="20"/>
                <w:lang w:val="en-GB"/>
              </w:rPr>
            </w:pPr>
            <w:r>
              <w:rPr>
                <w:rStyle w:val="Heading1Char"/>
                <w:rFonts w:ascii="Palatino Linotype" w:hAnsi="Palatino Linotype"/>
                <w:b w:val="0"/>
                <w:color w:val="auto"/>
                <w:sz w:val="20"/>
                <w:szCs w:val="20"/>
                <w:lang w:val="en-GB"/>
              </w:rPr>
              <w:t>Direct Economic losses are estimated through the collection of actual data or assessed using geo-referenced tools and damage functions.</w:t>
            </w:r>
          </w:p>
          <w:p w:rsidR="009D0AAC" w:rsidRPr="0067078D" w:rsidRDefault="009D0AAC" w:rsidP="00181996">
            <w:pPr>
              <w:autoSpaceDE w:val="0"/>
              <w:autoSpaceDN w:val="0"/>
              <w:adjustRightInd w:val="0"/>
              <w:spacing w:after="0" w:line="240" w:lineRule="auto"/>
              <w:jc w:val="both"/>
              <w:rPr>
                <w:rStyle w:val="Heading1Char"/>
                <w:rFonts w:ascii="Palatino Linotype" w:hAnsi="Palatino Linotype"/>
                <w:b w:val="0"/>
                <w:color w:val="auto"/>
                <w:sz w:val="20"/>
                <w:szCs w:val="20"/>
                <w:lang w:val="en-GB"/>
              </w:rPr>
            </w:pPr>
            <w:r w:rsidRPr="0067078D">
              <w:rPr>
                <w:rStyle w:val="Heading1Char"/>
                <w:rFonts w:ascii="Palatino Linotype" w:hAnsi="Palatino Linotype"/>
                <w:b w:val="0"/>
                <w:color w:val="auto"/>
                <w:sz w:val="20"/>
                <w:szCs w:val="20"/>
                <w:lang w:val="en-GB"/>
              </w:rPr>
              <w:t xml:space="preserve">The </w:t>
            </w:r>
            <w:r>
              <w:rPr>
                <w:rStyle w:val="Heading1Char"/>
                <w:rFonts w:ascii="Palatino Linotype" w:hAnsi="Palatino Linotype"/>
                <w:b w:val="0"/>
                <w:color w:val="auto"/>
                <w:sz w:val="20"/>
                <w:szCs w:val="20"/>
                <w:lang w:val="en-GB"/>
              </w:rPr>
              <w:t xml:space="preserve">indirect impact </w:t>
            </w:r>
            <w:r w:rsidRPr="0067078D">
              <w:rPr>
                <w:rStyle w:val="Heading1Char"/>
                <w:rFonts w:ascii="Palatino Linotype" w:hAnsi="Palatino Linotype"/>
                <w:b w:val="0"/>
                <w:color w:val="auto"/>
                <w:sz w:val="20"/>
                <w:szCs w:val="20"/>
                <w:lang w:val="en-GB"/>
              </w:rPr>
              <w:t>assessment methods include micro- and macroeconomic models of stock and flows: econometric models, coupled hydro-economic methods, Input Output models and Computable Generable Equilibrium.</w:t>
            </w:r>
          </w:p>
        </w:tc>
      </w:tr>
      <w:tr w:rsidR="009D0AAC" w:rsidRPr="00181996" w:rsidTr="00181996">
        <w:tblPrEx>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Ex>
        <w:trPr>
          <w:gridAfter w:val="1"/>
          <w:wAfter w:w="107" w:type="dxa"/>
        </w:trPr>
        <w:tc>
          <w:tcPr>
            <w:tcW w:w="2235" w:type="dxa"/>
            <w:vMerge/>
            <w:tcBorders>
              <w:left w:val="nil"/>
              <w:right w:val="nil"/>
            </w:tcBorders>
            <w:shd w:val="clear" w:color="auto" w:fill="D3DFEE"/>
          </w:tcPr>
          <w:p w:rsidR="009D0AAC" w:rsidRPr="00181996" w:rsidRDefault="009D0AAC" w:rsidP="00181996">
            <w:pPr>
              <w:spacing w:before="80" w:after="80"/>
              <w:rPr>
                <w:rStyle w:val="Heading1Char"/>
                <w:rFonts w:ascii="Palatino Linotype" w:hAnsi="Palatino Linotype"/>
                <w:b w:val="0"/>
                <w:bCs w:val="0"/>
                <w:i/>
                <w:color w:val="auto"/>
                <w:sz w:val="22"/>
                <w:szCs w:val="22"/>
                <w:lang w:val="en-US"/>
              </w:rPr>
            </w:pPr>
          </w:p>
        </w:tc>
        <w:tc>
          <w:tcPr>
            <w:tcW w:w="2504" w:type="dxa"/>
            <w:tcBorders>
              <w:left w:val="nil"/>
              <w:right w:val="nil"/>
            </w:tcBorders>
            <w:shd w:val="clear" w:color="auto" w:fill="D3DFEE"/>
          </w:tcPr>
          <w:p w:rsidR="009D0AAC" w:rsidRPr="00181996" w:rsidRDefault="009D0AAC" w:rsidP="00181996">
            <w:pPr>
              <w:spacing w:before="80" w:after="80"/>
              <w:jc w:val="center"/>
              <w:rPr>
                <w:rStyle w:val="Heading1Char"/>
                <w:rFonts w:ascii="Palatino Linotype" w:hAnsi="Palatino Linotype"/>
                <w:b w:val="0"/>
                <w:i/>
                <w:color w:val="auto"/>
                <w:sz w:val="20"/>
                <w:szCs w:val="20"/>
                <w:lang w:val="en-GB"/>
              </w:rPr>
            </w:pPr>
            <w:r w:rsidRPr="00181996">
              <w:rPr>
                <w:rStyle w:val="Heading1Char"/>
                <w:rFonts w:ascii="Palatino Linotype" w:hAnsi="Palatino Linotype"/>
                <w:b w:val="0"/>
                <w:i/>
                <w:color w:val="auto"/>
                <w:sz w:val="20"/>
                <w:szCs w:val="20"/>
                <w:lang w:val="en-GB"/>
              </w:rPr>
              <w:t>Direct - Indirect</w:t>
            </w:r>
          </w:p>
        </w:tc>
        <w:tc>
          <w:tcPr>
            <w:tcW w:w="2504" w:type="dxa"/>
            <w:tcBorders>
              <w:left w:val="nil"/>
              <w:right w:val="nil"/>
            </w:tcBorders>
            <w:shd w:val="clear" w:color="auto" w:fill="D3DFEE"/>
          </w:tcPr>
          <w:p w:rsidR="009D0AAC" w:rsidRPr="00181996" w:rsidRDefault="009D0AAC" w:rsidP="00181996">
            <w:pPr>
              <w:spacing w:before="80" w:after="80"/>
              <w:jc w:val="center"/>
              <w:rPr>
                <w:rStyle w:val="Heading1Char"/>
                <w:rFonts w:ascii="Palatino Linotype" w:hAnsi="Palatino Linotype"/>
                <w:b w:val="0"/>
                <w:i/>
                <w:color w:val="auto"/>
                <w:sz w:val="20"/>
                <w:szCs w:val="20"/>
                <w:lang w:val="en-GB"/>
              </w:rPr>
            </w:pPr>
            <w:r w:rsidRPr="00181996">
              <w:rPr>
                <w:rStyle w:val="Heading1Char"/>
                <w:rFonts w:ascii="Palatino Linotype" w:hAnsi="Palatino Linotype"/>
                <w:b w:val="0"/>
                <w:i/>
                <w:color w:val="auto"/>
                <w:sz w:val="20"/>
                <w:szCs w:val="20"/>
                <w:lang w:val="en-GB"/>
              </w:rPr>
              <w:t>Direct - Indirect</w:t>
            </w:r>
          </w:p>
        </w:tc>
        <w:tc>
          <w:tcPr>
            <w:tcW w:w="2504" w:type="dxa"/>
            <w:tcBorders>
              <w:left w:val="nil"/>
              <w:right w:val="nil"/>
            </w:tcBorders>
            <w:shd w:val="clear" w:color="auto" w:fill="D3DFEE"/>
          </w:tcPr>
          <w:p w:rsidR="009D0AAC" w:rsidRPr="00181996" w:rsidRDefault="009D0AAC" w:rsidP="00181996">
            <w:pPr>
              <w:spacing w:before="80" w:after="80"/>
              <w:jc w:val="center"/>
              <w:rPr>
                <w:rStyle w:val="Heading1Char"/>
                <w:rFonts w:ascii="Palatino Linotype" w:hAnsi="Palatino Linotype"/>
                <w:b w:val="0"/>
                <w:i/>
                <w:color w:val="auto"/>
                <w:sz w:val="20"/>
                <w:szCs w:val="20"/>
                <w:lang w:val="en-GB"/>
              </w:rPr>
            </w:pPr>
            <w:r w:rsidRPr="00181996">
              <w:rPr>
                <w:rStyle w:val="Heading1Char"/>
                <w:rFonts w:ascii="Palatino Linotype" w:hAnsi="Palatino Linotype"/>
                <w:b w:val="0"/>
                <w:i/>
                <w:color w:val="auto"/>
                <w:sz w:val="20"/>
                <w:szCs w:val="20"/>
                <w:lang w:val="en-GB"/>
              </w:rPr>
              <w:t>Direct - Indirect</w:t>
            </w:r>
          </w:p>
        </w:tc>
      </w:tr>
      <w:tr w:rsidR="00606E29" w:rsidRPr="00181996" w:rsidTr="00181996">
        <w:tblPrEx>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Ex>
        <w:trPr>
          <w:gridAfter w:val="1"/>
          <w:wAfter w:w="107" w:type="dxa"/>
        </w:trPr>
        <w:tc>
          <w:tcPr>
            <w:tcW w:w="2235" w:type="dxa"/>
            <w:vMerge/>
            <w:tcBorders>
              <w:bottom w:val="single" w:sz="8" w:space="0" w:color="4F81BD"/>
            </w:tcBorders>
          </w:tcPr>
          <w:p w:rsidR="00606E29" w:rsidRPr="00181996" w:rsidRDefault="00606E29" w:rsidP="00181996">
            <w:pPr>
              <w:spacing w:before="80" w:after="80"/>
              <w:rPr>
                <w:rStyle w:val="Heading1Char"/>
                <w:rFonts w:ascii="Palatino Linotype" w:hAnsi="Palatino Linotype"/>
                <w:b w:val="0"/>
                <w:bCs w:val="0"/>
                <w:i/>
                <w:color w:val="auto"/>
                <w:sz w:val="22"/>
                <w:szCs w:val="22"/>
                <w:lang w:val="en-GB"/>
              </w:rPr>
            </w:pPr>
          </w:p>
        </w:tc>
        <w:tc>
          <w:tcPr>
            <w:tcW w:w="2504" w:type="dxa"/>
            <w:tcBorders>
              <w:bottom w:val="single" w:sz="8" w:space="0" w:color="4F81BD"/>
            </w:tcBorders>
          </w:tcPr>
          <w:p w:rsidR="00606E29" w:rsidRPr="00606E29" w:rsidRDefault="00606E29" w:rsidP="00606E29">
            <w:pPr>
              <w:spacing w:before="80" w:after="80"/>
              <w:jc w:val="center"/>
              <w:rPr>
                <w:rStyle w:val="Heading1Char"/>
                <w:rFonts w:ascii="Palatino Linotype" w:hAnsi="Palatino Linotype"/>
                <w:i/>
                <w:color w:val="auto"/>
                <w:sz w:val="20"/>
                <w:szCs w:val="20"/>
                <w:lang w:val="en-GB"/>
              </w:rPr>
            </w:pPr>
            <w:r w:rsidRPr="00744AA3">
              <w:rPr>
                <w:rStyle w:val="Heading1Char"/>
                <w:rFonts w:ascii="Palatino Linotype" w:hAnsi="Palatino Linotype"/>
                <w:b w:val="0"/>
                <w:i/>
                <w:color w:val="auto"/>
                <w:sz w:val="20"/>
                <w:szCs w:val="20"/>
                <w:lang w:val="en-GB"/>
              </w:rPr>
              <w:t>Tangible</w:t>
            </w:r>
          </w:p>
        </w:tc>
        <w:tc>
          <w:tcPr>
            <w:tcW w:w="2504" w:type="dxa"/>
            <w:tcBorders>
              <w:bottom w:val="single" w:sz="8" w:space="0" w:color="4F81BD"/>
            </w:tcBorders>
          </w:tcPr>
          <w:p w:rsidR="00606E29" w:rsidRPr="00606E29" w:rsidRDefault="00606E29" w:rsidP="00606E29">
            <w:pPr>
              <w:spacing w:before="80" w:after="80"/>
              <w:jc w:val="center"/>
              <w:rPr>
                <w:rStyle w:val="Heading1Char"/>
                <w:rFonts w:ascii="Palatino Linotype" w:hAnsi="Palatino Linotype"/>
                <w:i/>
                <w:color w:val="auto"/>
                <w:sz w:val="20"/>
                <w:szCs w:val="20"/>
                <w:lang w:val="en-GB"/>
              </w:rPr>
            </w:pPr>
            <w:r w:rsidRPr="00744AA3">
              <w:rPr>
                <w:rStyle w:val="Heading1Char"/>
                <w:rFonts w:ascii="Palatino Linotype" w:hAnsi="Palatino Linotype"/>
                <w:b w:val="0"/>
                <w:i/>
                <w:color w:val="auto"/>
                <w:sz w:val="20"/>
                <w:szCs w:val="20"/>
                <w:lang w:val="en-GB"/>
              </w:rPr>
              <w:t>Tangible</w:t>
            </w:r>
          </w:p>
        </w:tc>
        <w:tc>
          <w:tcPr>
            <w:tcW w:w="2504" w:type="dxa"/>
            <w:tcBorders>
              <w:bottom w:val="single" w:sz="8" w:space="0" w:color="4F81BD"/>
            </w:tcBorders>
          </w:tcPr>
          <w:p w:rsidR="00606E29" w:rsidRPr="00606E29" w:rsidRDefault="00606E29" w:rsidP="00606E29">
            <w:pPr>
              <w:spacing w:before="80" w:after="80"/>
              <w:jc w:val="center"/>
              <w:rPr>
                <w:rStyle w:val="Heading1Char"/>
                <w:rFonts w:ascii="Palatino Linotype" w:hAnsi="Palatino Linotype"/>
                <w:i/>
                <w:color w:val="auto"/>
                <w:sz w:val="20"/>
                <w:szCs w:val="20"/>
                <w:lang w:val="en-GB"/>
              </w:rPr>
            </w:pPr>
            <w:r w:rsidRPr="00744AA3">
              <w:rPr>
                <w:rStyle w:val="Heading1Char"/>
                <w:rFonts w:ascii="Palatino Linotype" w:hAnsi="Palatino Linotype"/>
                <w:b w:val="0"/>
                <w:i/>
                <w:color w:val="auto"/>
                <w:sz w:val="20"/>
                <w:szCs w:val="20"/>
                <w:lang w:val="en-GB"/>
              </w:rPr>
              <w:t>Tangible</w:t>
            </w:r>
            <w:bookmarkStart w:id="0" w:name="_GoBack"/>
            <w:bookmarkEnd w:id="0"/>
          </w:p>
        </w:tc>
      </w:tr>
      <w:tr w:rsidR="009D0AAC" w:rsidRPr="00606E29" w:rsidTr="0060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Height w:val="626"/>
        </w:trPr>
        <w:tc>
          <w:tcPr>
            <w:tcW w:w="2142" w:type="dxa"/>
          </w:tcPr>
          <w:p w:rsidR="009D0AAC" w:rsidRPr="00181996" w:rsidRDefault="009D0AAC" w:rsidP="00181996">
            <w:pPr>
              <w:spacing w:before="80" w:after="80"/>
              <w:rPr>
                <w:rStyle w:val="Heading1Char"/>
                <w:rFonts w:ascii="Palatino Linotype" w:hAnsi="Palatino Linotype"/>
                <w:i/>
                <w:color w:val="auto"/>
                <w:sz w:val="22"/>
                <w:szCs w:val="22"/>
                <w:lang w:val="en-GB"/>
              </w:rPr>
            </w:pPr>
            <w:r w:rsidRPr="00181996">
              <w:rPr>
                <w:rStyle w:val="Heading1Char"/>
                <w:rFonts w:ascii="Palatino Linotype" w:hAnsi="Palatino Linotype"/>
                <w:i/>
                <w:color w:val="auto"/>
                <w:sz w:val="22"/>
                <w:szCs w:val="22"/>
                <w:lang w:val="en-GB"/>
              </w:rPr>
              <w:t xml:space="preserve">Case Studies </w:t>
            </w:r>
          </w:p>
        </w:tc>
        <w:tc>
          <w:tcPr>
            <w:tcW w:w="7616" w:type="dxa"/>
            <w:gridSpan w:val="3"/>
          </w:tcPr>
          <w:p w:rsidR="009D0AAC" w:rsidRPr="00181996" w:rsidRDefault="009D0AAC" w:rsidP="00181996">
            <w:pPr>
              <w:spacing w:before="80" w:after="80"/>
              <w:jc w:val="both"/>
              <w:rPr>
                <w:rStyle w:val="Heading1Char"/>
                <w:rFonts w:ascii="Palatino Linotype" w:hAnsi="Palatino Linotype"/>
                <w:b w:val="0"/>
                <w:color w:val="auto"/>
                <w:sz w:val="22"/>
                <w:szCs w:val="22"/>
                <w:lang w:val="en-GB"/>
              </w:rPr>
            </w:pPr>
            <w:r>
              <w:rPr>
                <w:rStyle w:val="Heading1Char"/>
                <w:rFonts w:ascii="Palatino Linotype" w:hAnsi="Palatino Linotype"/>
                <w:b w:val="0"/>
                <w:color w:val="auto"/>
                <w:sz w:val="22"/>
                <w:szCs w:val="22"/>
                <w:lang w:val="en-GB"/>
              </w:rPr>
              <w:t xml:space="preserve">Case studies in Europe: Po River Basin in </w:t>
            </w:r>
            <w:smartTag w:uri="urn:schemas-microsoft-com:office:smarttags" w:element="country-region">
              <w:r>
                <w:rPr>
                  <w:rStyle w:val="Heading1Char"/>
                  <w:rFonts w:ascii="Palatino Linotype" w:hAnsi="Palatino Linotype"/>
                  <w:b w:val="0"/>
                  <w:color w:val="auto"/>
                  <w:sz w:val="22"/>
                  <w:szCs w:val="22"/>
                  <w:lang w:val="en-GB"/>
                </w:rPr>
                <w:t>Italy</w:t>
              </w:r>
            </w:smartTag>
            <w:r>
              <w:rPr>
                <w:rStyle w:val="Heading1Char"/>
                <w:rFonts w:ascii="Palatino Linotype" w:hAnsi="Palatino Linotype"/>
                <w:b w:val="0"/>
                <w:color w:val="auto"/>
                <w:sz w:val="22"/>
                <w:szCs w:val="22"/>
                <w:lang w:val="en-GB"/>
              </w:rPr>
              <w:t xml:space="preserve">; </w:t>
            </w:r>
            <w:smartTag w:uri="urn:schemas-microsoft-com:office:smarttags" w:element="PlaceName">
              <w:r>
                <w:rPr>
                  <w:rStyle w:val="Heading1Char"/>
                  <w:rFonts w:ascii="Palatino Linotype" w:hAnsi="Palatino Linotype"/>
                  <w:b w:val="0"/>
                  <w:color w:val="auto"/>
                  <w:sz w:val="22"/>
                  <w:szCs w:val="22"/>
                  <w:lang w:val="en-GB"/>
                </w:rPr>
                <w:t>Ebro</w:t>
              </w:r>
            </w:smartTag>
            <w:r>
              <w:rPr>
                <w:rStyle w:val="Heading1Char"/>
                <w:rFonts w:ascii="Palatino Linotype" w:hAnsi="Palatino Linotype"/>
                <w:b w:val="0"/>
                <w:color w:val="auto"/>
                <w:sz w:val="22"/>
                <w:szCs w:val="22"/>
                <w:lang w:val="en-GB"/>
              </w:rPr>
              <w:t xml:space="preserve"> </w:t>
            </w:r>
            <w:smartTag w:uri="urn:schemas-microsoft-com:office:smarttags" w:element="PlaceType">
              <w:r>
                <w:rPr>
                  <w:rStyle w:val="Heading1Char"/>
                  <w:rFonts w:ascii="Palatino Linotype" w:hAnsi="Palatino Linotype"/>
                  <w:b w:val="0"/>
                  <w:color w:val="auto"/>
                  <w:sz w:val="22"/>
                  <w:szCs w:val="22"/>
                  <w:lang w:val="en-GB"/>
                </w:rPr>
                <w:t>River Basin</w:t>
              </w:r>
            </w:smartTag>
            <w:r>
              <w:rPr>
                <w:rStyle w:val="Heading1Char"/>
                <w:rFonts w:ascii="Palatino Linotype" w:hAnsi="Palatino Linotype"/>
                <w:b w:val="0"/>
                <w:color w:val="auto"/>
                <w:sz w:val="22"/>
                <w:szCs w:val="22"/>
                <w:lang w:val="en-GB"/>
              </w:rPr>
              <w:t xml:space="preserve"> in </w:t>
            </w:r>
            <w:smartTag w:uri="urn:schemas-microsoft-com:office:smarttags" w:element="country-region">
              <w:r>
                <w:rPr>
                  <w:rStyle w:val="Heading1Char"/>
                  <w:rFonts w:ascii="Palatino Linotype" w:hAnsi="Palatino Linotype"/>
                  <w:b w:val="0"/>
                  <w:color w:val="auto"/>
                  <w:sz w:val="22"/>
                  <w:szCs w:val="22"/>
                  <w:lang w:val="en-GB"/>
                </w:rPr>
                <w:t>Spain</w:t>
              </w:r>
            </w:smartTag>
            <w:r>
              <w:rPr>
                <w:rStyle w:val="Heading1Char"/>
                <w:rFonts w:ascii="Palatino Linotype" w:hAnsi="Palatino Linotype"/>
                <w:b w:val="0"/>
                <w:color w:val="auto"/>
                <w:sz w:val="22"/>
                <w:szCs w:val="22"/>
                <w:lang w:val="en-GB"/>
              </w:rPr>
              <w:t xml:space="preserve">; </w:t>
            </w:r>
            <w:smartTag w:uri="urn:schemas-microsoft-com:office:smarttags" w:element="PlaceName">
              <w:r>
                <w:rPr>
                  <w:rStyle w:val="Heading1Char"/>
                  <w:rFonts w:ascii="Palatino Linotype" w:hAnsi="Palatino Linotype"/>
                  <w:b w:val="0"/>
                  <w:color w:val="auto"/>
                  <w:sz w:val="22"/>
                  <w:szCs w:val="22"/>
                  <w:lang w:val="en-GB"/>
                </w:rPr>
                <w:t>Scheldt</w:t>
              </w:r>
            </w:smartTag>
            <w:r>
              <w:rPr>
                <w:rStyle w:val="Heading1Char"/>
                <w:rFonts w:ascii="Palatino Linotype" w:hAnsi="Palatino Linotype"/>
                <w:b w:val="0"/>
                <w:color w:val="auto"/>
                <w:sz w:val="22"/>
                <w:szCs w:val="22"/>
                <w:lang w:val="en-GB"/>
              </w:rPr>
              <w:t xml:space="preserve"> </w:t>
            </w:r>
            <w:smartTag w:uri="urn:schemas-microsoft-com:office:smarttags" w:element="PlaceType">
              <w:r>
                <w:rPr>
                  <w:rStyle w:val="Heading1Char"/>
                  <w:rFonts w:ascii="Palatino Linotype" w:hAnsi="Palatino Linotype"/>
                  <w:b w:val="0"/>
                  <w:color w:val="auto"/>
                  <w:sz w:val="22"/>
                  <w:szCs w:val="22"/>
                  <w:lang w:val="en-GB"/>
                </w:rPr>
                <w:t>River Basin</w:t>
              </w:r>
            </w:smartTag>
            <w:r>
              <w:rPr>
                <w:rStyle w:val="Heading1Char"/>
                <w:rFonts w:ascii="Palatino Linotype" w:hAnsi="Palatino Linotype"/>
                <w:b w:val="0"/>
                <w:color w:val="auto"/>
                <w:sz w:val="22"/>
                <w:szCs w:val="22"/>
                <w:lang w:val="en-GB"/>
              </w:rPr>
              <w:t xml:space="preserve"> in </w:t>
            </w:r>
            <w:smartTag w:uri="urn:schemas-microsoft-com:office:smarttags" w:element="country-region">
              <w:r>
                <w:rPr>
                  <w:rStyle w:val="Heading1Char"/>
                  <w:rFonts w:ascii="Palatino Linotype" w:hAnsi="Palatino Linotype"/>
                  <w:b w:val="0"/>
                  <w:color w:val="auto"/>
                  <w:sz w:val="22"/>
                  <w:szCs w:val="22"/>
                  <w:lang w:val="en-GB"/>
                </w:rPr>
                <w:t>Belgium</w:t>
              </w:r>
            </w:smartTag>
            <w:r>
              <w:rPr>
                <w:rStyle w:val="Heading1Char"/>
                <w:rFonts w:ascii="Palatino Linotype" w:hAnsi="Palatino Linotype"/>
                <w:b w:val="0"/>
                <w:color w:val="auto"/>
                <w:sz w:val="22"/>
                <w:szCs w:val="22"/>
                <w:lang w:val="en-GB"/>
              </w:rPr>
              <w:t xml:space="preserve">; and </w:t>
            </w:r>
            <w:smartTag w:uri="urn:schemas-microsoft-com:office:smarttags" w:element="PlaceName">
              <w:r>
                <w:rPr>
                  <w:rStyle w:val="Heading1Char"/>
                  <w:rFonts w:ascii="Palatino Linotype" w:hAnsi="Palatino Linotype"/>
                  <w:b w:val="0"/>
                  <w:color w:val="auto"/>
                  <w:sz w:val="22"/>
                  <w:szCs w:val="22"/>
                  <w:lang w:val="en-GB"/>
                </w:rPr>
                <w:t>Weser</w:t>
              </w:r>
            </w:smartTag>
            <w:r>
              <w:rPr>
                <w:rStyle w:val="Heading1Char"/>
                <w:rFonts w:ascii="Palatino Linotype" w:hAnsi="Palatino Linotype"/>
                <w:b w:val="0"/>
                <w:color w:val="auto"/>
                <w:sz w:val="22"/>
                <w:szCs w:val="22"/>
                <w:lang w:val="en-GB"/>
              </w:rPr>
              <w:t xml:space="preserve"> </w:t>
            </w:r>
            <w:smartTag w:uri="urn:schemas-microsoft-com:office:smarttags" w:element="PlaceType">
              <w:r>
                <w:rPr>
                  <w:rStyle w:val="Heading1Char"/>
                  <w:rFonts w:ascii="Palatino Linotype" w:hAnsi="Palatino Linotype"/>
                  <w:b w:val="0"/>
                  <w:color w:val="auto"/>
                  <w:sz w:val="22"/>
                  <w:szCs w:val="22"/>
                  <w:lang w:val="en-GB"/>
                </w:rPr>
                <w:t>River Basin</w:t>
              </w:r>
            </w:smartTag>
            <w:r>
              <w:rPr>
                <w:rStyle w:val="Heading1Char"/>
                <w:rFonts w:ascii="Palatino Linotype" w:hAnsi="Palatino Linotype"/>
                <w:b w:val="0"/>
                <w:color w:val="auto"/>
                <w:sz w:val="22"/>
                <w:szCs w:val="22"/>
                <w:lang w:val="en-GB"/>
              </w:rPr>
              <w:t xml:space="preserve"> in </w:t>
            </w:r>
            <w:smartTag w:uri="urn:schemas-microsoft-com:office:smarttags" w:element="place">
              <w:smartTag w:uri="urn:schemas-microsoft-com:office:smarttags" w:element="country-region">
                <w:r>
                  <w:rPr>
                    <w:rStyle w:val="Heading1Char"/>
                    <w:rFonts w:ascii="Palatino Linotype" w:hAnsi="Palatino Linotype"/>
                    <w:b w:val="0"/>
                    <w:color w:val="auto"/>
                    <w:sz w:val="22"/>
                    <w:szCs w:val="22"/>
                    <w:lang w:val="en-GB"/>
                  </w:rPr>
                  <w:t>Germany</w:t>
                </w:r>
              </w:smartTag>
            </w:smartTag>
            <w:r>
              <w:rPr>
                <w:rStyle w:val="Heading1Char"/>
                <w:rFonts w:ascii="Palatino Linotype" w:hAnsi="Palatino Linotype"/>
                <w:b w:val="0"/>
                <w:color w:val="auto"/>
                <w:sz w:val="22"/>
                <w:szCs w:val="22"/>
                <w:lang w:val="en-GB"/>
              </w:rPr>
              <w:t>.</w:t>
            </w:r>
          </w:p>
        </w:tc>
      </w:tr>
      <w:tr w:rsidR="009D0AAC" w:rsidRPr="00606E29" w:rsidTr="0060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Height w:val="647"/>
        </w:trPr>
        <w:tc>
          <w:tcPr>
            <w:tcW w:w="2142" w:type="dxa"/>
          </w:tcPr>
          <w:p w:rsidR="009D0AAC" w:rsidRPr="00181996" w:rsidRDefault="009D0AAC" w:rsidP="00181996">
            <w:pPr>
              <w:spacing w:before="80" w:after="80"/>
              <w:rPr>
                <w:rStyle w:val="Heading1Char"/>
                <w:rFonts w:ascii="Palatino Linotype" w:hAnsi="Palatino Linotype"/>
                <w:i/>
                <w:color w:val="auto"/>
                <w:sz w:val="22"/>
                <w:szCs w:val="22"/>
                <w:lang w:val="en-GB"/>
              </w:rPr>
            </w:pPr>
            <w:r w:rsidRPr="00181996">
              <w:rPr>
                <w:rStyle w:val="Heading1Char"/>
                <w:rFonts w:ascii="Palatino Linotype" w:hAnsi="Palatino Linotype"/>
                <w:i/>
                <w:color w:val="auto"/>
                <w:sz w:val="22"/>
                <w:szCs w:val="22"/>
                <w:lang w:val="en-GB"/>
              </w:rPr>
              <w:lastRenderedPageBreak/>
              <w:t>Uncertainty</w:t>
            </w:r>
          </w:p>
        </w:tc>
        <w:tc>
          <w:tcPr>
            <w:tcW w:w="7616" w:type="dxa"/>
            <w:gridSpan w:val="3"/>
          </w:tcPr>
          <w:p w:rsidR="009D0AAC" w:rsidRPr="00181996" w:rsidRDefault="009D0AAC" w:rsidP="00181996">
            <w:pPr>
              <w:spacing w:before="80" w:after="80"/>
              <w:jc w:val="both"/>
              <w:rPr>
                <w:rStyle w:val="Heading1Char"/>
                <w:rFonts w:ascii="Palatino Linotype" w:hAnsi="Palatino Linotype"/>
                <w:b w:val="0"/>
                <w:color w:val="auto"/>
                <w:sz w:val="22"/>
                <w:szCs w:val="22"/>
                <w:lang w:val="en-GB"/>
              </w:rPr>
            </w:pPr>
            <w:r>
              <w:rPr>
                <w:rStyle w:val="Heading1Char"/>
                <w:rFonts w:ascii="Palatino Linotype" w:hAnsi="Palatino Linotype"/>
                <w:b w:val="0"/>
                <w:color w:val="auto"/>
                <w:sz w:val="22"/>
                <w:szCs w:val="22"/>
                <w:lang w:val="en-GB"/>
              </w:rPr>
              <w:t>A qualitative description of the sources of uncertainty for the application of the different methodologies described is reported.</w:t>
            </w:r>
          </w:p>
        </w:tc>
      </w:tr>
      <w:tr w:rsidR="009D0AAC" w:rsidRPr="00606E29" w:rsidTr="0060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Height w:val="688"/>
        </w:trPr>
        <w:tc>
          <w:tcPr>
            <w:tcW w:w="2142" w:type="dxa"/>
          </w:tcPr>
          <w:p w:rsidR="009D0AAC" w:rsidRPr="00181996" w:rsidRDefault="009D0AAC" w:rsidP="00181996">
            <w:pPr>
              <w:spacing w:before="80" w:after="80"/>
              <w:rPr>
                <w:rStyle w:val="Heading1Char"/>
                <w:rFonts w:ascii="Palatino Linotype" w:hAnsi="Palatino Linotype"/>
                <w:i/>
                <w:color w:val="auto"/>
                <w:sz w:val="22"/>
                <w:szCs w:val="22"/>
                <w:lang w:val="en-GB"/>
              </w:rPr>
            </w:pPr>
            <w:r w:rsidRPr="00181996">
              <w:rPr>
                <w:rStyle w:val="Heading1Char"/>
                <w:rFonts w:ascii="Palatino Linotype" w:hAnsi="Palatino Linotype"/>
                <w:i/>
                <w:color w:val="auto"/>
                <w:sz w:val="22"/>
                <w:szCs w:val="22"/>
                <w:lang w:val="en-GB"/>
              </w:rPr>
              <w:t xml:space="preserve">Climate Change </w:t>
            </w:r>
          </w:p>
        </w:tc>
        <w:tc>
          <w:tcPr>
            <w:tcW w:w="7616" w:type="dxa"/>
            <w:gridSpan w:val="3"/>
          </w:tcPr>
          <w:p w:rsidR="009D0AAC" w:rsidRPr="00181996" w:rsidRDefault="009D0AAC" w:rsidP="00181996">
            <w:pPr>
              <w:spacing w:before="80" w:after="80"/>
              <w:jc w:val="both"/>
              <w:rPr>
                <w:rStyle w:val="Heading1Char"/>
                <w:rFonts w:ascii="Palatino Linotype" w:hAnsi="Palatino Linotype"/>
                <w:b w:val="0"/>
                <w:color w:val="auto"/>
                <w:sz w:val="22"/>
                <w:szCs w:val="22"/>
                <w:lang w:val="en-GB"/>
              </w:rPr>
            </w:pPr>
            <w:r w:rsidRPr="00181996">
              <w:rPr>
                <w:rStyle w:val="Heading1Char"/>
                <w:rFonts w:ascii="Palatino Linotype" w:hAnsi="Palatino Linotype"/>
                <w:b w:val="0"/>
                <w:color w:val="auto"/>
                <w:sz w:val="22"/>
                <w:szCs w:val="22"/>
                <w:lang w:val="en-GB"/>
              </w:rPr>
              <w:t>No. The guidance is not specifically aimed at the assessment of climate change patterns. It is specifically focused on</w:t>
            </w:r>
            <w:r>
              <w:rPr>
                <w:rStyle w:val="Heading1Char"/>
                <w:rFonts w:ascii="Palatino Linotype" w:hAnsi="Palatino Linotype"/>
                <w:b w:val="0"/>
                <w:color w:val="auto"/>
                <w:sz w:val="22"/>
                <w:szCs w:val="22"/>
                <w:lang w:val="en-GB"/>
              </w:rPr>
              <w:t xml:space="preserve"> drought and flood</w:t>
            </w:r>
            <w:r w:rsidRPr="00181996">
              <w:rPr>
                <w:rStyle w:val="Heading1Char"/>
                <w:rFonts w:ascii="Palatino Linotype" w:hAnsi="Palatino Linotype"/>
                <w:b w:val="0"/>
                <w:color w:val="auto"/>
                <w:sz w:val="22"/>
                <w:szCs w:val="22"/>
                <w:lang w:val="en-GB"/>
              </w:rPr>
              <w:t xml:space="preserve"> impact assessment.</w:t>
            </w:r>
          </w:p>
        </w:tc>
      </w:tr>
      <w:tr w:rsidR="009D0AAC" w:rsidRPr="00606E29" w:rsidTr="0060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Height w:val="689"/>
        </w:trPr>
        <w:tc>
          <w:tcPr>
            <w:tcW w:w="2142" w:type="dxa"/>
          </w:tcPr>
          <w:p w:rsidR="009D0AAC" w:rsidRPr="00181996" w:rsidRDefault="009D0AAC" w:rsidP="00181996">
            <w:pPr>
              <w:spacing w:before="80" w:after="80"/>
              <w:rPr>
                <w:rStyle w:val="Heading1Char"/>
                <w:rFonts w:ascii="Palatino Linotype" w:hAnsi="Palatino Linotype"/>
                <w:i/>
                <w:color w:val="auto"/>
                <w:sz w:val="22"/>
                <w:szCs w:val="22"/>
                <w:lang w:val="en-GB"/>
              </w:rPr>
            </w:pPr>
            <w:r w:rsidRPr="00181996">
              <w:rPr>
                <w:rStyle w:val="Heading1Char"/>
                <w:rFonts w:ascii="Palatino Linotype" w:hAnsi="Palatino Linotype"/>
                <w:i/>
                <w:color w:val="auto"/>
                <w:sz w:val="22"/>
                <w:szCs w:val="22"/>
                <w:lang w:val="en-GB"/>
              </w:rPr>
              <w:t>Flood</w:t>
            </w:r>
          </w:p>
        </w:tc>
        <w:tc>
          <w:tcPr>
            <w:tcW w:w="7616" w:type="dxa"/>
            <w:gridSpan w:val="3"/>
          </w:tcPr>
          <w:p w:rsidR="009D0AAC" w:rsidRPr="00181996" w:rsidRDefault="009D0AAC" w:rsidP="00181996">
            <w:pPr>
              <w:spacing w:before="80" w:after="80"/>
              <w:jc w:val="both"/>
              <w:rPr>
                <w:rStyle w:val="Heading1Char"/>
                <w:rFonts w:ascii="Palatino Linotype" w:hAnsi="Palatino Linotype"/>
                <w:b w:val="0"/>
                <w:color w:val="auto"/>
                <w:sz w:val="22"/>
                <w:szCs w:val="22"/>
                <w:lang w:val="en-GB"/>
              </w:rPr>
            </w:pPr>
            <w:r w:rsidRPr="00181996">
              <w:rPr>
                <w:rStyle w:val="Heading1Char"/>
                <w:rFonts w:ascii="Palatino Linotype" w:hAnsi="Palatino Linotype"/>
                <w:b w:val="0"/>
                <w:color w:val="auto"/>
                <w:sz w:val="22"/>
                <w:szCs w:val="22"/>
                <w:lang w:val="en-GB"/>
              </w:rPr>
              <w:t>The guidance is focused on</w:t>
            </w:r>
            <w:r>
              <w:rPr>
                <w:rStyle w:val="Heading1Char"/>
                <w:rFonts w:ascii="Palatino Linotype" w:hAnsi="Palatino Linotype"/>
                <w:b w:val="0"/>
                <w:color w:val="auto"/>
                <w:sz w:val="22"/>
                <w:szCs w:val="22"/>
                <w:lang w:val="en-GB"/>
              </w:rPr>
              <w:t xml:space="preserve"> drought and flood</w:t>
            </w:r>
            <w:r w:rsidRPr="00181996">
              <w:rPr>
                <w:rStyle w:val="Heading1Char"/>
                <w:rFonts w:ascii="Palatino Linotype" w:hAnsi="Palatino Linotype"/>
                <w:b w:val="0"/>
                <w:color w:val="auto"/>
                <w:sz w:val="22"/>
                <w:szCs w:val="22"/>
                <w:lang w:val="en-GB"/>
              </w:rPr>
              <w:t xml:space="preserve"> impact assessment.</w:t>
            </w:r>
            <w:r>
              <w:rPr>
                <w:rStyle w:val="Heading1Char"/>
                <w:rFonts w:ascii="Palatino Linotype" w:hAnsi="Palatino Linotype"/>
                <w:b w:val="0"/>
                <w:color w:val="auto"/>
                <w:sz w:val="22"/>
                <w:szCs w:val="22"/>
                <w:lang w:val="en-GB"/>
              </w:rPr>
              <w:t xml:space="preserve"> Four of the eight case studies are represented by flood events.</w:t>
            </w:r>
          </w:p>
        </w:tc>
      </w:tr>
      <w:tr w:rsidR="009D0AAC" w:rsidRPr="00606E29" w:rsidTr="0060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Height w:val="302"/>
        </w:trPr>
        <w:tc>
          <w:tcPr>
            <w:tcW w:w="2142" w:type="dxa"/>
          </w:tcPr>
          <w:p w:rsidR="009D0AAC" w:rsidRPr="00181996" w:rsidRDefault="009D0AAC" w:rsidP="00181996">
            <w:pPr>
              <w:spacing w:before="80" w:after="80"/>
              <w:rPr>
                <w:rStyle w:val="Heading1Char"/>
                <w:rFonts w:ascii="Palatino Linotype" w:hAnsi="Palatino Linotype"/>
                <w:i/>
                <w:color w:val="auto"/>
                <w:sz w:val="22"/>
                <w:szCs w:val="22"/>
                <w:lang w:val="en-GB"/>
              </w:rPr>
            </w:pPr>
            <w:r w:rsidRPr="00181996">
              <w:rPr>
                <w:rStyle w:val="Heading1Char"/>
                <w:rFonts w:ascii="Palatino Linotype" w:hAnsi="Palatino Linotype"/>
                <w:i/>
                <w:color w:val="auto"/>
                <w:sz w:val="22"/>
                <w:szCs w:val="22"/>
                <w:lang w:val="en-GB"/>
              </w:rPr>
              <w:t>Data need</w:t>
            </w:r>
          </w:p>
        </w:tc>
        <w:tc>
          <w:tcPr>
            <w:tcW w:w="7616" w:type="dxa"/>
            <w:gridSpan w:val="3"/>
          </w:tcPr>
          <w:p w:rsidR="009D0AAC" w:rsidRPr="00181996" w:rsidRDefault="009D0AAC" w:rsidP="00181996">
            <w:pPr>
              <w:spacing w:before="80" w:after="80" w:line="240" w:lineRule="auto"/>
              <w:jc w:val="both"/>
              <w:rPr>
                <w:rStyle w:val="Heading1Char"/>
                <w:rFonts w:ascii="Palatino Linotype" w:hAnsi="Palatino Linotype"/>
                <w:b w:val="0"/>
                <w:color w:val="auto"/>
                <w:sz w:val="22"/>
                <w:szCs w:val="22"/>
                <w:lang w:val="en-GB"/>
              </w:rPr>
            </w:pPr>
            <w:r>
              <w:rPr>
                <w:rStyle w:val="Heading1Char"/>
                <w:rFonts w:ascii="Palatino Linotype" w:hAnsi="Palatino Linotype"/>
                <w:b w:val="0"/>
                <w:color w:val="auto"/>
                <w:sz w:val="22"/>
                <w:szCs w:val="22"/>
                <w:lang w:val="en-GB"/>
              </w:rPr>
              <w:t>An extensive analysis of data requirement and existing databases is provided.</w:t>
            </w:r>
          </w:p>
        </w:tc>
      </w:tr>
      <w:tr w:rsidR="009D0AAC" w:rsidRPr="00606E29" w:rsidTr="0060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Height w:val="721"/>
        </w:trPr>
        <w:tc>
          <w:tcPr>
            <w:tcW w:w="2142" w:type="dxa"/>
          </w:tcPr>
          <w:p w:rsidR="009D0AAC" w:rsidRPr="00181996" w:rsidRDefault="009D0AAC" w:rsidP="00181996">
            <w:pPr>
              <w:spacing w:before="80" w:after="80"/>
              <w:rPr>
                <w:rStyle w:val="Heading1Char"/>
                <w:rFonts w:ascii="Palatino Linotype" w:hAnsi="Palatino Linotype"/>
                <w:i/>
                <w:color w:val="auto"/>
                <w:sz w:val="22"/>
                <w:szCs w:val="22"/>
                <w:lang w:val="en-GB"/>
              </w:rPr>
            </w:pPr>
            <w:r w:rsidRPr="00181996">
              <w:rPr>
                <w:rStyle w:val="Heading1Char"/>
                <w:rFonts w:ascii="Palatino Linotype" w:hAnsi="Palatino Linotype"/>
                <w:i/>
                <w:color w:val="auto"/>
                <w:sz w:val="22"/>
                <w:szCs w:val="22"/>
                <w:lang w:val="en-GB"/>
              </w:rPr>
              <w:t>Comments</w:t>
            </w:r>
          </w:p>
        </w:tc>
        <w:tc>
          <w:tcPr>
            <w:tcW w:w="7616" w:type="dxa"/>
            <w:gridSpan w:val="3"/>
          </w:tcPr>
          <w:p w:rsidR="009D0AAC" w:rsidRPr="003C7DB9" w:rsidRDefault="009D0AAC" w:rsidP="00181996">
            <w:pPr>
              <w:spacing w:before="80" w:after="80"/>
              <w:jc w:val="both"/>
              <w:rPr>
                <w:rStyle w:val="Heading1Char"/>
                <w:rFonts w:ascii="Palatino Linotype" w:hAnsi="Palatino Linotype"/>
                <w:b w:val="0"/>
                <w:color w:val="auto"/>
                <w:sz w:val="22"/>
                <w:szCs w:val="22"/>
                <w:lang w:val="en-GB"/>
              </w:rPr>
            </w:pPr>
            <w:r w:rsidRPr="003C7DB9">
              <w:rPr>
                <w:rStyle w:val="Heading1Char"/>
                <w:rFonts w:ascii="Palatino Linotype" w:hAnsi="Palatino Linotype"/>
                <w:b w:val="0"/>
                <w:color w:val="auto"/>
                <w:sz w:val="22"/>
                <w:szCs w:val="22"/>
                <w:lang w:val="en-GB"/>
              </w:rPr>
              <w:t>This document has been produced as an output of the PREEMPT – Policy relevant assessment of socioeconomic effects of droughts and floods</w:t>
            </w:r>
            <w:r>
              <w:rPr>
                <w:rStyle w:val="Heading1Char"/>
                <w:rFonts w:ascii="Palatino Linotype" w:hAnsi="Palatino Linotype"/>
                <w:b w:val="0"/>
                <w:color w:val="auto"/>
                <w:sz w:val="22"/>
                <w:szCs w:val="22"/>
                <w:lang w:val="en-GB"/>
              </w:rPr>
              <w:t xml:space="preserve"> - project</w:t>
            </w:r>
            <w:r w:rsidRPr="003C7DB9">
              <w:rPr>
                <w:rStyle w:val="Heading1Char"/>
                <w:rFonts w:ascii="Palatino Linotype" w:hAnsi="Palatino Linotype"/>
                <w:b w:val="0"/>
                <w:color w:val="auto"/>
                <w:sz w:val="22"/>
                <w:szCs w:val="22"/>
                <w:lang w:val="en-GB"/>
              </w:rPr>
              <w:t>. The project has received funding from the European Commission, DG Humanitarian and Aid and Civil Protection – ECHO [grant agreement 070401/2010/579119/SUB/C4]</w:t>
            </w:r>
          </w:p>
        </w:tc>
      </w:tr>
    </w:tbl>
    <w:p w:rsidR="009D0AAC" w:rsidRPr="00AE5697" w:rsidRDefault="009D0AAC" w:rsidP="00C6686B">
      <w:pPr>
        <w:rPr>
          <w:rStyle w:val="Heading2Char"/>
          <w:color w:val="auto"/>
          <w:sz w:val="22"/>
          <w:szCs w:val="22"/>
          <w:lang w:val="en-GB"/>
        </w:rPr>
      </w:pPr>
    </w:p>
    <w:sectPr w:rsidR="009D0AAC" w:rsidRPr="00AE5697" w:rsidSect="00F430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872"/>
    <w:rsid w:val="000110FB"/>
    <w:rsid w:val="0003398C"/>
    <w:rsid w:val="000409C8"/>
    <w:rsid w:val="000602E5"/>
    <w:rsid w:val="000D0DE0"/>
    <w:rsid w:val="00154F11"/>
    <w:rsid w:val="00181996"/>
    <w:rsid w:val="001F1FC6"/>
    <w:rsid w:val="002B3DA2"/>
    <w:rsid w:val="002E01DD"/>
    <w:rsid w:val="003C7DB9"/>
    <w:rsid w:val="004734EB"/>
    <w:rsid w:val="00475825"/>
    <w:rsid w:val="00476459"/>
    <w:rsid w:val="004D5D13"/>
    <w:rsid w:val="005E2677"/>
    <w:rsid w:val="005F573F"/>
    <w:rsid w:val="00606E29"/>
    <w:rsid w:val="006265A9"/>
    <w:rsid w:val="0067078D"/>
    <w:rsid w:val="00771CDF"/>
    <w:rsid w:val="007B373A"/>
    <w:rsid w:val="00862872"/>
    <w:rsid w:val="008748BE"/>
    <w:rsid w:val="008E6362"/>
    <w:rsid w:val="009017F7"/>
    <w:rsid w:val="009D0AAC"/>
    <w:rsid w:val="00A01054"/>
    <w:rsid w:val="00A47827"/>
    <w:rsid w:val="00AB670E"/>
    <w:rsid w:val="00AD09BD"/>
    <w:rsid w:val="00AE5697"/>
    <w:rsid w:val="00B925E9"/>
    <w:rsid w:val="00C34433"/>
    <w:rsid w:val="00C6686B"/>
    <w:rsid w:val="00D83290"/>
    <w:rsid w:val="00DA53F8"/>
    <w:rsid w:val="00E302BE"/>
    <w:rsid w:val="00E934AB"/>
    <w:rsid w:val="00F430B9"/>
    <w:rsid w:val="00FD1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3F"/>
    <w:pPr>
      <w:spacing w:after="200" w:line="276" w:lineRule="auto"/>
    </w:pPr>
    <w:rPr>
      <w:sz w:val="22"/>
      <w:szCs w:val="22"/>
      <w:lang w:eastAsia="en-US"/>
    </w:rPr>
  </w:style>
  <w:style w:type="paragraph" w:styleId="Heading1">
    <w:name w:val="heading 1"/>
    <w:basedOn w:val="Normal"/>
    <w:next w:val="Normal"/>
    <w:link w:val="Heading1Char"/>
    <w:uiPriority w:val="99"/>
    <w:qFormat/>
    <w:rsid w:val="0086287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6287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2872"/>
    <w:rPr>
      <w:rFonts w:ascii="Cambria" w:hAnsi="Cambria" w:cs="Times New Roman"/>
      <w:b/>
      <w:bCs/>
      <w:color w:val="365F91"/>
      <w:sz w:val="28"/>
      <w:szCs w:val="28"/>
    </w:rPr>
  </w:style>
  <w:style w:type="character" w:customStyle="1" w:styleId="Heading2Char">
    <w:name w:val="Heading 2 Char"/>
    <w:link w:val="Heading2"/>
    <w:uiPriority w:val="99"/>
    <w:locked/>
    <w:rsid w:val="00862872"/>
    <w:rPr>
      <w:rFonts w:ascii="Cambria" w:hAnsi="Cambria" w:cs="Times New Roman"/>
      <w:b/>
      <w:bCs/>
      <w:color w:val="4F81BD"/>
      <w:sz w:val="26"/>
      <w:szCs w:val="26"/>
    </w:rPr>
  </w:style>
  <w:style w:type="table" w:styleId="TableGrid">
    <w:name w:val="Table Grid"/>
    <w:basedOn w:val="TableNormal"/>
    <w:uiPriority w:val="99"/>
    <w:rsid w:val="00475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99"/>
    <w:rsid w:val="0047582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uiPriority w:val="99"/>
    <w:semiHidden/>
    <w:rsid w:val="00AD09BD"/>
    <w:rPr>
      <w:rFonts w:cs="Times New Roman"/>
      <w:sz w:val="16"/>
      <w:szCs w:val="16"/>
    </w:rPr>
  </w:style>
  <w:style w:type="paragraph" w:styleId="CommentText">
    <w:name w:val="annotation text"/>
    <w:basedOn w:val="Normal"/>
    <w:link w:val="CommentTextChar"/>
    <w:uiPriority w:val="99"/>
    <w:semiHidden/>
    <w:rsid w:val="00AD09BD"/>
    <w:pPr>
      <w:spacing w:line="240" w:lineRule="auto"/>
    </w:pPr>
    <w:rPr>
      <w:sz w:val="20"/>
      <w:szCs w:val="20"/>
    </w:rPr>
  </w:style>
  <w:style w:type="character" w:customStyle="1" w:styleId="CommentTextChar">
    <w:name w:val="Comment Text Char"/>
    <w:link w:val="CommentText"/>
    <w:uiPriority w:val="99"/>
    <w:semiHidden/>
    <w:locked/>
    <w:rsid w:val="00AD09BD"/>
    <w:rPr>
      <w:rFonts w:cs="Times New Roman"/>
      <w:sz w:val="20"/>
      <w:szCs w:val="20"/>
    </w:rPr>
  </w:style>
  <w:style w:type="paragraph" w:styleId="CommentSubject">
    <w:name w:val="annotation subject"/>
    <w:basedOn w:val="CommentText"/>
    <w:next w:val="CommentText"/>
    <w:link w:val="CommentSubjectChar"/>
    <w:uiPriority w:val="99"/>
    <w:semiHidden/>
    <w:rsid w:val="00AD09BD"/>
    <w:rPr>
      <w:b/>
      <w:bCs/>
    </w:rPr>
  </w:style>
  <w:style w:type="character" w:customStyle="1" w:styleId="CommentSubjectChar">
    <w:name w:val="Comment Subject Char"/>
    <w:link w:val="CommentSubject"/>
    <w:uiPriority w:val="99"/>
    <w:semiHidden/>
    <w:locked/>
    <w:rsid w:val="00AD09BD"/>
    <w:rPr>
      <w:rFonts w:cs="Times New Roman"/>
      <w:b/>
      <w:bCs/>
      <w:sz w:val="20"/>
      <w:szCs w:val="20"/>
    </w:rPr>
  </w:style>
  <w:style w:type="paragraph" w:styleId="BalloonText">
    <w:name w:val="Balloon Text"/>
    <w:basedOn w:val="Normal"/>
    <w:link w:val="BalloonTextChar"/>
    <w:uiPriority w:val="99"/>
    <w:semiHidden/>
    <w:rsid w:val="00AD09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D09BD"/>
    <w:rPr>
      <w:rFonts w:ascii="Tahoma" w:hAnsi="Tahoma" w:cs="Tahoma"/>
      <w:sz w:val="16"/>
      <w:szCs w:val="16"/>
    </w:rPr>
  </w:style>
  <w:style w:type="character" w:styleId="Hyperlink">
    <w:name w:val="Hyperlink"/>
    <w:uiPriority w:val="99"/>
    <w:rsid w:val="00AB670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dc:title>
  <dc:subject/>
  <dc:creator>Fabio Farinosi</dc:creator>
  <cp:keywords/>
  <dc:description/>
  <cp:lastModifiedBy>Fabio Farinosi</cp:lastModifiedBy>
  <cp:revision>9</cp:revision>
  <dcterms:created xsi:type="dcterms:W3CDTF">2013-06-27T09:24:00Z</dcterms:created>
  <dcterms:modified xsi:type="dcterms:W3CDTF">2013-07-25T14:32:00Z</dcterms:modified>
</cp:coreProperties>
</file>