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2481"/>
        <w:gridCol w:w="2478"/>
        <w:gridCol w:w="2575"/>
        <w:gridCol w:w="105"/>
      </w:tblGrid>
      <w:tr w:rsidR="001F7236" w:rsidRPr="00794BEF" w:rsidTr="00794BEF">
        <w:tc>
          <w:tcPr>
            <w:tcW w:w="2151" w:type="dxa"/>
            <w:vMerge w:val="restart"/>
            <w:vAlign w:val="center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703" w:type="dxa"/>
            <w:gridSpan w:val="4"/>
          </w:tcPr>
          <w:p w:rsidR="001F7236" w:rsidRPr="00CF28FB" w:rsidRDefault="001F7236" w:rsidP="00CF28FB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CF28F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Current knowledge on relevant methodologies and data</w:t>
            </w:r>
            <w:r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 </w:t>
            </w:r>
            <w:r w:rsidRPr="00CF28F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requirements as well as lessons learned and gaps</w:t>
            </w:r>
            <w:r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 </w:t>
            </w:r>
            <w:r w:rsidRPr="00CF28F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identified at different levels, in assessing the risk</w:t>
            </w:r>
            <w:r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 </w:t>
            </w:r>
            <w:r w:rsidRPr="00CF28F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of loss and damage associated with the adverse</w:t>
            </w:r>
            <w:r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 xml:space="preserve"> </w:t>
            </w:r>
            <w:r w:rsidRPr="00CF28FB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effects of climate change</w:t>
            </w:r>
          </w:p>
        </w:tc>
      </w:tr>
      <w:tr w:rsidR="001F7236" w:rsidRPr="00794BEF" w:rsidTr="00ED2A14">
        <w:tc>
          <w:tcPr>
            <w:tcW w:w="2235" w:type="dxa"/>
            <w:vMerge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United Nations Framework convention on Climate Change (UNFCCC)</w:t>
            </w:r>
          </w:p>
        </w:tc>
      </w:tr>
      <w:tr w:rsidR="001F7236" w:rsidRPr="00794BEF" w:rsidTr="00ED2A14">
        <w:tc>
          <w:tcPr>
            <w:tcW w:w="2235" w:type="dxa"/>
            <w:vMerge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1F7236" w:rsidRPr="00B42D08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B42D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UNFCCC. (2012). Current knowledge on relevant methodologies and data requirements as well as lessons learned and gaps identified at different levels , in assessing the risk of loss and damage associated with the adverse effects of climate change Technical paper, (May).</w:t>
            </w:r>
          </w:p>
        </w:tc>
      </w:tr>
      <w:tr w:rsidR="001F7236" w:rsidRPr="00794BEF" w:rsidTr="00ED2A14">
        <w:tc>
          <w:tcPr>
            <w:tcW w:w="2235" w:type="dxa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  <w:gridSpan w:val="4"/>
          </w:tcPr>
          <w:p w:rsidR="001F7236" w:rsidRPr="00B42D08" w:rsidRDefault="001F7236" w:rsidP="00B42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B42D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This technical paper aims to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B42D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provide an overview of existing methodologies and tools for assessing the risk of loss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B42D08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and damage associated with the adverse effects of climate change.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18 methods and tools developed by the Climate Change Adaptation (CCA) and the Disaster Risk Reduction (DRR) schools are reviewed.</w:t>
            </w:r>
          </w:p>
        </w:tc>
      </w:tr>
      <w:tr w:rsidR="001F7236" w:rsidRPr="00ED2A14" w:rsidTr="00ED2A14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Cs w:val="0"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1F7236" w:rsidRPr="00ED2A14" w:rsidTr="00ED2A14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F7236" w:rsidRPr="00794BEF" w:rsidTr="00ED2A14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1847"/>
        </w:trPr>
        <w:tc>
          <w:tcPr>
            <w:tcW w:w="2235" w:type="dxa"/>
            <w:vMerge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Country Environmental Analysis (CEA) and Strategic Environmental Assessment (SEA).</w:t>
            </w:r>
          </w:p>
        </w:tc>
        <w:tc>
          <w:tcPr>
            <w:tcW w:w="2504" w:type="dxa"/>
          </w:tcPr>
          <w:p w:rsidR="001F7236" w:rsidRPr="0055426E" w:rsidRDefault="001F7236" w:rsidP="0055426E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Vulnerability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and capacity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assessment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;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community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based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disaster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risk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management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2504" w:type="dxa"/>
          </w:tcPr>
          <w:p w:rsidR="001F7236" w:rsidRPr="0055426E" w:rsidRDefault="001F7236" w:rsidP="0055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 w:rsidRPr="001D0664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Overview of different approaches, methodologies and tools for loss and damage assessment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. Pre-disaster and post-disaster damage assessment; broader risk assessment. Integrated Impact Assessment Models;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Geographic Information Systems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(GIS) technologies;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Catastrophe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risk models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; Probabilistic Risk assessment</w:t>
            </w:r>
            <w:proofErr w:type="gramStart"/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;  GIS</w:t>
            </w:r>
            <w:proofErr w:type="gramEnd"/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combined with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macroeconomic,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mesoeconomic</w:t>
            </w:r>
            <w:proofErr w:type="spellEnd"/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and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microeconomic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55426E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analysis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.</w:t>
            </w:r>
          </w:p>
        </w:tc>
      </w:tr>
      <w:tr w:rsidR="001F7236" w:rsidRPr="001D0664" w:rsidTr="00ED2A14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F7236" w:rsidRPr="00ED2A14" w:rsidRDefault="001F7236" w:rsidP="00ED2A14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794BEF" w:rsidRPr="001D0664" w:rsidTr="00ED2A14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bottom w:val="single" w:sz="8" w:space="0" w:color="4F81BD"/>
            </w:tcBorders>
          </w:tcPr>
          <w:p w:rsidR="00794BEF" w:rsidRPr="00ED2A14" w:rsidRDefault="00794BEF" w:rsidP="00ED2A14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794BEF" w:rsidRPr="00794BEF" w:rsidRDefault="00BE669E" w:rsidP="00BE669E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C00CB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794BEF" w:rsidRPr="00794BEF" w:rsidRDefault="00794BEF" w:rsidP="00794BEF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C00CB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Tangible 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–</w:t>
            </w:r>
            <w:r w:rsidRPr="00AC00CB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Intangible</w:t>
            </w: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794BEF" w:rsidRPr="00794BEF" w:rsidRDefault="00BE669E" w:rsidP="00794BEF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C00CB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Tangible 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–</w:t>
            </w:r>
            <w:r w:rsidRPr="00AC00CB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Intangible</w:t>
            </w:r>
            <w:bookmarkStart w:id="0" w:name="_GoBack"/>
            <w:bookmarkEnd w:id="0"/>
          </w:p>
        </w:tc>
      </w:tr>
      <w:tr w:rsidR="001F7236" w:rsidRPr="00794BEF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26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606" w:type="dxa"/>
            <w:gridSpan w:val="3"/>
          </w:tcPr>
          <w:p w:rsidR="001F7236" w:rsidRPr="009B21DA" w:rsidRDefault="001F7236" w:rsidP="009B21DA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 case studies in EU. One case study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Heading1Char"/>
                    <w:rFonts w:ascii="Palatino Linotype" w:hAnsi="Palatino Linotype"/>
                    <w:b w:val="0"/>
                    <w:color w:val="auto"/>
                    <w:sz w:val="22"/>
                    <w:szCs w:val="22"/>
                    <w:lang w:val="en-GB"/>
                  </w:rPr>
                  <w:t>Bangladesh</w:t>
                </w:r>
              </w:smartTag>
            </w:smartTag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is mentioned for the revision of the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Climate risk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assessment at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community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level in the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agriculture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sector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instrument developed by the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Ministry of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Food and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Disaster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Management of </w:t>
            </w:r>
            <w:r w:rsidRPr="009B21DA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Bangladesh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1F7236" w:rsidRPr="00794BEF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47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lastRenderedPageBreak/>
              <w:t>Uncertainty</w:t>
            </w:r>
          </w:p>
        </w:tc>
        <w:tc>
          <w:tcPr>
            <w:tcW w:w="7606" w:type="dxa"/>
            <w:gridSpan w:val="3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uncertainty issues treated in the reviewed studies is qualitatively described and analysed.</w:t>
            </w:r>
          </w:p>
        </w:tc>
      </w:tr>
      <w:tr w:rsidR="001F7236" w:rsidRPr="00ED2A14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88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606" w:type="dxa"/>
            <w:gridSpan w:val="3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No. The guidance is not specifically aimed at the assessment of climate change patterns. It is specifically focused on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risk</w:t>
            </w:r>
            <w:r w:rsidRPr="00ED2A14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assessment.</w:t>
            </w:r>
          </w:p>
        </w:tc>
      </w:tr>
      <w:tr w:rsidR="001F7236" w:rsidRPr="00794BEF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89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606" w:type="dxa"/>
            <w:gridSpan w:val="3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guidance is focused on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climate change and</w:t>
            </w:r>
            <w:r w:rsidRPr="00ED2A14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natural disasters in general, not specifically on flood.</w:t>
            </w:r>
          </w:p>
        </w:tc>
      </w:tr>
      <w:tr w:rsidR="001F7236" w:rsidRPr="00794BEF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302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606" w:type="dxa"/>
            <w:gridSpan w:val="3"/>
          </w:tcPr>
          <w:p w:rsidR="001F7236" w:rsidRPr="00ED2A14" w:rsidRDefault="001F7236" w:rsidP="00886A41">
            <w:pPr>
              <w:spacing w:before="80" w:after="8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In the guidance, the issues of natural hazard data collection and database management is included through the analysis of two instruments: “</w:t>
            </w:r>
            <w:proofErr w:type="spellStart"/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Desinventar</w:t>
            </w:r>
            <w:proofErr w:type="spellEnd"/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” (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conceptual and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methodological tool for the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construction of databases of loss,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damage, or effects caused by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emergencies or disasters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), and “EM-DAT” (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database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aimed at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rationalizing decision-making for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disaster preparedness, as well as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providing an objective base for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vulnerability assessment and priority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886A41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setting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</w:tr>
      <w:tr w:rsidR="001F7236" w:rsidRPr="00794BEF" w:rsidTr="0079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721"/>
        </w:trPr>
        <w:tc>
          <w:tcPr>
            <w:tcW w:w="2151" w:type="dxa"/>
          </w:tcPr>
          <w:p w:rsidR="001F7236" w:rsidRPr="00ED2A14" w:rsidRDefault="001F7236" w:rsidP="00ED2A14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ED2A14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7606" w:type="dxa"/>
            <w:gridSpan w:val="3"/>
          </w:tcPr>
          <w:p w:rsidR="001F7236" w:rsidRPr="00ED2A14" w:rsidRDefault="001F7236" w:rsidP="00ED2A14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This guidance document provide a review of the most advanced and recent methodologies and tools focused on risk assessment developed by several agencies and institutions belonging to the two schools of thought DRR and CCA.</w:t>
            </w:r>
          </w:p>
        </w:tc>
      </w:tr>
    </w:tbl>
    <w:p w:rsidR="001F7236" w:rsidRPr="00AE5697" w:rsidRDefault="001F7236" w:rsidP="00C6686B">
      <w:pPr>
        <w:rPr>
          <w:rStyle w:val="Heading2Char"/>
          <w:color w:val="auto"/>
          <w:sz w:val="22"/>
          <w:szCs w:val="22"/>
          <w:lang w:val="en-GB"/>
        </w:rPr>
      </w:pPr>
    </w:p>
    <w:sectPr w:rsidR="001F7236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872"/>
    <w:rsid w:val="000110FB"/>
    <w:rsid w:val="0003398C"/>
    <w:rsid w:val="000602E5"/>
    <w:rsid w:val="000D0DE0"/>
    <w:rsid w:val="001D0664"/>
    <w:rsid w:val="001E2905"/>
    <w:rsid w:val="001F1FC6"/>
    <w:rsid w:val="001F7236"/>
    <w:rsid w:val="002B3DA2"/>
    <w:rsid w:val="002E01DD"/>
    <w:rsid w:val="00475825"/>
    <w:rsid w:val="00476459"/>
    <w:rsid w:val="004D5D13"/>
    <w:rsid w:val="0055426E"/>
    <w:rsid w:val="00573160"/>
    <w:rsid w:val="005E2677"/>
    <w:rsid w:val="006265A9"/>
    <w:rsid w:val="00771CDF"/>
    <w:rsid w:val="00794BEF"/>
    <w:rsid w:val="007B373A"/>
    <w:rsid w:val="00862872"/>
    <w:rsid w:val="008748BE"/>
    <w:rsid w:val="00886A41"/>
    <w:rsid w:val="009B21DA"/>
    <w:rsid w:val="009C1DEE"/>
    <w:rsid w:val="00A47827"/>
    <w:rsid w:val="00AB670E"/>
    <w:rsid w:val="00AD09BD"/>
    <w:rsid w:val="00AE5697"/>
    <w:rsid w:val="00B42D08"/>
    <w:rsid w:val="00B925E9"/>
    <w:rsid w:val="00BE669E"/>
    <w:rsid w:val="00C34433"/>
    <w:rsid w:val="00C6686B"/>
    <w:rsid w:val="00CF28FB"/>
    <w:rsid w:val="00DA53F8"/>
    <w:rsid w:val="00E302BE"/>
    <w:rsid w:val="00E91608"/>
    <w:rsid w:val="00E934AB"/>
    <w:rsid w:val="00ED2A14"/>
    <w:rsid w:val="00F430B9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8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28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62872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47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47582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rsid w:val="00AD09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D09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09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D09B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B67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FA18-8EEA-43AB-8BFE-BC38F700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Fabio Farinosi</dc:creator>
  <cp:keywords/>
  <dc:description/>
  <cp:lastModifiedBy>Fabio Farinosi</cp:lastModifiedBy>
  <cp:revision>8</cp:revision>
  <dcterms:created xsi:type="dcterms:W3CDTF">2013-06-26T10:32:00Z</dcterms:created>
  <dcterms:modified xsi:type="dcterms:W3CDTF">2013-07-25T14:53:00Z</dcterms:modified>
</cp:coreProperties>
</file>