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2481"/>
        <w:gridCol w:w="2478"/>
        <w:gridCol w:w="2575"/>
        <w:gridCol w:w="105"/>
      </w:tblGrid>
      <w:tr w:rsidR="001F7236" w:rsidRPr="00794BEF" w:rsidTr="00794BEF">
        <w:tc>
          <w:tcPr>
            <w:tcW w:w="2151" w:type="dxa"/>
            <w:vMerge w:val="restart"/>
            <w:vAlign w:val="center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7703" w:type="dxa"/>
            <w:gridSpan w:val="4"/>
          </w:tcPr>
          <w:p w:rsidR="001F7236" w:rsidRPr="00CF28FB" w:rsidRDefault="001F7236" w:rsidP="00CF28FB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</w:pPr>
            <w:r w:rsidRPr="00CF28FB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Current knowledge on relevant methodologies and data</w:t>
            </w:r>
            <w:r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 </w:t>
            </w:r>
            <w:r w:rsidRPr="00CF28FB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requirements as well as lessons learned and gaps</w:t>
            </w:r>
            <w:r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 </w:t>
            </w:r>
            <w:r w:rsidRPr="00CF28FB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identified at different levels, in assessing the risk</w:t>
            </w:r>
            <w:r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 </w:t>
            </w:r>
            <w:r w:rsidRPr="00CF28FB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of loss and damage associated with the adverse</w:t>
            </w:r>
            <w:r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 xml:space="preserve"> </w:t>
            </w:r>
            <w:r w:rsidRPr="00CF28FB">
              <w:rPr>
                <w:rStyle w:val="Heading1Char"/>
                <w:rFonts w:ascii="Palatino Linotype" w:hAnsi="Palatino Linotype"/>
                <w:color w:val="auto"/>
                <w:sz w:val="24"/>
                <w:szCs w:val="24"/>
                <w:lang w:val="en-GB"/>
              </w:rPr>
              <w:t>effects of climate change</w:t>
            </w:r>
          </w:p>
        </w:tc>
      </w:tr>
      <w:tr w:rsidR="001F7236" w:rsidRPr="00794BEF" w:rsidTr="00ED2A14">
        <w:tc>
          <w:tcPr>
            <w:tcW w:w="2235" w:type="dxa"/>
            <w:vMerge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gridSpan w:val="4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United Nations Framework convention on Climate Change (UNFCCC)</w:t>
            </w:r>
          </w:p>
        </w:tc>
      </w:tr>
      <w:tr w:rsidR="001F7236" w:rsidRPr="00794BEF" w:rsidTr="00ED2A14">
        <w:tc>
          <w:tcPr>
            <w:tcW w:w="2235" w:type="dxa"/>
            <w:vMerge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  <w:gridSpan w:val="4"/>
          </w:tcPr>
          <w:p w:rsidR="001F7236" w:rsidRPr="00B42D08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B42D0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UNFCCC. (2012). Current knowledge on relevant methodologies and data requirements as well as lessons learned and gaps identified at different levels , in assessing the risk of loss and damage associated with the adverse effects of climate change Technical paper, (May).</w:t>
            </w:r>
          </w:p>
        </w:tc>
      </w:tr>
      <w:tr w:rsidR="001F7236" w:rsidRPr="00794BEF" w:rsidTr="00ED2A14">
        <w:tc>
          <w:tcPr>
            <w:tcW w:w="2235" w:type="dxa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4"/>
                <w:szCs w:val="24"/>
                <w:lang w:val="en-GB"/>
              </w:rPr>
              <w:t>Scope</w:t>
            </w:r>
          </w:p>
        </w:tc>
        <w:tc>
          <w:tcPr>
            <w:tcW w:w="7512" w:type="dxa"/>
            <w:gridSpan w:val="4"/>
          </w:tcPr>
          <w:p w:rsidR="001F7236" w:rsidRPr="00B42D08" w:rsidRDefault="001F7236" w:rsidP="00B42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</w:pPr>
            <w:r w:rsidRPr="00B42D0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This technical paper aims to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B42D0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provide an overview of existing methodologies and tools for assessing the risk of loss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</w:t>
            </w:r>
            <w:r w:rsidRPr="00B42D08"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>and damage associated with the adverse effects of climate change.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4"/>
                <w:szCs w:val="24"/>
                <w:lang w:val="en-GB"/>
              </w:rPr>
              <w:t xml:space="preserve"> 18 methods and tools developed by the Climate Change Adaptation (CCA) and the Disaster Risk Reduction (DRR) schools are reviewed.</w:t>
            </w:r>
          </w:p>
        </w:tc>
      </w:tr>
      <w:tr w:rsidR="001F7236" w:rsidRPr="00ED2A14" w:rsidTr="00ED2A14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Cs w:val="0"/>
                <w:i/>
                <w:color w:val="auto"/>
                <w:sz w:val="22"/>
                <w:szCs w:val="22"/>
                <w:lang w:val="en-GB"/>
              </w:rPr>
              <w:t>Impacts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Environmental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Social</w:t>
            </w:r>
          </w:p>
        </w:tc>
        <w:tc>
          <w:tcPr>
            <w:tcW w:w="250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  <w:t>Economic</w:t>
            </w:r>
          </w:p>
        </w:tc>
      </w:tr>
      <w:tr w:rsidR="001F7236" w:rsidRPr="00ED2A14" w:rsidTr="00ED2A14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  <w:sym w:font="Wingdings" w:char="F0FC"/>
            </w:r>
          </w:p>
        </w:tc>
      </w:tr>
      <w:tr w:rsidR="001F7236" w:rsidRPr="00794BEF" w:rsidTr="00ED2A14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  <w:trHeight w:val="1847"/>
        </w:trPr>
        <w:tc>
          <w:tcPr>
            <w:tcW w:w="2235" w:type="dxa"/>
            <w:vMerge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Country Environmental Analysis (CEA) and Strategic Environmental Assessment (SEA).</w:t>
            </w:r>
          </w:p>
        </w:tc>
        <w:tc>
          <w:tcPr>
            <w:tcW w:w="2504" w:type="dxa"/>
          </w:tcPr>
          <w:p w:rsidR="001F7236" w:rsidRPr="0055426E" w:rsidRDefault="001F7236" w:rsidP="0055426E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Vulnerability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and capacity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assessment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;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community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based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disaster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risk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management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2504" w:type="dxa"/>
          </w:tcPr>
          <w:p w:rsidR="001F7236" w:rsidRPr="0055426E" w:rsidRDefault="001F7236" w:rsidP="00554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</w:pPr>
            <w:r w:rsidRPr="001D0664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Overview of different approaches, methodologies and tools for loss and damage assessment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. Pre-disaster and post-disaster damage assessment; broader risk assessment. Integrated Impact Assessment Models;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Geographic Information Systems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(GIS) technologies;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Catastrophe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risk models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; Probabilistic Risk assessment</w:t>
            </w:r>
            <w:proofErr w:type="gramStart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;  GIS</w:t>
            </w:r>
            <w:proofErr w:type="gramEnd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combined with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macroeconomic,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mesoeconomic</w:t>
            </w:r>
            <w:proofErr w:type="spellEnd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and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microeconomic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55426E"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analysis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1F7236" w:rsidRPr="001D0664" w:rsidTr="00ED2A14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  <w:tc>
          <w:tcPr>
            <w:tcW w:w="2504" w:type="dxa"/>
            <w:tcBorders>
              <w:left w:val="nil"/>
              <w:right w:val="nil"/>
            </w:tcBorders>
            <w:shd w:val="clear" w:color="auto" w:fill="D3DFEE"/>
          </w:tcPr>
          <w:p w:rsidR="001F7236" w:rsidRPr="00ED2A14" w:rsidRDefault="001F7236" w:rsidP="00ED2A14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Direct - Indirect</w:t>
            </w:r>
          </w:p>
        </w:tc>
      </w:tr>
      <w:tr w:rsidR="00794BEF" w:rsidRPr="001D0664" w:rsidTr="00ED2A14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2235" w:type="dxa"/>
            <w:vMerge/>
            <w:tcBorders>
              <w:bottom w:val="single" w:sz="8" w:space="0" w:color="4F81BD"/>
            </w:tcBorders>
          </w:tcPr>
          <w:p w:rsidR="00794BEF" w:rsidRPr="00ED2A14" w:rsidRDefault="00794BEF" w:rsidP="00ED2A14">
            <w:pPr>
              <w:spacing w:before="80" w:after="80"/>
              <w:rPr>
                <w:rStyle w:val="Heading1Char"/>
                <w:rFonts w:ascii="Palatino Linotype" w:hAnsi="Palatino Linotype"/>
                <w:b w:val="0"/>
                <w:bCs w:val="0"/>
                <w:i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794BEF" w:rsidRPr="00794BEF" w:rsidRDefault="00BE669E" w:rsidP="00BE669E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C00CB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Tangible</w:t>
            </w: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794BEF" w:rsidRPr="00794BEF" w:rsidRDefault="00794BEF" w:rsidP="00794BEF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C00CB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Tangible 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–</w:t>
            </w:r>
            <w:r w:rsidRPr="00AC00CB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Intangible</w:t>
            </w:r>
          </w:p>
        </w:tc>
        <w:tc>
          <w:tcPr>
            <w:tcW w:w="2504" w:type="dxa"/>
            <w:tcBorders>
              <w:bottom w:val="single" w:sz="8" w:space="0" w:color="4F81BD"/>
            </w:tcBorders>
          </w:tcPr>
          <w:p w:rsidR="00794BEF" w:rsidRPr="00794BEF" w:rsidRDefault="00BE669E" w:rsidP="00794BEF">
            <w:pPr>
              <w:spacing w:before="80" w:after="80"/>
              <w:jc w:val="center"/>
              <w:rPr>
                <w:rStyle w:val="Heading1Char"/>
                <w:rFonts w:ascii="Palatino Linotype" w:hAnsi="Palatino Linotype"/>
                <w:i/>
                <w:color w:val="auto"/>
                <w:sz w:val="20"/>
                <w:szCs w:val="20"/>
                <w:lang w:val="en-GB"/>
              </w:rPr>
            </w:pPr>
            <w:r w:rsidRPr="00AC00CB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Tangible </w:t>
            </w:r>
            <w:r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>–</w:t>
            </w:r>
            <w:r w:rsidRPr="00AC00CB">
              <w:rPr>
                <w:rStyle w:val="Heading1Char"/>
                <w:rFonts w:ascii="Palatino Linotype" w:hAnsi="Palatino Linotype"/>
                <w:b w:val="0"/>
                <w:i/>
                <w:color w:val="auto"/>
                <w:sz w:val="20"/>
                <w:szCs w:val="20"/>
                <w:lang w:val="en-GB"/>
              </w:rPr>
              <w:t xml:space="preserve"> Intangible</w:t>
            </w:r>
            <w:bookmarkStart w:id="0" w:name="_GoBack"/>
            <w:bookmarkEnd w:id="0"/>
          </w:p>
        </w:tc>
      </w:tr>
      <w:tr w:rsidR="001F7236" w:rsidRPr="00794BEF" w:rsidTr="0079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26"/>
        </w:trPr>
        <w:tc>
          <w:tcPr>
            <w:tcW w:w="2151" w:type="dxa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Case Studies </w:t>
            </w:r>
          </w:p>
        </w:tc>
        <w:tc>
          <w:tcPr>
            <w:tcW w:w="7606" w:type="dxa"/>
            <w:gridSpan w:val="3"/>
          </w:tcPr>
          <w:p w:rsidR="001F7236" w:rsidRPr="009B21DA" w:rsidRDefault="001F7236" w:rsidP="009B21DA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No case studies in EU. One case study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Heading1Char"/>
                    <w:rFonts w:ascii="Palatino Linotype" w:hAnsi="Palatino Linotype"/>
                    <w:b w:val="0"/>
                    <w:color w:val="auto"/>
                    <w:sz w:val="22"/>
                    <w:szCs w:val="22"/>
                    <w:lang w:val="en-GB"/>
                  </w:rPr>
                  <w:t>Bangladesh</w:t>
                </w:r>
              </w:smartTag>
            </w:smartTag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is mentioned for the revision of the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Climate risk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assessment at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community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level in the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agriculture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sector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instrument developed by the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Ministry of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Food and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Disaster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Management of </w:t>
            </w:r>
            <w:r w:rsidRPr="009B21DA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Bangladesh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1F7236" w:rsidRPr="00794BEF" w:rsidTr="0079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47"/>
        </w:trPr>
        <w:tc>
          <w:tcPr>
            <w:tcW w:w="2151" w:type="dxa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lastRenderedPageBreak/>
              <w:t>Uncertainty</w:t>
            </w:r>
          </w:p>
        </w:tc>
        <w:tc>
          <w:tcPr>
            <w:tcW w:w="7606" w:type="dxa"/>
            <w:gridSpan w:val="3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 uncertainty issues treated in the reviewed studies is qualitatively described and analysed.</w:t>
            </w:r>
          </w:p>
        </w:tc>
      </w:tr>
      <w:tr w:rsidR="001F7236" w:rsidRPr="00ED2A14" w:rsidTr="0079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88"/>
        </w:trPr>
        <w:tc>
          <w:tcPr>
            <w:tcW w:w="2151" w:type="dxa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 xml:space="preserve">Climate Change </w:t>
            </w:r>
          </w:p>
        </w:tc>
        <w:tc>
          <w:tcPr>
            <w:tcW w:w="7606" w:type="dxa"/>
            <w:gridSpan w:val="3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No. The guidance is not specifically aimed at the assessment of climate change patterns. It is specifically focused on 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risk</w:t>
            </w:r>
            <w:r w:rsidRPr="00ED2A14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assessment.</w:t>
            </w:r>
          </w:p>
        </w:tc>
      </w:tr>
      <w:tr w:rsidR="001F7236" w:rsidRPr="00794BEF" w:rsidTr="0079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89"/>
        </w:trPr>
        <w:tc>
          <w:tcPr>
            <w:tcW w:w="2151" w:type="dxa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Flood</w:t>
            </w:r>
          </w:p>
        </w:tc>
        <w:tc>
          <w:tcPr>
            <w:tcW w:w="7606" w:type="dxa"/>
            <w:gridSpan w:val="3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The guidance is focused on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climate change and</w:t>
            </w:r>
            <w:r w:rsidRPr="00ED2A14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natural disasters in general, not specifically on flood.</w:t>
            </w:r>
          </w:p>
        </w:tc>
      </w:tr>
      <w:tr w:rsidR="001F7236" w:rsidRPr="00794BEF" w:rsidTr="0079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302"/>
        </w:trPr>
        <w:tc>
          <w:tcPr>
            <w:tcW w:w="2151" w:type="dxa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Data need</w:t>
            </w:r>
          </w:p>
        </w:tc>
        <w:tc>
          <w:tcPr>
            <w:tcW w:w="7606" w:type="dxa"/>
            <w:gridSpan w:val="3"/>
          </w:tcPr>
          <w:p w:rsidR="001F7236" w:rsidRPr="00ED2A14" w:rsidRDefault="001F7236" w:rsidP="00886A41">
            <w:pPr>
              <w:spacing w:before="80" w:after="80" w:line="240" w:lineRule="auto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In the guidance, the issues of natural hazard data collection and database management is included through the analysis of two instruments: “</w:t>
            </w:r>
            <w:proofErr w:type="spellStart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Desinventar</w:t>
            </w:r>
            <w:proofErr w:type="spellEnd"/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” (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conceptual and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methodological tool for the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construction of databases of loss,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damage, or effects caused by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emergencies or disasters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), and “EM-DAT” (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database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aimed at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rationalizing decision-making for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disaster preparedness, as well as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providing an objective base for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vulnerability assessment and priority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86A41"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setting</w:t>
            </w: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1F7236" w:rsidRPr="00794BEF" w:rsidTr="00794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721"/>
        </w:trPr>
        <w:tc>
          <w:tcPr>
            <w:tcW w:w="2151" w:type="dxa"/>
          </w:tcPr>
          <w:p w:rsidR="001F7236" w:rsidRPr="00ED2A14" w:rsidRDefault="001F7236" w:rsidP="00ED2A14">
            <w:pPr>
              <w:spacing w:before="80" w:after="80"/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</w:pPr>
            <w:r w:rsidRPr="00ED2A14">
              <w:rPr>
                <w:rStyle w:val="Heading1Char"/>
                <w:rFonts w:ascii="Palatino Linotype" w:hAnsi="Palatino Linotype"/>
                <w:i/>
                <w:color w:val="auto"/>
                <w:sz w:val="22"/>
                <w:szCs w:val="22"/>
                <w:lang w:val="en-GB"/>
              </w:rPr>
              <w:t>Comments</w:t>
            </w:r>
          </w:p>
        </w:tc>
        <w:tc>
          <w:tcPr>
            <w:tcW w:w="7606" w:type="dxa"/>
            <w:gridSpan w:val="3"/>
          </w:tcPr>
          <w:p w:rsidR="001F7236" w:rsidRPr="00ED2A14" w:rsidRDefault="001F7236" w:rsidP="00ED2A14">
            <w:pPr>
              <w:spacing w:before="80" w:after="80"/>
              <w:jc w:val="both"/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Style w:val="Heading1Char"/>
                <w:rFonts w:ascii="Palatino Linotype" w:hAnsi="Palatino Linotype"/>
                <w:b w:val="0"/>
                <w:color w:val="auto"/>
                <w:sz w:val="22"/>
                <w:szCs w:val="22"/>
                <w:lang w:val="en-GB"/>
              </w:rPr>
              <w:t>This guidance document provide a review of the most advanced and recent methodologies and tools focused on risk assessment developed by several agencies and institutions belonging to the two schools of thought DRR and CCA.</w:t>
            </w:r>
          </w:p>
        </w:tc>
      </w:tr>
    </w:tbl>
    <w:p w:rsidR="001F7236" w:rsidRPr="00AE5697" w:rsidRDefault="001F7236" w:rsidP="00C6686B">
      <w:pPr>
        <w:rPr>
          <w:rStyle w:val="Heading2Char"/>
          <w:color w:val="auto"/>
          <w:sz w:val="22"/>
          <w:szCs w:val="22"/>
          <w:lang w:val="en-GB"/>
        </w:rPr>
      </w:pPr>
    </w:p>
    <w:sectPr w:rsidR="001F7236" w:rsidRPr="00AE5697" w:rsidSect="00F4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872"/>
    <w:rsid w:val="000110FB"/>
    <w:rsid w:val="0003398C"/>
    <w:rsid w:val="000602E5"/>
    <w:rsid w:val="000D0DE0"/>
    <w:rsid w:val="001D0664"/>
    <w:rsid w:val="001E2905"/>
    <w:rsid w:val="001F1FC6"/>
    <w:rsid w:val="001F7236"/>
    <w:rsid w:val="002B3DA2"/>
    <w:rsid w:val="002E01DD"/>
    <w:rsid w:val="00475825"/>
    <w:rsid w:val="00476459"/>
    <w:rsid w:val="004D5D13"/>
    <w:rsid w:val="0055426E"/>
    <w:rsid w:val="00573160"/>
    <w:rsid w:val="005E2677"/>
    <w:rsid w:val="006265A9"/>
    <w:rsid w:val="00771CDF"/>
    <w:rsid w:val="00794BEF"/>
    <w:rsid w:val="007B373A"/>
    <w:rsid w:val="00862872"/>
    <w:rsid w:val="008748BE"/>
    <w:rsid w:val="00886A41"/>
    <w:rsid w:val="009B21DA"/>
    <w:rsid w:val="009C1DEE"/>
    <w:rsid w:val="00A47827"/>
    <w:rsid w:val="00AB670E"/>
    <w:rsid w:val="00AD09BD"/>
    <w:rsid w:val="00AE5697"/>
    <w:rsid w:val="00B42D08"/>
    <w:rsid w:val="00B925E9"/>
    <w:rsid w:val="00BE669E"/>
    <w:rsid w:val="00C34433"/>
    <w:rsid w:val="00C6686B"/>
    <w:rsid w:val="00CF28FB"/>
    <w:rsid w:val="00DA53F8"/>
    <w:rsid w:val="00E302BE"/>
    <w:rsid w:val="00E91608"/>
    <w:rsid w:val="00E934AB"/>
    <w:rsid w:val="00ED2A14"/>
    <w:rsid w:val="00F430B9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E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8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8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628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62872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475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47582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rsid w:val="00AD09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D09B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9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D09B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09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B67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FA18-8EEA-43AB-8BFE-BC38F700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Fabio Farinosi</dc:creator>
  <cp:keywords/>
  <dc:description/>
  <cp:lastModifiedBy>Fabio Farinosi</cp:lastModifiedBy>
  <cp:revision>8</cp:revision>
  <dcterms:created xsi:type="dcterms:W3CDTF">2013-06-26T10:32:00Z</dcterms:created>
  <dcterms:modified xsi:type="dcterms:W3CDTF">2013-07-25T14:53:00Z</dcterms:modified>
</cp:coreProperties>
</file>