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4A3B1" w14:textId="182F91D0" w:rsidR="00E24646" w:rsidRDefault="00EC2763">
      <w:pPr>
        <w:rPr>
          <w:noProof/>
          <w:lang w:eastAsia="de-AT"/>
        </w:rPr>
      </w:pPr>
      <w:r>
        <w:rPr>
          <w:noProof/>
          <w:lang w:eastAsia="en-GB"/>
        </w:rPr>
        <w:drawing>
          <wp:anchor distT="0" distB="0" distL="114300" distR="114300" simplePos="0" relativeHeight="251757056" behindDoc="0" locked="0" layoutInCell="1" allowOverlap="1" wp14:anchorId="12CD0962" wp14:editId="73F99A59">
            <wp:simplePos x="0" y="0"/>
            <wp:positionH relativeFrom="column">
              <wp:posOffset>351472</wp:posOffset>
            </wp:positionH>
            <wp:positionV relativeFrom="paragraph">
              <wp:posOffset>-838847</wp:posOffset>
            </wp:positionV>
            <wp:extent cx="5235575" cy="7590790"/>
            <wp:effectExtent l="3493" t="0" r="6667" b="6668"/>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529.JPG"/>
                    <pic:cNvPicPr/>
                  </pic:nvPicPr>
                  <pic:blipFill rotWithShape="1">
                    <a:blip r:embed="rId8">
                      <a:extLst>
                        <a:ext uri="{28A0092B-C50C-407E-A947-70E740481C1C}">
                          <a14:useLocalDpi xmlns:a14="http://schemas.microsoft.com/office/drawing/2010/main" val="0"/>
                        </a:ext>
                      </a:extLst>
                    </a:blip>
                    <a:srcRect l="-1" r="48270"/>
                    <a:stretch/>
                  </pic:blipFill>
                  <pic:spPr bwMode="auto">
                    <a:xfrm rot="5400000">
                      <a:off x="0" y="0"/>
                      <a:ext cx="5235575" cy="7590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9A912A" w14:textId="5A74C226" w:rsidR="00E24646" w:rsidRPr="00EF22BA" w:rsidRDefault="00EC2763" w:rsidP="00941ABB">
      <w:pPr>
        <w:jc w:val="right"/>
        <w:rPr>
          <w:noProof/>
          <w:lang w:val="en-US" w:eastAsia="de-AT"/>
        </w:rPr>
      </w:pPr>
      <w:r>
        <w:rPr>
          <w:noProof/>
          <w:lang w:eastAsia="en-GB"/>
        </w:rPr>
        <mc:AlternateContent>
          <mc:Choice Requires="wps">
            <w:drawing>
              <wp:anchor distT="0" distB="0" distL="114300" distR="114300" simplePos="0" relativeHeight="251642368" behindDoc="0" locked="0" layoutInCell="1" allowOverlap="1" wp14:anchorId="0D2BC711" wp14:editId="6A6D4B6A">
                <wp:simplePos x="0" y="0"/>
                <wp:positionH relativeFrom="column">
                  <wp:posOffset>-810260</wp:posOffset>
                </wp:positionH>
                <wp:positionV relativeFrom="paragraph">
                  <wp:posOffset>156845</wp:posOffset>
                </wp:positionV>
                <wp:extent cx="7595870" cy="6907860"/>
                <wp:effectExtent l="0" t="0" r="5080" b="7620"/>
                <wp:wrapNone/>
                <wp:docPr id="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5870" cy="6907860"/>
                        </a:xfrm>
                        <a:prstGeom prst="rect">
                          <a:avLst/>
                        </a:prstGeom>
                        <a:solidFill>
                          <a:srgbClr val="0081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CC4D9" id="Rectangle 14" o:spid="_x0000_s1026" style="position:absolute;margin-left:-63.8pt;margin-top:12.35pt;width:598.1pt;height:543.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w5LgQIAAP0EAAAOAAAAZHJzL2Uyb0RvYy54bWysVNuO0zAQfUfiHyy/d5OUtLlo09VeKEJa&#10;YMXCB7i201g4trHdpruIf2fstKUFHhCiD64nMx6fM3PGl1e7XqItt05o1eDsIsWIK6qZUOsGf/60&#10;nJQYOU8UI1Ir3uAn7vDV4uWLy8HUfKo7LRm3CJIoVw+mwZ33pk4SRzveE3ehDVfgbLXtiQfTrhNm&#10;yQDZe5lM03SeDNoyYzXlzsHXu9GJFzF/23LqP7St4x7JBgM2H1cb11VYk8UlqdeWmE7QPQzyDyh6&#10;IhRcekx1RzxBGyt+S9ULarXTrb+guk902wrKIwdgk6W/sHnsiOGRCxTHmWOZ3P9LS99vHywSrMFz&#10;jBTpoUUfoWhErSVHWR7qMxhXQ9ijebCBoTP3mn5xSOnbDsL4tbV66DhhgCoL8cnZgWA4OIpWwzvN&#10;ID3ZeB1LtWttHxJCEdAuduTp2BG+84jCx2JWzcoCGkfBN6/SopzHniWkPhw31vk3XPcobBpsAX1M&#10;T7b3zgc4pD6ERPhaCrYUUkbDrle30qItCfJIy6x4FRkAy9MwqUKw0uHYmHH8AijhjuALeGO7v1XZ&#10;NE9vptVkOS+LSb7MZ5OqSMtJmlU31TzNq/xu+T0AzPK6E4xxdS8UP0gvy/+utfshGEUTxYeGBlez&#10;6SxyP0Pvzkmm8PsTyV54mEQp+gaXIWY/G6GzrxUD2qT2RMhxn5zDj1WGGhz+Y1WiDkLrRwmtNHsC&#10;GVgNTYKGwpsBm07bZ4wGmL8Gu68bYjlG8q0CKVVZnoeBjUY+K6Zg2FPP6tRDFIVUDfYYjdtbPw75&#10;xlix7uCmLBZG6WuQXyuiMII0R1R70cKMRQb79yAM8akdo36+WosfAAAA//8DAFBLAwQUAAYACAAA&#10;ACEA+E5fqeQAAAANAQAADwAAAGRycy9kb3ducmV2LnhtbEyPy07DMBBF90j8gzVIbFBrJ6C0CnEq&#10;BGKFqErLc+fEJg6Nx1HstunfM13Bbh5Hd84Ui9F1bG+G0HqUkEwFMIO11y02El43j5M5sBAVatV5&#10;NBKOJsCiPD8rVK79AV/Mfh0bRiEYciXBxtjnnIfaGqfC1PcGafftB6citUPD9aAOFO46ngqRcada&#10;pAtW9ebemnq73jkJTx/vdvv2I5ZXq6/nZd9fb1bV54OUlxfj3S2waMb4B8NJn9ShJKfK71AH1kmY&#10;JOksI1ZCejMDdiJENqdJRVWSpBnwsuD/vyh/AQAA//8DAFBLAQItABQABgAIAAAAIQC2gziS/gAA&#10;AOEBAAATAAAAAAAAAAAAAAAAAAAAAABbQ29udGVudF9UeXBlc10ueG1sUEsBAi0AFAAGAAgAAAAh&#10;ADj9If/WAAAAlAEAAAsAAAAAAAAAAAAAAAAALwEAAF9yZWxzLy5yZWxzUEsBAi0AFAAGAAgAAAAh&#10;ADMnDkuBAgAA/QQAAA4AAAAAAAAAAAAAAAAALgIAAGRycy9lMm9Eb2MueG1sUEsBAi0AFAAGAAgA&#10;AAAhAPhOX6nkAAAADQEAAA8AAAAAAAAAAAAAAAAA2wQAAGRycy9kb3ducmV2LnhtbFBLBQYAAAAA&#10;BAAEAPMAAADsBQAAAAA=&#10;" fillcolor="#008173" stroked="f"/>
            </w:pict>
          </mc:Fallback>
        </mc:AlternateContent>
      </w:r>
    </w:p>
    <w:p w14:paraId="68984E06" w14:textId="2E1331F0" w:rsidR="00E00C4A" w:rsidRPr="00EF22BA" w:rsidRDefault="000A0D1B">
      <w:pPr>
        <w:rPr>
          <w:lang w:val="en-US"/>
        </w:rPr>
      </w:pPr>
      <w:r w:rsidRPr="00A96010">
        <w:rPr>
          <w:noProof/>
          <w:lang w:eastAsia="en-GB"/>
        </w:rPr>
        <w:drawing>
          <wp:anchor distT="0" distB="0" distL="114300" distR="114300" simplePos="0" relativeHeight="251763200" behindDoc="0" locked="0" layoutInCell="1" allowOverlap="1" wp14:anchorId="465AC1EC" wp14:editId="52423CF9">
            <wp:simplePos x="0" y="0"/>
            <wp:positionH relativeFrom="column">
              <wp:posOffset>3305810</wp:posOffset>
            </wp:positionH>
            <wp:positionV relativeFrom="page">
              <wp:posOffset>9676130</wp:posOffset>
            </wp:positionV>
            <wp:extent cx="2884805" cy="694690"/>
            <wp:effectExtent l="0" t="0" r="0" b="0"/>
            <wp:wrapThrough wrapText="bothSides">
              <wp:wrapPolygon edited="0">
                <wp:start x="0" y="0"/>
                <wp:lineTo x="0" y="20731"/>
                <wp:lineTo x="21396" y="20731"/>
                <wp:lineTo x="21396" y="0"/>
                <wp:lineTo x="0" y="0"/>
              </wp:wrapPolygon>
            </wp:wrapThrough>
            <wp:docPr id="7173" name="Picture 4" descr="G:\COM\COM 2\Caspersen\Planning\2013\Corporate design\General guidlines\Design guidelines for ETCs\Final file packages for ETCs\ETC-ULS design guidelines files\Logo\ULSS standard logo\ULS-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OM\COM 2\Caspersen\Planning\2013\Corporate design\General guidlines\Design guidelines for ETCs\Final file packages for ETCs\ETC-ULS design guidelines files\Logo\ULSS standard logo\ULS-cropped.jpg"/>
                    <pic:cNvPicPr>
                      <a:picLocks noChangeAspect="1" noChangeArrowheads="1"/>
                    </pic:cNvPicPr>
                  </pic:nvPicPr>
                  <pic:blipFill rotWithShape="1">
                    <a:blip r:embed="rId9">
                      <a:extLst>
                        <a:ext uri="{28A0092B-C50C-407E-A947-70E740481C1C}">
                          <a14:useLocalDpi xmlns:a14="http://schemas.microsoft.com/office/drawing/2010/main" val="0"/>
                        </a:ext>
                      </a:extLst>
                    </a:blip>
                    <a:srcRect t="5246"/>
                    <a:stretch/>
                  </pic:blipFill>
                  <pic:spPr bwMode="auto">
                    <a:xfrm>
                      <a:off x="0" y="0"/>
                      <a:ext cx="2884805" cy="694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761152" behindDoc="0" locked="0" layoutInCell="1" allowOverlap="1" wp14:anchorId="4AA6C121" wp14:editId="4C321BBF">
                <wp:simplePos x="0" y="0"/>
                <wp:positionH relativeFrom="column">
                  <wp:posOffset>-251460</wp:posOffset>
                </wp:positionH>
                <wp:positionV relativeFrom="paragraph">
                  <wp:posOffset>7141210</wp:posOffset>
                </wp:positionV>
                <wp:extent cx="3496310" cy="821055"/>
                <wp:effectExtent l="0" t="0" r="0" b="0"/>
                <wp:wrapNone/>
                <wp:docPr id="717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310" cy="82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67803" w14:textId="77777777" w:rsidR="0067767C" w:rsidRPr="002F0363" w:rsidRDefault="0067767C" w:rsidP="00EC2763">
                            <w:pPr>
                              <w:ind w:left="142"/>
                              <w:jc w:val="left"/>
                              <w:rPr>
                                <w:rStyle w:val="Style1"/>
                                <w:rFonts w:ascii="Calibri" w:hAnsi="Calibri"/>
                                <w:color w:val="000000" w:themeColor="text1"/>
                                <w:sz w:val="16"/>
                              </w:rPr>
                            </w:pPr>
                            <w:r w:rsidRPr="002F0363">
                              <w:rPr>
                                <w:rStyle w:val="Style2"/>
                                <w:rFonts w:ascii="Calibri" w:hAnsi="Calibri"/>
                                <w:color w:val="000000" w:themeColor="text1"/>
                              </w:rPr>
                              <w:t>ETC/</w:t>
                            </w:r>
                            <w:r>
                              <w:rPr>
                                <w:rStyle w:val="Style2"/>
                                <w:rFonts w:ascii="Calibri" w:hAnsi="Calibri"/>
                                <w:color w:val="000000" w:themeColor="text1"/>
                              </w:rPr>
                              <w:t>ULS</w:t>
                            </w:r>
                            <w:r w:rsidRPr="002F0363">
                              <w:rPr>
                                <w:rStyle w:val="Style2"/>
                                <w:rFonts w:ascii="Calibri" w:hAnsi="Calibri"/>
                                <w:color w:val="000000" w:themeColor="text1"/>
                              </w:rPr>
                              <w:t xml:space="preserve"> consortium partners: </w:t>
                            </w:r>
                            <w:r w:rsidRPr="00A73EAB">
                              <w:rPr>
                                <w:rStyle w:val="Style2"/>
                                <w:rFonts w:ascii="Calibri" w:hAnsi="Calibri"/>
                                <w:color w:val="000000" w:themeColor="text1"/>
                              </w:rPr>
                              <w:t>Environment Agency Austria, ALTERRA Research Institute,</w:t>
                            </w:r>
                            <w:r w:rsidRPr="003A0226">
                              <w:t xml:space="preserve"> </w:t>
                            </w:r>
                            <w:r w:rsidRPr="003A0226">
                              <w:rPr>
                                <w:rStyle w:val="Style2"/>
                                <w:rFonts w:ascii="Calibri" w:hAnsi="Calibri"/>
                                <w:color w:val="000000" w:themeColor="text1"/>
                              </w:rPr>
                              <w:t>Department of Remote Sensing, Lechner Non-profit Ltd</w:t>
                            </w:r>
                            <w:r w:rsidRPr="00A73EAB">
                              <w:rPr>
                                <w:rStyle w:val="Style2"/>
                                <w:rFonts w:ascii="Calibri" w:hAnsi="Calibri"/>
                                <w:color w:val="000000" w:themeColor="text1"/>
                              </w:rPr>
                              <w:t xml:space="preserve"> space4environment, GISAT, The International Council for Local Environmental Initiatives (ICLEI), Universitat Autonònoma de Barcelona (UAB), Universidad de Málaga (UMA)</w:t>
                            </w:r>
                            <w:r>
                              <w:rPr>
                                <w:rStyle w:val="Style2"/>
                                <w:rFonts w:ascii="Calibri" w:hAnsi="Calibri"/>
                                <w:color w:val="000000" w:themeColor="text1"/>
                              </w:rPr>
                              <w:t>, Ecologic</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A6C121" id="_x0000_t202" coordsize="21600,21600" o:spt="202" path="m,l,21600r21600,l21600,xe">
                <v:stroke joinstyle="miter"/>
                <v:path gradientshapeok="t" o:connecttype="rect"/>
              </v:shapetype>
              <v:shape id="Text Box 12" o:spid="_x0000_s1026" type="#_x0000_t202" style="position:absolute;left:0;text-align:left;margin-left:-19.8pt;margin-top:562.3pt;width:275.3pt;height:64.6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d53tgIAAMQFAAAOAAAAZHJzL2Uyb0RvYy54bWysVNuOmzAQfa/Uf7D8zoIJuYCWrHZDqCpt&#10;L9JuP8ABE6yCTW0nZFv13zs2SZbsqlLV1g+WL+Mzc2aO5/rm0DZoz5TmUqSYXAUYMVHIkottir88&#10;5t4CI22oKGkjBUvxE9P4Zvn2zXXfJSyUtWxKphCACJ30XYprY7rE93VRs5bqK9kxAZeVVC01sFVb&#10;v1S0B/S28cMgmPm9VGWnZMG0htNsuMRLh19VrDCfqkozg5oUQ2zGzcrNGzv7y2uabBXtal4cw6B/&#10;EUVLuQCnZ6iMGop2ir+CanmhpJaVuSpk68uq4gVzHIANCV6weahpxxwXSI7uzmnS/w+2+Lj/rBAv&#10;Uzwnc4KRoC1U6ZEdDLqTB0RCm6G+0wkYPnRgag5wDpV2bHV3L4uvGgm5qqnYslulZF8zWkKExL70&#10;R08HHG1BNv0HWYIfujPSAR0q1dr0QUIQoEOlns7VsbEUcDiJ4tmEwFUBd4uQBNOpc0GT0+tOafOO&#10;yRbZRYoVVN+h0/29NjYampxMrDMhc940TgGNuDgAw+EEfMNTe2ejcAX9EQfxerFeRF4UztZeFGSZ&#10;d5uvIm+Wk/k0m2SrVUZ+Wr8kSmpelkxYNydxkejPineU+SCLs7y0bHhp4WxIWm03q0ahPQVx524c&#10;EzIy8y/DcEkALi8okTAK7sLYy2eLuRfl0dSL58HCC0h8F8+CKI6y/JLSPRfs3ymhPsXxNJwOYvot&#10;t8CN19xo0nID7aPhLSjibEQTK8G1KF1pDeXNsB6lwob/nAoo96nQTrBWo4NazWFzcL9jYr1bMW9k&#10;+QQKVhIEBlqE1geLWqrvGPXQRlKsv+2oYhg17wX8gphEke07440abzbjDRUFQKXYYDQsV2boVbtO&#10;8W0NnoZ/J+Qt/JyKO1E/R3X8b9AqHLdjW7O9aLx3Vs/Nd/kLAAD//wMAUEsDBBQABgAIAAAAIQDP&#10;Dp1q4AAAAA0BAAAPAAAAZHJzL2Rvd25yZXYueG1sTI/NTsMwEITvSLyDtUjcWicp6U+IU6EiHoAW&#10;iasTu3GEvY5i54c+PcsJbrs7o9lvyuPiLJv0EDqPAtJ1Akxj41WHrYCPy9tqDyxEiUpaj1rAtw5w&#10;rO7vSlkoP+O7ns6xZRSCoZACTIx9wXlojHYyrH2vkbSrH5yMtA4tV4OcKdxZniXJljvZIX0wstcn&#10;o5uv8+gENLfxdX/q6mm+7T539WJsfkUrxOPD8vIMLOol/pnhF5/QoSKm2o+oArMCVpvDlqwkpNkT&#10;TWTJ05Tq1XTK8s0BeFXy/y2qHwAAAP//AwBQSwECLQAUAAYACAAAACEAtoM4kv4AAADhAQAAEwAA&#10;AAAAAAAAAAAAAAAAAAAAW0NvbnRlbnRfVHlwZXNdLnhtbFBLAQItABQABgAIAAAAIQA4/SH/1gAA&#10;AJQBAAALAAAAAAAAAAAAAAAAAC8BAABfcmVscy8ucmVsc1BLAQItABQABgAIAAAAIQDJkd53tgIA&#10;AMQFAAAOAAAAAAAAAAAAAAAAAC4CAABkcnMvZTJvRG9jLnhtbFBLAQItABQABgAIAAAAIQDPDp1q&#10;4AAAAA0BAAAPAAAAAAAAAAAAAAAAABAFAABkcnMvZG93bnJldi54bWxQSwUGAAAAAAQABADzAAAA&#10;HQYAAAAA&#10;" filled="f" stroked="f">
                <v:textbox inset=",7.2pt,,7.2pt">
                  <w:txbxContent>
                    <w:p w14:paraId="52667803" w14:textId="77777777" w:rsidR="0067767C" w:rsidRPr="002F0363" w:rsidRDefault="0067767C" w:rsidP="00EC2763">
                      <w:pPr>
                        <w:ind w:left="142"/>
                        <w:jc w:val="left"/>
                        <w:rPr>
                          <w:rStyle w:val="Style1"/>
                          <w:rFonts w:ascii="Calibri" w:hAnsi="Calibri"/>
                          <w:color w:val="000000" w:themeColor="text1"/>
                          <w:sz w:val="16"/>
                        </w:rPr>
                      </w:pPr>
                      <w:r w:rsidRPr="002F0363">
                        <w:rPr>
                          <w:rStyle w:val="Style2"/>
                          <w:rFonts w:ascii="Calibri" w:hAnsi="Calibri"/>
                          <w:color w:val="000000" w:themeColor="text1"/>
                        </w:rPr>
                        <w:t>ETC/</w:t>
                      </w:r>
                      <w:r>
                        <w:rPr>
                          <w:rStyle w:val="Style2"/>
                          <w:rFonts w:ascii="Calibri" w:hAnsi="Calibri"/>
                          <w:color w:val="000000" w:themeColor="text1"/>
                        </w:rPr>
                        <w:t>ULS</w:t>
                      </w:r>
                      <w:r w:rsidRPr="002F0363">
                        <w:rPr>
                          <w:rStyle w:val="Style2"/>
                          <w:rFonts w:ascii="Calibri" w:hAnsi="Calibri"/>
                          <w:color w:val="000000" w:themeColor="text1"/>
                        </w:rPr>
                        <w:t xml:space="preserve"> consortium partners: </w:t>
                      </w:r>
                      <w:r w:rsidRPr="00A73EAB">
                        <w:rPr>
                          <w:rStyle w:val="Style2"/>
                          <w:rFonts w:ascii="Calibri" w:hAnsi="Calibri"/>
                          <w:color w:val="000000" w:themeColor="text1"/>
                        </w:rPr>
                        <w:t>Environment Agency Austria, ALTERRA Research Institute,</w:t>
                      </w:r>
                      <w:r w:rsidRPr="003A0226">
                        <w:t xml:space="preserve"> </w:t>
                      </w:r>
                      <w:r w:rsidRPr="003A0226">
                        <w:rPr>
                          <w:rStyle w:val="Style2"/>
                          <w:rFonts w:ascii="Calibri" w:hAnsi="Calibri"/>
                          <w:color w:val="000000" w:themeColor="text1"/>
                        </w:rPr>
                        <w:t>Department of Remote Sensing, Lechner Non-profit Ltd</w:t>
                      </w:r>
                      <w:r w:rsidRPr="00A73EAB">
                        <w:rPr>
                          <w:rStyle w:val="Style2"/>
                          <w:rFonts w:ascii="Calibri" w:hAnsi="Calibri"/>
                          <w:color w:val="000000" w:themeColor="text1"/>
                        </w:rPr>
                        <w:t xml:space="preserve"> space4environment, GISAT, The International Council for Local Environmental Initiatives (ICLEI), Universitat Autonònoma de Barcelona (UAB), Universidad de Málaga (UMA)</w:t>
                      </w:r>
                      <w:r>
                        <w:rPr>
                          <w:rStyle w:val="Style2"/>
                          <w:rFonts w:ascii="Calibri" w:hAnsi="Calibri"/>
                          <w:color w:val="000000" w:themeColor="text1"/>
                        </w:rPr>
                        <w:t>, Ecologic</w:t>
                      </w:r>
                    </w:p>
                  </w:txbxContent>
                </v:textbox>
              </v:shape>
            </w:pict>
          </mc:Fallback>
        </mc:AlternateContent>
      </w:r>
      <w:r>
        <w:rPr>
          <w:noProof/>
          <w:lang w:eastAsia="en-GB"/>
        </w:rPr>
        <mc:AlternateContent>
          <mc:Choice Requires="wps">
            <w:drawing>
              <wp:anchor distT="0" distB="0" distL="114300" distR="114300" simplePos="0" relativeHeight="251759104" behindDoc="0" locked="0" layoutInCell="1" allowOverlap="1" wp14:anchorId="5D6780BD" wp14:editId="316F8959">
                <wp:simplePos x="0" y="0"/>
                <wp:positionH relativeFrom="column">
                  <wp:posOffset>-182245</wp:posOffset>
                </wp:positionH>
                <wp:positionV relativeFrom="paragraph">
                  <wp:posOffset>5521960</wp:posOffset>
                </wp:positionV>
                <wp:extent cx="6438900" cy="1562735"/>
                <wp:effectExtent l="0" t="0" r="0" b="0"/>
                <wp:wrapNone/>
                <wp:docPr id="716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56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03860" w14:textId="77777777" w:rsidR="0067767C" w:rsidRPr="007E3F52" w:rsidRDefault="0067767C" w:rsidP="00EC2763">
                            <w:pPr>
                              <w:rPr>
                                <w:rStyle w:val="Style2"/>
                                <w:rFonts w:ascii="Calibri" w:hAnsi="Calibri"/>
                                <w:sz w:val="22"/>
                              </w:rPr>
                            </w:pPr>
                            <w:r w:rsidRPr="007E3F52">
                              <w:rPr>
                                <w:rStyle w:val="Style2"/>
                                <w:rFonts w:ascii="Calibri" w:hAnsi="Calibri"/>
                                <w:sz w:val="22"/>
                              </w:rPr>
                              <w:t xml:space="preserve">Authors: </w:t>
                            </w:r>
                          </w:p>
                          <w:p w14:paraId="770F9CBA" w14:textId="48F08313" w:rsidR="0067767C" w:rsidRPr="006830A7" w:rsidRDefault="0067767C" w:rsidP="000A0D1B">
                            <w:pPr>
                              <w:jc w:val="left"/>
                              <w:rPr>
                                <w:rStyle w:val="Style1"/>
                                <w:rFonts w:ascii="Calibri" w:hAnsi="Calibri"/>
                                <w:lang w:val="en-US"/>
                              </w:rPr>
                            </w:pPr>
                            <w:r w:rsidRPr="000A0D1B">
                              <w:rPr>
                                <w:rStyle w:val="Style1"/>
                                <w:rFonts w:ascii="Calibri" w:hAnsi="Calibri"/>
                              </w:rPr>
                              <w:t>Rainer Baritz, Wulf Amelung, Veronique Antoni, John Boardman, Rainer Horn, Gundula Prokop, Jörg Römbke, Paul Romkens, Bastian Steinhoff-Knopp, Frank Swartjes, Marco Trombetti, Wim de Vries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780BD" id="Text Box 10" o:spid="_x0000_s1027" type="#_x0000_t202" style="position:absolute;left:0;text-align:left;margin-left:-14.35pt;margin-top:434.8pt;width:507pt;height:123.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lWuQIAAMU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C/9KMGIkw6q9EBHjW7FiHyboaFXKRje92CqRziHSlu2qr8T5VeFuFg3hO/ojZRiaCipIELf5Nad&#10;PTU1UakyINvhg6jAD9lrYYHGWnYmfZAQBOhQqcdzdUwsJRxG4WWceHBVwp2/iILl5cL6IOnpeS+V&#10;fkdFh8wiwxLKb+HJ4U5pEw5JTybGGxcFa1srgZY/OwDD6QScw1NzZ8KwFf2ReMkm3sShEwbRxgm9&#10;PHduinXoRIW/XOSX+Xqd+z+NXz9MG1ZVlBs3J3X54Z9V76jzSRdnfSnRssrAmZCU3G3XrUQHAuou&#10;7DgmZGbmPg/DJgG4vKDkB6F3GyROEcVLJyzChZMsvdjx/OQ2ibwwCfPiOaU7xum/U0JDhpNFsJjU&#10;9Ftunh2vuZG0Yxr6R8u6DMdnI5IaDW54ZUurCWun9SwVJvynVEC5T4W2ijUineSqx+1ov0dgvBsB&#10;b0X1CBKWAgQGYoTeB4tGyO8YDdBHMqy+7YmkGLXvOXyDxA9D03jmGznfbOcbwkuAyrDGaFqu9dSs&#10;9r1kuwY8TR+Pixv4OjWzon6K6vjhoFdYbse+ZprRfG+tnrrv6hcAAAD//wMAUEsDBBQABgAIAAAA&#10;IQACZ7ZM3wAAAAwBAAAPAAAAZHJzL2Rvd25yZXYueG1sTI/LTsMwEEX3SPyDNZXYtU6KkrghToWK&#10;+ABKJbZO7MZR7XEUOw/69ZgVLEf36N4z1XG1hsxq9L1DDukuAaKwdbLHjsPl833LgPggUArjUHH4&#10;Vh6O9eNDJUrpFvxQ8zl0JJagLwUHHcJQUupbrazwOzcojNnVjVaEeI4dlaNYYrk1dJ8kObWix7ig&#10;xaBOWrW382Q5tPfpjZ36Zl7uxVfRrNpkVzScP23W1xcgQa3hD4Zf/agOdXRq3ITSE8Nhu2dFRDmw&#10;/JADicSBZc9AmoimaVYArSv6/4n6BwAA//8DAFBLAQItABQABgAIAAAAIQC2gziS/gAAAOEBAAAT&#10;AAAAAAAAAAAAAAAAAAAAAABbQ29udGVudF9UeXBlc10ueG1sUEsBAi0AFAAGAAgAAAAhADj9If/W&#10;AAAAlAEAAAsAAAAAAAAAAAAAAAAALwEAAF9yZWxzLy5yZWxzUEsBAi0AFAAGAAgAAAAhAOV9aVa5&#10;AgAAxQUAAA4AAAAAAAAAAAAAAAAALgIAAGRycy9lMm9Eb2MueG1sUEsBAi0AFAAGAAgAAAAhAAJn&#10;tkzfAAAADAEAAA8AAAAAAAAAAAAAAAAAEwUAAGRycy9kb3ducmV2LnhtbFBLBQYAAAAABAAEAPMA&#10;AAAfBgAAAAA=&#10;" filled="f" stroked="f">
                <v:textbox inset=",7.2pt,,7.2pt">
                  <w:txbxContent>
                    <w:p w14:paraId="48D03860" w14:textId="77777777" w:rsidR="0067767C" w:rsidRPr="007E3F52" w:rsidRDefault="0067767C" w:rsidP="00EC2763">
                      <w:pPr>
                        <w:rPr>
                          <w:rStyle w:val="Style2"/>
                          <w:rFonts w:ascii="Calibri" w:hAnsi="Calibri"/>
                          <w:sz w:val="22"/>
                        </w:rPr>
                      </w:pPr>
                      <w:r w:rsidRPr="007E3F52">
                        <w:rPr>
                          <w:rStyle w:val="Style2"/>
                          <w:rFonts w:ascii="Calibri" w:hAnsi="Calibri"/>
                          <w:sz w:val="22"/>
                        </w:rPr>
                        <w:t xml:space="preserve">Authors: </w:t>
                      </w:r>
                    </w:p>
                    <w:p w14:paraId="770F9CBA" w14:textId="48F08313" w:rsidR="0067767C" w:rsidRPr="006830A7" w:rsidRDefault="0067767C" w:rsidP="000A0D1B">
                      <w:pPr>
                        <w:jc w:val="left"/>
                        <w:rPr>
                          <w:rStyle w:val="Style1"/>
                          <w:rFonts w:ascii="Calibri" w:hAnsi="Calibri"/>
                          <w:lang w:val="en-US"/>
                        </w:rPr>
                      </w:pPr>
                      <w:r w:rsidRPr="000A0D1B">
                        <w:rPr>
                          <w:rStyle w:val="Style1"/>
                          <w:rFonts w:ascii="Calibri" w:hAnsi="Calibri"/>
                        </w:rPr>
                        <w:t>Rainer Baritz, Wulf Amelung, Veronique Antoni, John Boardman, Rainer Horn, Gundula Prokop, Jörg Römbke, Paul Romkens, Bastian Steinhoff-Knopp, Frank Swartjes, Marco Trombetti, Wim de Vries</w:t>
                      </w:r>
                    </w:p>
                  </w:txbxContent>
                </v:textbox>
              </v:shape>
            </w:pict>
          </mc:Fallback>
        </mc:AlternateContent>
      </w:r>
      <w:r w:rsidR="00FC3A38" w:rsidRPr="00EF22BA">
        <w:rPr>
          <w:noProof/>
          <w:lang w:val="en-US" w:eastAsia="de-AT"/>
        </w:rPr>
        <w:t xml:space="preserve"> </w:t>
      </w:r>
      <w:r w:rsidR="00E00C4A" w:rsidRPr="00EF22BA">
        <w:rPr>
          <w:lang w:val="en-US"/>
        </w:rPr>
        <w:br w:type="page"/>
      </w:r>
    </w:p>
    <w:p w14:paraId="35F62501" w14:textId="2F757A82" w:rsidR="008C2449" w:rsidRPr="00EF22BA" w:rsidRDefault="008C2449" w:rsidP="00B97944">
      <w:pPr>
        <w:rPr>
          <w:lang w:val="en-US"/>
        </w:rPr>
        <w:sectPr w:rsidR="008C2449" w:rsidRPr="00EF22BA" w:rsidSect="002B4D00">
          <w:headerReference w:type="even" r:id="rId10"/>
          <w:headerReference w:type="default" r:id="rId11"/>
          <w:footerReference w:type="even" r:id="rId12"/>
          <w:footerReference w:type="default" r:id="rId13"/>
          <w:headerReference w:type="first" r:id="rId14"/>
          <w:footerReference w:type="first" r:id="rId15"/>
          <w:type w:val="nextColumn"/>
          <w:pgSz w:w="11900" w:h="16840"/>
          <w:pgMar w:top="1247" w:right="1247" w:bottom="1247" w:left="1247" w:header="0" w:footer="505" w:gutter="0"/>
          <w:cols w:space="708"/>
          <w:docGrid w:linePitch="360"/>
        </w:sectPr>
      </w:pPr>
    </w:p>
    <w:p w14:paraId="1AED3A41" w14:textId="77777777" w:rsidR="009A1694" w:rsidRDefault="009A1694" w:rsidP="00104BA0">
      <w:pPr>
        <w:spacing w:line="210" w:lineRule="atLeast"/>
        <w:rPr>
          <w:rFonts w:cs="Open Sans"/>
          <w:color w:val="000000"/>
          <w:sz w:val="18"/>
          <w:szCs w:val="17"/>
        </w:rPr>
      </w:pPr>
    </w:p>
    <w:p w14:paraId="19E08D95" w14:textId="7CC51502" w:rsidR="009A73EB" w:rsidRPr="009A73EB" w:rsidRDefault="009A73EB" w:rsidP="00104BA0">
      <w:pPr>
        <w:spacing w:line="210" w:lineRule="atLeast"/>
        <w:rPr>
          <w:b/>
          <w:sz w:val="18"/>
          <w:szCs w:val="18"/>
        </w:rPr>
      </w:pPr>
    </w:p>
    <w:p w14:paraId="778E5D9F" w14:textId="77777777" w:rsidR="009A73EB" w:rsidRPr="009A73EB" w:rsidRDefault="009A73EB" w:rsidP="00104BA0">
      <w:pPr>
        <w:spacing w:line="210" w:lineRule="atLeast"/>
        <w:rPr>
          <w:sz w:val="18"/>
          <w:szCs w:val="18"/>
        </w:rPr>
      </w:pPr>
    </w:p>
    <w:p w14:paraId="2BAA9F70" w14:textId="36A40D20" w:rsidR="009A73EB" w:rsidRPr="009A73EB" w:rsidRDefault="009A73EB" w:rsidP="00104BA0">
      <w:pPr>
        <w:spacing w:line="210" w:lineRule="atLeast"/>
        <w:rPr>
          <w:b/>
          <w:sz w:val="18"/>
          <w:szCs w:val="18"/>
        </w:rPr>
      </w:pPr>
      <w:bookmarkStart w:id="0" w:name="_GoBack"/>
      <w:bookmarkEnd w:id="0"/>
    </w:p>
    <w:p w14:paraId="51A54996" w14:textId="77777777" w:rsidR="009A73EB" w:rsidRPr="009A73EB" w:rsidRDefault="009A73EB" w:rsidP="00104BA0">
      <w:pPr>
        <w:spacing w:line="210" w:lineRule="atLeast"/>
        <w:rPr>
          <w:sz w:val="18"/>
          <w:szCs w:val="18"/>
        </w:rPr>
      </w:pPr>
    </w:p>
    <w:p w14:paraId="4D04D177" w14:textId="4A66E488" w:rsidR="009A73EB" w:rsidRPr="00E82D0C" w:rsidRDefault="009A73EB" w:rsidP="00104BA0">
      <w:pPr>
        <w:spacing w:line="210" w:lineRule="atLeast"/>
        <w:rPr>
          <w:sz w:val="24"/>
          <w:szCs w:val="24"/>
          <w:highlight w:val="yellow"/>
          <w:lang w:val="da-DK"/>
        </w:rPr>
      </w:pPr>
    </w:p>
    <w:p w14:paraId="77A08317" w14:textId="0F9117C6" w:rsidR="009A1694" w:rsidRPr="002F0363" w:rsidRDefault="009A1694" w:rsidP="00104BA0">
      <w:pPr>
        <w:spacing w:line="210" w:lineRule="atLeast"/>
        <w:rPr>
          <w:rFonts w:cs="Open Sans"/>
          <w:color w:val="000000"/>
          <w:sz w:val="18"/>
          <w:szCs w:val="18"/>
          <w:lang w:val="da-DK"/>
        </w:rPr>
      </w:pPr>
    </w:p>
    <w:p w14:paraId="63D1FCF8" w14:textId="77777777" w:rsidR="009A73EB" w:rsidRPr="002F0363" w:rsidRDefault="009A73EB" w:rsidP="00104BA0">
      <w:pPr>
        <w:spacing w:line="210" w:lineRule="atLeast"/>
        <w:rPr>
          <w:rFonts w:cs="Open Sans"/>
          <w:color w:val="000000"/>
          <w:sz w:val="18"/>
          <w:szCs w:val="18"/>
          <w:lang w:val="da-DK"/>
        </w:rPr>
      </w:pPr>
    </w:p>
    <w:p w14:paraId="09E29A6D" w14:textId="77777777" w:rsidR="009A73EB" w:rsidRDefault="009A73EB" w:rsidP="00104BA0">
      <w:pPr>
        <w:spacing w:line="210" w:lineRule="atLeast"/>
        <w:rPr>
          <w:rFonts w:cs="Open Sans"/>
          <w:color w:val="000000"/>
          <w:sz w:val="18"/>
          <w:szCs w:val="18"/>
          <w:lang w:val="da-DK"/>
        </w:rPr>
      </w:pPr>
    </w:p>
    <w:p w14:paraId="554B0364" w14:textId="77777777" w:rsidR="00E20675" w:rsidRDefault="00E20675" w:rsidP="00104BA0">
      <w:pPr>
        <w:spacing w:line="210" w:lineRule="atLeast"/>
        <w:rPr>
          <w:rFonts w:cs="Open Sans"/>
          <w:color w:val="000000"/>
          <w:sz w:val="18"/>
          <w:szCs w:val="18"/>
          <w:lang w:val="da-DK"/>
        </w:rPr>
      </w:pPr>
    </w:p>
    <w:p w14:paraId="7DA8E61E" w14:textId="0B610463" w:rsidR="00094256" w:rsidRDefault="00094256" w:rsidP="00104BA0">
      <w:pPr>
        <w:spacing w:line="210" w:lineRule="atLeast"/>
        <w:rPr>
          <w:rFonts w:cs="Open Sans"/>
          <w:color w:val="000000"/>
          <w:sz w:val="18"/>
          <w:szCs w:val="18"/>
          <w:lang w:val="da-DK"/>
        </w:rPr>
      </w:pPr>
    </w:p>
    <w:p w14:paraId="23F20217" w14:textId="1646E1B5" w:rsidR="0070053E" w:rsidRDefault="0070053E" w:rsidP="00104BA0">
      <w:pPr>
        <w:spacing w:line="210" w:lineRule="atLeast"/>
        <w:rPr>
          <w:rFonts w:cs="Open Sans"/>
          <w:color w:val="000000"/>
          <w:sz w:val="18"/>
          <w:szCs w:val="18"/>
          <w:lang w:val="da-DK"/>
        </w:rPr>
      </w:pPr>
    </w:p>
    <w:p w14:paraId="384D9CD2" w14:textId="1485E362" w:rsidR="0070053E" w:rsidRDefault="0070053E" w:rsidP="00104BA0">
      <w:pPr>
        <w:spacing w:line="210" w:lineRule="atLeast"/>
        <w:rPr>
          <w:rFonts w:cs="Open Sans"/>
          <w:color w:val="000000"/>
          <w:sz w:val="18"/>
          <w:szCs w:val="18"/>
          <w:lang w:val="da-DK"/>
        </w:rPr>
      </w:pPr>
    </w:p>
    <w:p w14:paraId="6F70D7D4" w14:textId="5714C6D1" w:rsidR="0070053E" w:rsidRDefault="0070053E" w:rsidP="00104BA0">
      <w:pPr>
        <w:spacing w:line="210" w:lineRule="atLeast"/>
        <w:rPr>
          <w:rFonts w:cs="Open Sans"/>
          <w:color w:val="000000"/>
          <w:sz w:val="18"/>
          <w:szCs w:val="18"/>
          <w:lang w:val="da-DK"/>
        </w:rPr>
      </w:pPr>
    </w:p>
    <w:p w14:paraId="531C21DB" w14:textId="794BB7E8" w:rsidR="0070053E" w:rsidRDefault="0070053E" w:rsidP="00104BA0">
      <w:pPr>
        <w:spacing w:line="210" w:lineRule="atLeast"/>
        <w:rPr>
          <w:rFonts w:cs="Open Sans"/>
          <w:color w:val="000000"/>
          <w:sz w:val="18"/>
          <w:szCs w:val="18"/>
          <w:lang w:val="da-DK"/>
        </w:rPr>
      </w:pPr>
    </w:p>
    <w:p w14:paraId="68DB27F4" w14:textId="3A98B267" w:rsidR="0070053E" w:rsidRDefault="0070053E" w:rsidP="00104BA0">
      <w:pPr>
        <w:spacing w:line="210" w:lineRule="atLeast"/>
        <w:rPr>
          <w:rFonts w:cs="Open Sans"/>
          <w:color w:val="000000"/>
          <w:sz w:val="18"/>
          <w:szCs w:val="18"/>
          <w:lang w:val="da-DK"/>
        </w:rPr>
      </w:pPr>
    </w:p>
    <w:p w14:paraId="0F00EF70" w14:textId="31EE633F" w:rsidR="0070053E" w:rsidRDefault="0070053E" w:rsidP="00104BA0">
      <w:pPr>
        <w:spacing w:line="210" w:lineRule="atLeast"/>
        <w:rPr>
          <w:rFonts w:cs="Open Sans"/>
          <w:color w:val="000000"/>
          <w:sz w:val="18"/>
          <w:szCs w:val="18"/>
          <w:lang w:val="da-DK"/>
        </w:rPr>
      </w:pPr>
    </w:p>
    <w:p w14:paraId="21622D46" w14:textId="4E6F918C" w:rsidR="0070053E" w:rsidRDefault="0070053E" w:rsidP="00104BA0">
      <w:pPr>
        <w:spacing w:line="210" w:lineRule="atLeast"/>
        <w:rPr>
          <w:rFonts w:cs="Open Sans"/>
          <w:color w:val="000000"/>
          <w:sz w:val="18"/>
          <w:szCs w:val="18"/>
          <w:lang w:val="da-DK"/>
        </w:rPr>
      </w:pPr>
    </w:p>
    <w:p w14:paraId="292F8DC3" w14:textId="205E4CE1" w:rsidR="0070053E" w:rsidRDefault="0070053E" w:rsidP="00104BA0">
      <w:pPr>
        <w:spacing w:line="210" w:lineRule="atLeast"/>
        <w:rPr>
          <w:rFonts w:cs="Open Sans"/>
          <w:color w:val="000000"/>
          <w:sz w:val="18"/>
          <w:szCs w:val="18"/>
          <w:lang w:val="da-DK"/>
        </w:rPr>
      </w:pPr>
    </w:p>
    <w:p w14:paraId="5CB821D0" w14:textId="1EF60CBE" w:rsidR="0070053E" w:rsidRDefault="0070053E" w:rsidP="00104BA0">
      <w:pPr>
        <w:spacing w:line="210" w:lineRule="atLeast"/>
        <w:rPr>
          <w:rFonts w:cs="Open Sans"/>
          <w:color w:val="000000"/>
          <w:sz w:val="18"/>
          <w:szCs w:val="18"/>
          <w:lang w:val="da-DK"/>
        </w:rPr>
      </w:pPr>
    </w:p>
    <w:p w14:paraId="6053A93E" w14:textId="04908FA9" w:rsidR="0070053E" w:rsidRDefault="0070053E" w:rsidP="00104BA0">
      <w:pPr>
        <w:spacing w:line="210" w:lineRule="atLeast"/>
        <w:rPr>
          <w:rFonts w:cs="Open Sans"/>
          <w:color w:val="000000"/>
          <w:sz w:val="18"/>
          <w:szCs w:val="18"/>
          <w:lang w:val="da-DK"/>
        </w:rPr>
      </w:pPr>
    </w:p>
    <w:p w14:paraId="38E3FB98" w14:textId="1D37CEB6" w:rsidR="0070053E" w:rsidRDefault="0070053E" w:rsidP="00104BA0">
      <w:pPr>
        <w:spacing w:line="210" w:lineRule="atLeast"/>
        <w:rPr>
          <w:rFonts w:cs="Open Sans"/>
          <w:color w:val="000000"/>
          <w:sz w:val="18"/>
          <w:szCs w:val="18"/>
          <w:lang w:val="da-DK"/>
        </w:rPr>
      </w:pPr>
    </w:p>
    <w:p w14:paraId="0101E374" w14:textId="407F899F" w:rsidR="0070053E" w:rsidRDefault="0070053E" w:rsidP="00104BA0">
      <w:pPr>
        <w:spacing w:line="210" w:lineRule="atLeast"/>
        <w:rPr>
          <w:rFonts w:cs="Open Sans"/>
          <w:color w:val="000000"/>
          <w:sz w:val="18"/>
          <w:szCs w:val="18"/>
          <w:lang w:val="da-DK"/>
        </w:rPr>
      </w:pPr>
    </w:p>
    <w:p w14:paraId="77CF603E" w14:textId="69AC1AC4" w:rsidR="0070053E" w:rsidRDefault="0070053E" w:rsidP="00104BA0">
      <w:pPr>
        <w:spacing w:line="210" w:lineRule="atLeast"/>
        <w:rPr>
          <w:rFonts w:cs="Open Sans"/>
          <w:color w:val="000000"/>
          <w:sz w:val="18"/>
          <w:szCs w:val="18"/>
          <w:lang w:val="da-DK"/>
        </w:rPr>
      </w:pPr>
    </w:p>
    <w:p w14:paraId="0A8BAEF1" w14:textId="27EE078E" w:rsidR="0070053E" w:rsidRDefault="0070053E" w:rsidP="00104BA0">
      <w:pPr>
        <w:spacing w:line="210" w:lineRule="atLeast"/>
        <w:rPr>
          <w:rFonts w:cs="Open Sans"/>
          <w:color w:val="000000"/>
          <w:sz w:val="18"/>
          <w:szCs w:val="18"/>
          <w:lang w:val="da-DK"/>
        </w:rPr>
      </w:pPr>
    </w:p>
    <w:p w14:paraId="71A4A501" w14:textId="545B1012" w:rsidR="0070053E" w:rsidRDefault="0070053E" w:rsidP="00104BA0">
      <w:pPr>
        <w:spacing w:line="210" w:lineRule="atLeast"/>
        <w:rPr>
          <w:rFonts w:cs="Open Sans"/>
          <w:color w:val="000000"/>
          <w:sz w:val="18"/>
          <w:szCs w:val="18"/>
          <w:lang w:val="da-DK"/>
        </w:rPr>
      </w:pPr>
    </w:p>
    <w:p w14:paraId="4484745B" w14:textId="28709D87" w:rsidR="0070053E" w:rsidRDefault="0070053E" w:rsidP="00104BA0">
      <w:pPr>
        <w:spacing w:line="210" w:lineRule="atLeast"/>
        <w:rPr>
          <w:rFonts w:cs="Open Sans"/>
          <w:color w:val="000000"/>
          <w:sz w:val="18"/>
          <w:szCs w:val="18"/>
          <w:lang w:val="da-DK"/>
        </w:rPr>
      </w:pPr>
    </w:p>
    <w:p w14:paraId="03580F0D" w14:textId="64461261" w:rsidR="0070053E" w:rsidRDefault="0070053E" w:rsidP="00104BA0">
      <w:pPr>
        <w:spacing w:line="210" w:lineRule="atLeast"/>
        <w:rPr>
          <w:rFonts w:cs="Open Sans"/>
          <w:color w:val="000000"/>
          <w:sz w:val="18"/>
          <w:szCs w:val="18"/>
          <w:lang w:val="da-DK"/>
        </w:rPr>
      </w:pPr>
    </w:p>
    <w:p w14:paraId="6F3BF6F7" w14:textId="6A7E58DD" w:rsidR="0070053E" w:rsidRDefault="0070053E" w:rsidP="00104BA0">
      <w:pPr>
        <w:spacing w:line="210" w:lineRule="atLeast"/>
        <w:rPr>
          <w:rFonts w:cs="Open Sans"/>
          <w:color w:val="000000"/>
          <w:sz w:val="18"/>
          <w:szCs w:val="18"/>
          <w:lang w:val="da-DK"/>
        </w:rPr>
      </w:pPr>
    </w:p>
    <w:p w14:paraId="0C240F4C" w14:textId="5E6B977F" w:rsidR="0070053E" w:rsidRDefault="0070053E" w:rsidP="00104BA0">
      <w:pPr>
        <w:spacing w:line="210" w:lineRule="atLeast"/>
        <w:rPr>
          <w:rFonts w:cs="Open Sans"/>
          <w:color w:val="000000"/>
          <w:sz w:val="18"/>
          <w:szCs w:val="18"/>
          <w:lang w:val="da-DK"/>
        </w:rPr>
      </w:pPr>
    </w:p>
    <w:p w14:paraId="609FC883" w14:textId="6CDC4093" w:rsidR="0070053E" w:rsidRDefault="0070053E" w:rsidP="00104BA0">
      <w:pPr>
        <w:spacing w:line="210" w:lineRule="atLeast"/>
        <w:rPr>
          <w:rFonts w:cs="Open Sans"/>
          <w:color w:val="000000"/>
          <w:sz w:val="18"/>
          <w:szCs w:val="18"/>
          <w:lang w:val="da-DK"/>
        </w:rPr>
      </w:pPr>
    </w:p>
    <w:p w14:paraId="58A63253" w14:textId="74D02412" w:rsidR="0070053E" w:rsidRDefault="0070053E" w:rsidP="00104BA0">
      <w:pPr>
        <w:spacing w:line="210" w:lineRule="atLeast"/>
        <w:rPr>
          <w:rFonts w:cs="Open Sans"/>
          <w:color w:val="000000"/>
          <w:sz w:val="18"/>
          <w:szCs w:val="18"/>
          <w:lang w:val="da-DK"/>
        </w:rPr>
      </w:pPr>
    </w:p>
    <w:p w14:paraId="7004B55B" w14:textId="1D174F68" w:rsidR="0070053E" w:rsidRDefault="0070053E" w:rsidP="00104BA0">
      <w:pPr>
        <w:spacing w:line="210" w:lineRule="atLeast"/>
        <w:rPr>
          <w:rFonts w:cs="Open Sans"/>
          <w:color w:val="000000"/>
          <w:sz w:val="18"/>
          <w:szCs w:val="18"/>
          <w:lang w:val="da-DK"/>
        </w:rPr>
      </w:pPr>
    </w:p>
    <w:p w14:paraId="224DF883" w14:textId="50DCA1A9" w:rsidR="0070053E" w:rsidRDefault="0070053E" w:rsidP="00104BA0">
      <w:pPr>
        <w:spacing w:line="210" w:lineRule="atLeast"/>
        <w:rPr>
          <w:rFonts w:cs="Open Sans"/>
          <w:color w:val="000000"/>
          <w:sz w:val="18"/>
          <w:szCs w:val="18"/>
          <w:lang w:val="da-DK"/>
        </w:rPr>
      </w:pPr>
    </w:p>
    <w:p w14:paraId="3FAA5A9C" w14:textId="53D2834E" w:rsidR="0070053E" w:rsidRDefault="0070053E" w:rsidP="00104BA0">
      <w:pPr>
        <w:spacing w:line="210" w:lineRule="atLeast"/>
        <w:rPr>
          <w:rFonts w:cs="Open Sans"/>
          <w:color w:val="000000"/>
          <w:sz w:val="18"/>
          <w:szCs w:val="18"/>
          <w:lang w:val="da-DK"/>
        </w:rPr>
      </w:pPr>
    </w:p>
    <w:p w14:paraId="4883641A" w14:textId="77777777" w:rsidR="003B0931" w:rsidRDefault="003B0931" w:rsidP="00104BA0">
      <w:pPr>
        <w:spacing w:line="210" w:lineRule="atLeast"/>
        <w:rPr>
          <w:rFonts w:cs="Open Sans"/>
          <w:color w:val="000000"/>
          <w:sz w:val="18"/>
          <w:szCs w:val="18"/>
          <w:lang w:val="da-DK"/>
        </w:rPr>
      </w:pPr>
    </w:p>
    <w:p w14:paraId="7B916B12" w14:textId="14C582FC" w:rsidR="00094256" w:rsidRDefault="00094256" w:rsidP="00104BA0">
      <w:pPr>
        <w:spacing w:line="210" w:lineRule="atLeast"/>
        <w:rPr>
          <w:rFonts w:cs="Open Sans"/>
          <w:color w:val="000000"/>
          <w:sz w:val="18"/>
          <w:szCs w:val="18"/>
          <w:lang w:val="da-DK"/>
        </w:rPr>
      </w:pPr>
    </w:p>
    <w:p w14:paraId="783EB152" w14:textId="18258456" w:rsidR="00094256" w:rsidRDefault="00094256" w:rsidP="00104BA0">
      <w:pPr>
        <w:spacing w:line="210" w:lineRule="atLeast"/>
        <w:rPr>
          <w:rFonts w:cs="Open Sans"/>
          <w:color w:val="000000"/>
          <w:sz w:val="18"/>
          <w:szCs w:val="18"/>
          <w:lang w:val="da-DK"/>
        </w:rPr>
      </w:pPr>
    </w:p>
    <w:p w14:paraId="7252A04B" w14:textId="66DC6145" w:rsidR="00094256" w:rsidRDefault="00094256" w:rsidP="00104BA0">
      <w:pPr>
        <w:spacing w:line="210" w:lineRule="atLeast"/>
        <w:rPr>
          <w:rFonts w:cs="Open Sans"/>
          <w:color w:val="000000"/>
          <w:sz w:val="18"/>
          <w:szCs w:val="18"/>
          <w:lang w:val="da-DK"/>
        </w:rPr>
      </w:pPr>
    </w:p>
    <w:p w14:paraId="2F8C7001" w14:textId="39B1AB55" w:rsidR="00094256" w:rsidRDefault="00094256" w:rsidP="00104BA0">
      <w:pPr>
        <w:spacing w:line="210" w:lineRule="atLeast"/>
        <w:rPr>
          <w:rFonts w:cs="Open Sans"/>
          <w:color w:val="000000"/>
          <w:sz w:val="18"/>
          <w:szCs w:val="18"/>
          <w:lang w:val="da-DK"/>
        </w:rPr>
      </w:pPr>
    </w:p>
    <w:p w14:paraId="59A3483A" w14:textId="6816B348" w:rsidR="00094256" w:rsidRDefault="00094256" w:rsidP="00104BA0">
      <w:pPr>
        <w:spacing w:line="210" w:lineRule="atLeast"/>
        <w:rPr>
          <w:rFonts w:cs="Open Sans"/>
          <w:color w:val="000000"/>
          <w:sz w:val="18"/>
          <w:szCs w:val="18"/>
          <w:lang w:val="da-DK"/>
        </w:rPr>
      </w:pPr>
    </w:p>
    <w:p w14:paraId="49E8C5AB" w14:textId="01F41C46" w:rsidR="00094256" w:rsidRDefault="00094256" w:rsidP="00104BA0">
      <w:pPr>
        <w:spacing w:line="210" w:lineRule="atLeast"/>
        <w:rPr>
          <w:rFonts w:cs="Open Sans"/>
          <w:color w:val="000000"/>
          <w:sz w:val="18"/>
          <w:szCs w:val="18"/>
          <w:lang w:val="da-DK"/>
        </w:rPr>
      </w:pPr>
    </w:p>
    <w:p w14:paraId="0CED532B" w14:textId="118783BA" w:rsidR="00094256" w:rsidRDefault="00094256" w:rsidP="00104BA0">
      <w:pPr>
        <w:spacing w:line="210" w:lineRule="atLeast"/>
        <w:rPr>
          <w:rFonts w:cs="Open Sans"/>
          <w:color w:val="000000"/>
          <w:sz w:val="18"/>
          <w:szCs w:val="18"/>
          <w:lang w:val="da-DK"/>
        </w:rPr>
      </w:pPr>
    </w:p>
    <w:p w14:paraId="7F7047AB" w14:textId="3D244E76" w:rsidR="00094256" w:rsidRPr="002F0363" w:rsidRDefault="00094256" w:rsidP="00104BA0">
      <w:pPr>
        <w:spacing w:line="210" w:lineRule="atLeast"/>
        <w:rPr>
          <w:rFonts w:cs="Open Sans"/>
          <w:color w:val="000000"/>
          <w:sz w:val="18"/>
          <w:szCs w:val="18"/>
          <w:lang w:val="da-DK"/>
        </w:rPr>
      </w:pPr>
    </w:p>
    <w:p w14:paraId="1CDDA8E5" w14:textId="77777777" w:rsidR="009A73EB" w:rsidRPr="002F0363" w:rsidRDefault="009A73EB" w:rsidP="00104BA0">
      <w:pPr>
        <w:spacing w:line="210" w:lineRule="atLeast"/>
        <w:rPr>
          <w:rFonts w:cs="Open Sans"/>
          <w:color w:val="000000"/>
          <w:sz w:val="18"/>
          <w:szCs w:val="18"/>
          <w:lang w:val="da-DK"/>
        </w:rPr>
      </w:pPr>
    </w:p>
    <w:p w14:paraId="1524AB80" w14:textId="77777777" w:rsidR="0043041F" w:rsidRDefault="0043041F">
      <w:pPr>
        <w:suppressAutoHyphens w:val="0"/>
        <w:jc w:val="left"/>
        <w:rPr>
          <w:rFonts w:cs="OpenSans"/>
          <w:color w:val="000000"/>
          <w:spacing w:val="2"/>
          <w:sz w:val="18"/>
          <w:szCs w:val="16"/>
        </w:rPr>
      </w:pPr>
    </w:p>
    <w:p w14:paraId="269C4E10" w14:textId="1A3EB127" w:rsidR="007B4F1D" w:rsidRPr="00CD55D6" w:rsidRDefault="007B4F1D">
      <w:pPr>
        <w:suppressAutoHyphens w:val="0"/>
        <w:jc w:val="left"/>
        <w:rPr>
          <w:rStyle w:val="Hyperlink"/>
          <w:sz w:val="18"/>
          <w:szCs w:val="18"/>
          <w:lang w:val="en-US"/>
        </w:rPr>
      </w:pPr>
      <w:r w:rsidRPr="00CD55D6">
        <w:rPr>
          <w:rStyle w:val="Hyperlink"/>
          <w:sz w:val="18"/>
          <w:szCs w:val="18"/>
          <w:lang w:val="en-US"/>
        </w:rPr>
        <w:br w:type="page"/>
      </w:r>
    </w:p>
    <w:p w14:paraId="556B9640" w14:textId="77777777" w:rsidR="009A73EB" w:rsidRPr="004F27E3" w:rsidRDefault="009A73EB" w:rsidP="00104BA0">
      <w:pPr>
        <w:spacing w:line="210" w:lineRule="atLeast"/>
        <w:rPr>
          <w:rFonts w:cs="Open Sans"/>
          <w:color w:val="000000"/>
          <w:sz w:val="18"/>
          <w:szCs w:val="17"/>
          <w:lang w:val="fr-FR"/>
        </w:rPr>
        <w:sectPr w:rsidR="009A73EB" w:rsidRPr="004F27E3" w:rsidSect="002B4D00">
          <w:headerReference w:type="default" r:id="rId16"/>
          <w:headerReference w:type="first" r:id="rId17"/>
          <w:footerReference w:type="first" r:id="rId18"/>
          <w:type w:val="nextColumn"/>
          <w:pgSz w:w="11900" w:h="16840"/>
          <w:pgMar w:top="1247" w:right="1247" w:bottom="1247" w:left="1247" w:header="0" w:footer="505" w:gutter="0"/>
          <w:cols w:space="708"/>
          <w:titlePg/>
          <w:docGrid w:linePitch="360"/>
        </w:sectPr>
      </w:pPr>
    </w:p>
    <w:p w14:paraId="1B6FF84F" w14:textId="77777777" w:rsidR="009A1694" w:rsidRPr="00B123B9" w:rsidRDefault="009A73EB" w:rsidP="009B108A">
      <w:pPr>
        <w:spacing w:before="240" w:line="210" w:lineRule="atLeast"/>
        <w:rPr>
          <w:rFonts w:cs="Open Sans"/>
          <w:bCs/>
          <w:color w:val="008173"/>
          <w:sz w:val="28"/>
          <w:szCs w:val="28"/>
          <w:lang w:val="pt-PT"/>
        </w:rPr>
      </w:pPr>
      <w:r w:rsidRPr="00B123B9">
        <w:rPr>
          <w:rFonts w:cs="Open Sans"/>
          <w:bCs/>
          <w:color w:val="008173"/>
          <w:sz w:val="28"/>
          <w:szCs w:val="28"/>
          <w:lang w:val="pt-PT"/>
        </w:rPr>
        <w:lastRenderedPageBreak/>
        <w:t>Contents</w:t>
      </w:r>
    </w:p>
    <w:p w14:paraId="3195A71F" w14:textId="77777777" w:rsidR="009B108A" w:rsidRDefault="009B108A" w:rsidP="00137E29">
      <w:pPr>
        <w:rPr>
          <w:lang w:val="pt-PT"/>
        </w:rPr>
      </w:pPr>
    </w:p>
    <w:p w14:paraId="57013F69" w14:textId="317A8F0C" w:rsidR="001C6C1E" w:rsidRDefault="009F083B">
      <w:pPr>
        <w:pStyle w:val="Verzeichnis1"/>
        <w:rPr>
          <w:rFonts w:asciiTheme="minorHAnsi" w:eastAsiaTheme="minorEastAsia" w:hAnsiTheme="minorHAnsi" w:cstheme="minorBidi"/>
          <w:noProof/>
          <w:szCs w:val="22"/>
          <w:lang w:eastAsia="en-GB"/>
        </w:rPr>
      </w:pPr>
      <w:r>
        <w:rPr>
          <w:lang w:val="pt-PT"/>
        </w:rPr>
        <w:fldChar w:fldCharType="begin"/>
      </w:r>
      <w:r>
        <w:rPr>
          <w:lang w:val="pt-PT"/>
        </w:rPr>
        <w:instrText xml:space="preserve"> TOC \o "1-3" \h \z \u </w:instrText>
      </w:r>
      <w:r>
        <w:rPr>
          <w:lang w:val="pt-PT"/>
        </w:rPr>
        <w:fldChar w:fldCharType="separate"/>
      </w:r>
      <w:hyperlink w:anchor="_Toc83997311" w:history="1">
        <w:r w:rsidR="001C6C1E" w:rsidRPr="00C22CCB">
          <w:rPr>
            <w:rStyle w:val="Hyperlink"/>
            <w:noProof/>
            <w:lang w:val="pt-PT"/>
          </w:rPr>
          <w:t>Boxes</w:t>
        </w:r>
        <w:r w:rsidR="001C6C1E">
          <w:rPr>
            <w:noProof/>
            <w:webHidden/>
          </w:rPr>
          <w:tab/>
        </w:r>
        <w:r w:rsidR="001C6C1E">
          <w:rPr>
            <w:noProof/>
            <w:webHidden/>
          </w:rPr>
          <w:fldChar w:fldCharType="begin"/>
        </w:r>
        <w:r w:rsidR="001C6C1E">
          <w:rPr>
            <w:noProof/>
            <w:webHidden/>
          </w:rPr>
          <w:instrText xml:space="preserve"> PAGEREF _Toc83997311 \h </w:instrText>
        </w:r>
        <w:r w:rsidR="001C6C1E">
          <w:rPr>
            <w:noProof/>
            <w:webHidden/>
          </w:rPr>
        </w:r>
        <w:r w:rsidR="001C6C1E">
          <w:rPr>
            <w:noProof/>
            <w:webHidden/>
          </w:rPr>
          <w:fldChar w:fldCharType="separate"/>
        </w:r>
        <w:r w:rsidR="0067767C">
          <w:rPr>
            <w:noProof/>
            <w:webHidden/>
          </w:rPr>
          <w:t>IV</w:t>
        </w:r>
        <w:r w:rsidR="001C6C1E">
          <w:rPr>
            <w:noProof/>
            <w:webHidden/>
          </w:rPr>
          <w:fldChar w:fldCharType="end"/>
        </w:r>
      </w:hyperlink>
    </w:p>
    <w:p w14:paraId="65EA8904" w14:textId="0F89B81C" w:rsidR="001C6C1E" w:rsidRDefault="00742092">
      <w:pPr>
        <w:pStyle w:val="Verzeichnis1"/>
        <w:rPr>
          <w:rFonts w:asciiTheme="minorHAnsi" w:eastAsiaTheme="minorEastAsia" w:hAnsiTheme="minorHAnsi" w:cstheme="minorBidi"/>
          <w:noProof/>
          <w:szCs w:val="22"/>
          <w:lang w:eastAsia="en-GB"/>
        </w:rPr>
      </w:pPr>
      <w:hyperlink w:anchor="_Toc83997312" w:history="1">
        <w:r w:rsidR="001C6C1E" w:rsidRPr="00C22CCB">
          <w:rPr>
            <w:rStyle w:val="Hyperlink"/>
            <w:noProof/>
            <w:lang w:val="pt-PT"/>
          </w:rPr>
          <w:t>Figures</w:t>
        </w:r>
        <w:r w:rsidR="001C6C1E">
          <w:rPr>
            <w:noProof/>
            <w:webHidden/>
          </w:rPr>
          <w:tab/>
        </w:r>
        <w:r w:rsidR="001C6C1E">
          <w:rPr>
            <w:noProof/>
            <w:webHidden/>
          </w:rPr>
          <w:fldChar w:fldCharType="begin"/>
        </w:r>
        <w:r w:rsidR="001C6C1E">
          <w:rPr>
            <w:noProof/>
            <w:webHidden/>
          </w:rPr>
          <w:instrText xml:space="preserve"> PAGEREF _Toc83997312 \h </w:instrText>
        </w:r>
        <w:r w:rsidR="001C6C1E">
          <w:rPr>
            <w:noProof/>
            <w:webHidden/>
          </w:rPr>
        </w:r>
        <w:r w:rsidR="001C6C1E">
          <w:rPr>
            <w:noProof/>
            <w:webHidden/>
          </w:rPr>
          <w:fldChar w:fldCharType="separate"/>
        </w:r>
        <w:r w:rsidR="0067767C">
          <w:rPr>
            <w:noProof/>
            <w:webHidden/>
          </w:rPr>
          <w:t>IV</w:t>
        </w:r>
        <w:r w:rsidR="001C6C1E">
          <w:rPr>
            <w:noProof/>
            <w:webHidden/>
          </w:rPr>
          <w:fldChar w:fldCharType="end"/>
        </w:r>
      </w:hyperlink>
    </w:p>
    <w:p w14:paraId="7197518A" w14:textId="1B5FCE0C" w:rsidR="001C6C1E" w:rsidRDefault="00742092">
      <w:pPr>
        <w:pStyle w:val="Verzeichnis1"/>
        <w:rPr>
          <w:rFonts w:asciiTheme="minorHAnsi" w:eastAsiaTheme="minorEastAsia" w:hAnsiTheme="minorHAnsi" w:cstheme="minorBidi"/>
          <w:noProof/>
          <w:szCs w:val="22"/>
          <w:lang w:eastAsia="en-GB"/>
        </w:rPr>
      </w:pPr>
      <w:hyperlink w:anchor="_Toc83997313" w:history="1">
        <w:r w:rsidR="001C6C1E" w:rsidRPr="00C22CCB">
          <w:rPr>
            <w:rStyle w:val="Hyperlink"/>
            <w:noProof/>
            <w:lang w:val="pt-PT"/>
          </w:rPr>
          <w:t>Tables</w:t>
        </w:r>
        <w:r w:rsidR="001C6C1E">
          <w:rPr>
            <w:noProof/>
            <w:webHidden/>
          </w:rPr>
          <w:tab/>
        </w:r>
        <w:r w:rsidR="001C6C1E">
          <w:rPr>
            <w:noProof/>
            <w:webHidden/>
          </w:rPr>
          <w:fldChar w:fldCharType="begin"/>
        </w:r>
        <w:r w:rsidR="001C6C1E">
          <w:rPr>
            <w:noProof/>
            <w:webHidden/>
          </w:rPr>
          <w:instrText xml:space="preserve"> PAGEREF _Toc83997313 \h </w:instrText>
        </w:r>
        <w:r w:rsidR="001C6C1E">
          <w:rPr>
            <w:noProof/>
            <w:webHidden/>
          </w:rPr>
        </w:r>
        <w:r w:rsidR="001C6C1E">
          <w:rPr>
            <w:noProof/>
            <w:webHidden/>
          </w:rPr>
          <w:fldChar w:fldCharType="separate"/>
        </w:r>
        <w:r w:rsidR="0067767C">
          <w:rPr>
            <w:noProof/>
            <w:webHidden/>
          </w:rPr>
          <w:t>IV</w:t>
        </w:r>
        <w:r w:rsidR="001C6C1E">
          <w:rPr>
            <w:noProof/>
            <w:webHidden/>
          </w:rPr>
          <w:fldChar w:fldCharType="end"/>
        </w:r>
      </w:hyperlink>
    </w:p>
    <w:p w14:paraId="55201B56" w14:textId="0303F41F" w:rsidR="001C6C1E" w:rsidRDefault="00742092">
      <w:pPr>
        <w:pStyle w:val="Verzeichnis1"/>
        <w:rPr>
          <w:rFonts w:asciiTheme="minorHAnsi" w:eastAsiaTheme="minorEastAsia" w:hAnsiTheme="minorHAnsi" w:cstheme="minorBidi"/>
          <w:noProof/>
          <w:szCs w:val="22"/>
          <w:lang w:eastAsia="en-GB"/>
        </w:rPr>
      </w:pPr>
      <w:hyperlink w:anchor="_Toc83997314" w:history="1">
        <w:r w:rsidR="001C6C1E" w:rsidRPr="00C22CCB">
          <w:rPr>
            <w:rStyle w:val="Hyperlink"/>
            <w:noProof/>
            <w:lang w:val="pt-PT"/>
          </w:rPr>
          <w:t>Acknowledgements</w:t>
        </w:r>
        <w:r w:rsidR="001C6C1E">
          <w:rPr>
            <w:noProof/>
            <w:webHidden/>
          </w:rPr>
          <w:tab/>
        </w:r>
        <w:r w:rsidR="001C6C1E">
          <w:rPr>
            <w:noProof/>
            <w:webHidden/>
          </w:rPr>
          <w:fldChar w:fldCharType="begin"/>
        </w:r>
        <w:r w:rsidR="001C6C1E">
          <w:rPr>
            <w:noProof/>
            <w:webHidden/>
          </w:rPr>
          <w:instrText xml:space="preserve"> PAGEREF _Toc83997314 \h </w:instrText>
        </w:r>
        <w:r w:rsidR="001C6C1E">
          <w:rPr>
            <w:noProof/>
            <w:webHidden/>
          </w:rPr>
        </w:r>
        <w:r w:rsidR="001C6C1E">
          <w:rPr>
            <w:noProof/>
            <w:webHidden/>
          </w:rPr>
          <w:fldChar w:fldCharType="separate"/>
        </w:r>
        <w:r w:rsidR="0067767C">
          <w:rPr>
            <w:noProof/>
            <w:webHidden/>
          </w:rPr>
          <w:t>VI</w:t>
        </w:r>
        <w:r w:rsidR="001C6C1E">
          <w:rPr>
            <w:noProof/>
            <w:webHidden/>
          </w:rPr>
          <w:fldChar w:fldCharType="end"/>
        </w:r>
      </w:hyperlink>
    </w:p>
    <w:p w14:paraId="4BC583FD" w14:textId="5B5F9254" w:rsidR="001C6C1E" w:rsidRDefault="00742092">
      <w:pPr>
        <w:pStyle w:val="Verzeichnis1"/>
        <w:rPr>
          <w:rFonts w:asciiTheme="minorHAnsi" w:eastAsiaTheme="minorEastAsia" w:hAnsiTheme="minorHAnsi" w:cstheme="minorBidi"/>
          <w:noProof/>
          <w:szCs w:val="22"/>
          <w:lang w:eastAsia="en-GB"/>
        </w:rPr>
      </w:pPr>
      <w:hyperlink w:anchor="_Toc83997315" w:history="1">
        <w:r w:rsidR="001C6C1E" w:rsidRPr="00C22CCB">
          <w:rPr>
            <w:rStyle w:val="Hyperlink"/>
            <w:noProof/>
            <w:lang w:val="pt-PT"/>
          </w:rPr>
          <w:t>Abbreviations</w:t>
        </w:r>
        <w:r w:rsidR="001C6C1E">
          <w:rPr>
            <w:noProof/>
            <w:webHidden/>
          </w:rPr>
          <w:tab/>
        </w:r>
        <w:r w:rsidR="001C6C1E">
          <w:rPr>
            <w:noProof/>
            <w:webHidden/>
          </w:rPr>
          <w:fldChar w:fldCharType="begin"/>
        </w:r>
        <w:r w:rsidR="001C6C1E">
          <w:rPr>
            <w:noProof/>
            <w:webHidden/>
          </w:rPr>
          <w:instrText xml:space="preserve"> PAGEREF _Toc83997315 \h </w:instrText>
        </w:r>
        <w:r w:rsidR="001C6C1E">
          <w:rPr>
            <w:noProof/>
            <w:webHidden/>
          </w:rPr>
        </w:r>
        <w:r w:rsidR="001C6C1E">
          <w:rPr>
            <w:noProof/>
            <w:webHidden/>
          </w:rPr>
          <w:fldChar w:fldCharType="separate"/>
        </w:r>
        <w:r w:rsidR="0067767C">
          <w:rPr>
            <w:noProof/>
            <w:webHidden/>
          </w:rPr>
          <w:t>VII</w:t>
        </w:r>
        <w:r w:rsidR="001C6C1E">
          <w:rPr>
            <w:noProof/>
            <w:webHidden/>
          </w:rPr>
          <w:fldChar w:fldCharType="end"/>
        </w:r>
      </w:hyperlink>
    </w:p>
    <w:p w14:paraId="73656144" w14:textId="789FFAA1" w:rsidR="001C6C1E" w:rsidRDefault="00742092">
      <w:pPr>
        <w:pStyle w:val="Verzeichnis1"/>
        <w:rPr>
          <w:rFonts w:asciiTheme="minorHAnsi" w:eastAsiaTheme="minorEastAsia" w:hAnsiTheme="minorHAnsi" w:cstheme="minorBidi"/>
          <w:noProof/>
          <w:szCs w:val="22"/>
          <w:lang w:eastAsia="en-GB"/>
        </w:rPr>
      </w:pPr>
      <w:hyperlink w:anchor="_Toc83997316" w:history="1">
        <w:r w:rsidR="001C6C1E" w:rsidRPr="00C22CCB">
          <w:rPr>
            <w:rStyle w:val="Hyperlink"/>
            <w:noProof/>
            <w:lang w:val="pt-PT"/>
          </w:rPr>
          <w:t>About this report</w:t>
        </w:r>
        <w:r w:rsidR="001C6C1E">
          <w:rPr>
            <w:noProof/>
            <w:webHidden/>
          </w:rPr>
          <w:tab/>
        </w:r>
        <w:r w:rsidR="001C6C1E">
          <w:rPr>
            <w:noProof/>
            <w:webHidden/>
          </w:rPr>
          <w:fldChar w:fldCharType="begin"/>
        </w:r>
        <w:r w:rsidR="001C6C1E">
          <w:rPr>
            <w:noProof/>
            <w:webHidden/>
          </w:rPr>
          <w:instrText xml:space="preserve"> PAGEREF _Toc83997316 \h </w:instrText>
        </w:r>
        <w:r w:rsidR="001C6C1E">
          <w:rPr>
            <w:noProof/>
            <w:webHidden/>
          </w:rPr>
        </w:r>
        <w:r w:rsidR="001C6C1E">
          <w:rPr>
            <w:noProof/>
            <w:webHidden/>
          </w:rPr>
          <w:fldChar w:fldCharType="separate"/>
        </w:r>
        <w:r w:rsidR="0067767C">
          <w:rPr>
            <w:noProof/>
            <w:webHidden/>
          </w:rPr>
          <w:t>1</w:t>
        </w:r>
        <w:r w:rsidR="001C6C1E">
          <w:rPr>
            <w:noProof/>
            <w:webHidden/>
          </w:rPr>
          <w:fldChar w:fldCharType="end"/>
        </w:r>
      </w:hyperlink>
    </w:p>
    <w:p w14:paraId="13515E2C" w14:textId="4DE26C77" w:rsidR="001C6C1E" w:rsidRDefault="00742092">
      <w:pPr>
        <w:pStyle w:val="Verzeichnis1"/>
        <w:rPr>
          <w:rFonts w:asciiTheme="minorHAnsi" w:eastAsiaTheme="minorEastAsia" w:hAnsiTheme="minorHAnsi" w:cstheme="minorBidi"/>
          <w:noProof/>
          <w:szCs w:val="22"/>
          <w:lang w:eastAsia="en-GB"/>
        </w:rPr>
      </w:pPr>
      <w:hyperlink w:anchor="_Toc83997317" w:history="1">
        <w:r w:rsidR="001C6C1E" w:rsidRPr="00C22CCB">
          <w:rPr>
            <w:rStyle w:val="Hyperlink"/>
            <w:noProof/>
            <w:lang w:val="pt-PT"/>
          </w:rPr>
          <w:t>Executive Summary</w:t>
        </w:r>
        <w:r w:rsidR="001C6C1E">
          <w:rPr>
            <w:noProof/>
            <w:webHidden/>
          </w:rPr>
          <w:tab/>
        </w:r>
        <w:r w:rsidR="001C6C1E">
          <w:rPr>
            <w:noProof/>
            <w:webHidden/>
          </w:rPr>
          <w:fldChar w:fldCharType="begin"/>
        </w:r>
        <w:r w:rsidR="001C6C1E">
          <w:rPr>
            <w:noProof/>
            <w:webHidden/>
          </w:rPr>
          <w:instrText xml:space="preserve"> PAGEREF _Toc83997317 \h </w:instrText>
        </w:r>
        <w:r w:rsidR="001C6C1E">
          <w:rPr>
            <w:noProof/>
            <w:webHidden/>
          </w:rPr>
        </w:r>
        <w:r w:rsidR="001C6C1E">
          <w:rPr>
            <w:noProof/>
            <w:webHidden/>
          </w:rPr>
          <w:fldChar w:fldCharType="separate"/>
        </w:r>
        <w:r w:rsidR="0067767C">
          <w:rPr>
            <w:noProof/>
            <w:webHidden/>
          </w:rPr>
          <w:t>2</w:t>
        </w:r>
        <w:r w:rsidR="001C6C1E">
          <w:rPr>
            <w:noProof/>
            <w:webHidden/>
          </w:rPr>
          <w:fldChar w:fldCharType="end"/>
        </w:r>
      </w:hyperlink>
    </w:p>
    <w:p w14:paraId="33968A30" w14:textId="6A04E870" w:rsidR="001C6C1E" w:rsidRDefault="00742092">
      <w:pPr>
        <w:pStyle w:val="Verzeichnis1"/>
        <w:rPr>
          <w:rFonts w:asciiTheme="minorHAnsi" w:eastAsiaTheme="minorEastAsia" w:hAnsiTheme="minorHAnsi" w:cstheme="minorBidi"/>
          <w:noProof/>
          <w:szCs w:val="22"/>
          <w:lang w:eastAsia="en-GB"/>
        </w:rPr>
      </w:pPr>
      <w:hyperlink w:anchor="_Toc83997318" w:history="1">
        <w:r w:rsidR="001C6C1E" w:rsidRPr="00C22CCB">
          <w:rPr>
            <w:rStyle w:val="Hyperlink"/>
            <w:noProof/>
          </w:rPr>
          <w:t>1.</w:t>
        </w:r>
        <w:r w:rsidR="001C6C1E">
          <w:rPr>
            <w:rFonts w:asciiTheme="minorHAnsi" w:eastAsiaTheme="minorEastAsia" w:hAnsiTheme="minorHAnsi" w:cstheme="minorBidi"/>
            <w:noProof/>
            <w:szCs w:val="22"/>
            <w:lang w:eastAsia="en-GB"/>
          </w:rPr>
          <w:tab/>
        </w:r>
        <w:r w:rsidR="001C6C1E" w:rsidRPr="00C22CCB">
          <w:rPr>
            <w:rStyle w:val="Hyperlink"/>
            <w:noProof/>
          </w:rPr>
          <w:t>Soil quality assessment</w:t>
        </w:r>
        <w:r w:rsidR="001C6C1E">
          <w:rPr>
            <w:noProof/>
            <w:webHidden/>
          </w:rPr>
          <w:tab/>
        </w:r>
        <w:r w:rsidR="001C6C1E">
          <w:rPr>
            <w:noProof/>
            <w:webHidden/>
          </w:rPr>
          <w:fldChar w:fldCharType="begin"/>
        </w:r>
        <w:r w:rsidR="001C6C1E">
          <w:rPr>
            <w:noProof/>
            <w:webHidden/>
          </w:rPr>
          <w:instrText xml:space="preserve"> PAGEREF _Toc83997318 \h </w:instrText>
        </w:r>
        <w:r w:rsidR="001C6C1E">
          <w:rPr>
            <w:noProof/>
            <w:webHidden/>
          </w:rPr>
        </w:r>
        <w:r w:rsidR="001C6C1E">
          <w:rPr>
            <w:noProof/>
            <w:webHidden/>
          </w:rPr>
          <w:fldChar w:fldCharType="separate"/>
        </w:r>
        <w:r w:rsidR="0067767C">
          <w:rPr>
            <w:noProof/>
            <w:webHidden/>
          </w:rPr>
          <w:t>3</w:t>
        </w:r>
        <w:r w:rsidR="001C6C1E">
          <w:rPr>
            <w:noProof/>
            <w:webHidden/>
          </w:rPr>
          <w:fldChar w:fldCharType="end"/>
        </w:r>
      </w:hyperlink>
    </w:p>
    <w:p w14:paraId="314022DD" w14:textId="5465D3ED" w:rsidR="001C6C1E" w:rsidRDefault="00742092">
      <w:pPr>
        <w:pStyle w:val="Verzeichnis2"/>
        <w:rPr>
          <w:rFonts w:asciiTheme="minorHAnsi" w:eastAsiaTheme="minorEastAsia" w:hAnsiTheme="minorHAnsi" w:cstheme="minorBidi"/>
          <w:noProof/>
          <w:szCs w:val="22"/>
          <w:lang w:eastAsia="en-GB"/>
        </w:rPr>
      </w:pPr>
      <w:hyperlink w:anchor="_Toc83997319" w:history="1">
        <w:r w:rsidR="001C6C1E" w:rsidRPr="00C22CCB">
          <w:rPr>
            <w:rStyle w:val="Hyperlink"/>
            <w:noProof/>
          </w:rPr>
          <w:t>1.1</w:t>
        </w:r>
        <w:r w:rsidR="001C6C1E">
          <w:rPr>
            <w:rFonts w:asciiTheme="minorHAnsi" w:eastAsiaTheme="minorEastAsia" w:hAnsiTheme="minorHAnsi" w:cstheme="minorBidi"/>
            <w:noProof/>
            <w:szCs w:val="22"/>
            <w:lang w:eastAsia="en-GB"/>
          </w:rPr>
          <w:tab/>
        </w:r>
        <w:r w:rsidR="001C6C1E" w:rsidRPr="00C22CCB">
          <w:rPr>
            <w:rStyle w:val="Hyperlink"/>
            <w:noProof/>
          </w:rPr>
          <w:t>Definitions</w:t>
        </w:r>
        <w:r w:rsidR="001C6C1E">
          <w:rPr>
            <w:noProof/>
            <w:webHidden/>
          </w:rPr>
          <w:tab/>
        </w:r>
        <w:r w:rsidR="001C6C1E">
          <w:rPr>
            <w:noProof/>
            <w:webHidden/>
          </w:rPr>
          <w:fldChar w:fldCharType="begin"/>
        </w:r>
        <w:r w:rsidR="001C6C1E">
          <w:rPr>
            <w:noProof/>
            <w:webHidden/>
          </w:rPr>
          <w:instrText xml:space="preserve"> PAGEREF _Toc83997319 \h </w:instrText>
        </w:r>
        <w:r w:rsidR="001C6C1E">
          <w:rPr>
            <w:noProof/>
            <w:webHidden/>
          </w:rPr>
        </w:r>
        <w:r w:rsidR="001C6C1E">
          <w:rPr>
            <w:noProof/>
            <w:webHidden/>
          </w:rPr>
          <w:fldChar w:fldCharType="separate"/>
        </w:r>
        <w:r w:rsidR="0067767C">
          <w:rPr>
            <w:noProof/>
            <w:webHidden/>
          </w:rPr>
          <w:t>3</w:t>
        </w:r>
        <w:r w:rsidR="001C6C1E">
          <w:rPr>
            <w:noProof/>
            <w:webHidden/>
          </w:rPr>
          <w:fldChar w:fldCharType="end"/>
        </w:r>
      </w:hyperlink>
    </w:p>
    <w:p w14:paraId="04864072" w14:textId="098EE2BD" w:rsidR="001C6C1E" w:rsidRDefault="00742092">
      <w:pPr>
        <w:pStyle w:val="Verzeichnis2"/>
        <w:rPr>
          <w:rFonts w:asciiTheme="minorHAnsi" w:eastAsiaTheme="minorEastAsia" w:hAnsiTheme="minorHAnsi" w:cstheme="minorBidi"/>
          <w:noProof/>
          <w:szCs w:val="22"/>
          <w:lang w:eastAsia="en-GB"/>
        </w:rPr>
      </w:pPr>
      <w:hyperlink w:anchor="_Toc83997320" w:history="1">
        <w:r w:rsidR="001C6C1E" w:rsidRPr="00C22CCB">
          <w:rPr>
            <w:rStyle w:val="Hyperlink"/>
            <w:noProof/>
          </w:rPr>
          <w:t>1.2</w:t>
        </w:r>
        <w:r w:rsidR="001C6C1E">
          <w:rPr>
            <w:rFonts w:asciiTheme="minorHAnsi" w:eastAsiaTheme="minorEastAsia" w:hAnsiTheme="minorHAnsi" w:cstheme="minorBidi"/>
            <w:noProof/>
            <w:szCs w:val="22"/>
            <w:lang w:eastAsia="en-GB"/>
          </w:rPr>
          <w:tab/>
        </w:r>
        <w:r w:rsidR="001C6C1E" w:rsidRPr="00C22CCB">
          <w:rPr>
            <w:rStyle w:val="Hyperlink"/>
            <w:noProof/>
          </w:rPr>
          <w:t>From soil quality to ecosystem services</w:t>
        </w:r>
        <w:r w:rsidR="001C6C1E">
          <w:rPr>
            <w:noProof/>
            <w:webHidden/>
          </w:rPr>
          <w:tab/>
        </w:r>
        <w:r w:rsidR="001C6C1E">
          <w:rPr>
            <w:noProof/>
            <w:webHidden/>
          </w:rPr>
          <w:fldChar w:fldCharType="begin"/>
        </w:r>
        <w:r w:rsidR="001C6C1E">
          <w:rPr>
            <w:noProof/>
            <w:webHidden/>
          </w:rPr>
          <w:instrText xml:space="preserve"> PAGEREF _Toc83997320 \h </w:instrText>
        </w:r>
        <w:r w:rsidR="001C6C1E">
          <w:rPr>
            <w:noProof/>
            <w:webHidden/>
          </w:rPr>
        </w:r>
        <w:r w:rsidR="001C6C1E">
          <w:rPr>
            <w:noProof/>
            <w:webHidden/>
          </w:rPr>
          <w:fldChar w:fldCharType="separate"/>
        </w:r>
        <w:r w:rsidR="0067767C">
          <w:rPr>
            <w:noProof/>
            <w:webHidden/>
          </w:rPr>
          <w:t>4</w:t>
        </w:r>
        <w:r w:rsidR="001C6C1E">
          <w:rPr>
            <w:noProof/>
            <w:webHidden/>
          </w:rPr>
          <w:fldChar w:fldCharType="end"/>
        </w:r>
      </w:hyperlink>
    </w:p>
    <w:p w14:paraId="2D6305D2" w14:textId="2D901D3F" w:rsidR="001C6C1E" w:rsidRDefault="00742092">
      <w:pPr>
        <w:pStyle w:val="Verzeichnis2"/>
        <w:rPr>
          <w:rFonts w:asciiTheme="minorHAnsi" w:eastAsiaTheme="minorEastAsia" w:hAnsiTheme="minorHAnsi" w:cstheme="minorBidi"/>
          <w:noProof/>
          <w:szCs w:val="22"/>
          <w:lang w:eastAsia="en-GB"/>
        </w:rPr>
      </w:pPr>
      <w:hyperlink w:anchor="_Toc83997321" w:history="1">
        <w:r w:rsidR="001C6C1E" w:rsidRPr="00C22CCB">
          <w:rPr>
            <w:rStyle w:val="Hyperlink"/>
            <w:noProof/>
          </w:rPr>
          <w:t>1.3</w:t>
        </w:r>
        <w:r w:rsidR="001C6C1E">
          <w:rPr>
            <w:rFonts w:asciiTheme="minorHAnsi" w:eastAsiaTheme="minorEastAsia" w:hAnsiTheme="minorHAnsi" w:cstheme="minorBidi"/>
            <w:noProof/>
            <w:szCs w:val="22"/>
            <w:lang w:eastAsia="en-GB"/>
          </w:rPr>
          <w:tab/>
        </w:r>
        <w:r w:rsidR="001C6C1E" w:rsidRPr="00C22CCB">
          <w:rPr>
            <w:rStyle w:val="Hyperlink"/>
            <w:noProof/>
          </w:rPr>
          <w:t>Assessing soil degradation by soil quality indicators</w:t>
        </w:r>
        <w:r w:rsidR="001C6C1E">
          <w:rPr>
            <w:noProof/>
            <w:webHidden/>
          </w:rPr>
          <w:tab/>
        </w:r>
        <w:r w:rsidR="001C6C1E">
          <w:rPr>
            <w:noProof/>
            <w:webHidden/>
          </w:rPr>
          <w:fldChar w:fldCharType="begin"/>
        </w:r>
        <w:r w:rsidR="001C6C1E">
          <w:rPr>
            <w:noProof/>
            <w:webHidden/>
          </w:rPr>
          <w:instrText xml:space="preserve"> PAGEREF _Toc83997321 \h </w:instrText>
        </w:r>
        <w:r w:rsidR="001C6C1E">
          <w:rPr>
            <w:noProof/>
            <w:webHidden/>
          </w:rPr>
        </w:r>
        <w:r w:rsidR="001C6C1E">
          <w:rPr>
            <w:noProof/>
            <w:webHidden/>
          </w:rPr>
          <w:fldChar w:fldCharType="separate"/>
        </w:r>
        <w:r w:rsidR="0067767C">
          <w:rPr>
            <w:noProof/>
            <w:webHidden/>
          </w:rPr>
          <w:t>7</w:t>
        </w:r>
        <w:r w:rsidR="001C6C1E">
          <w:rPr>
            <w:noProof/>
            <w:webHidden/>
          </w:rPr>
          <w:fldChar w:fldCharType="end"/>
        </w:r>
      </w:hyperlink>
    </w:p>
    <w:p w14:paraId="4AE309CD" w14:textId="1051924C" w:rsidR="001C6C1E" w:rsidRDefault="00742092">
      <w:pPr>
        <w:pStyle w:val="Verzeichnis2"/>
        <w:rPr>
          <w:rFonts w:asciiTheme="minorHAnsi" w:eastAsiaTheme="minorEastAsia" w:hAnsiTheme="minorHAnsi" w:cstheme="minorBidi"/>
          <w:noProof/>
          <w:szCs w:val="22"/>
          <w:lang w:eastAsia="en-GB"/>
        </w:rPr>
      </w:pPr>
      <w:hyperlink w:anchor="_Toc83997322" w:history="1">
        <w:r w:rsidR="001C6C1E" w:rsidRPr="00C22CCB">
          <w:rPr>
            <w:rStyle w:val="Hyperlink"/>
            <w:noProof/>
          </w:rPr>
          <w:t>1.4</w:t>
        </w:r>
        <w:r w:rsidR="001C6C1E">
          <w:rPr>
            <w:rFonts w:asciiTheme="minorHAnsi" w:eastAsiaTheme="minorEastAsia" w:hAnsiTheme="minorHAnsi" w:cstheme="minorBidi"/>
            <w:noProof/>
            <w:szCs w:val="22"/>
            <w:lang w:eastAsia="en-GB"/>
          </w:rPr>
          <w:tab/>
        </w:r>
        <w:r w:rsidR="001C6C1E" w:rsidRPr="00C22CCB">
          <w:rPr>
            <w:rStyle w:val="Hyperlink"/>
            <w:noProof/>
          </w:rPr>
          <w:t>Existing indicator systems including soil quality</w:t>
        </w:r>
        <w:r w:rsidR="001C6C1E">
          <w:rPr>
            <w:noProof/>
            <w:webHidden/>
          </w:rPr>
          <w:tab/>
        </w:r>
        <w:r w:rsidR="001C6C1E">
          <w:rPr>
            <w:noProof/>
            <w:webHidden/>
          </w:rPr>
          <w:fldChar w:fldCharType="begin"/>
        </w:r>
        <w:r w:rsidR="001C6C1E">
          <w:rPr>
            <w:noProof/>
            <w:webHidden/>
          </w:rPr>
          <w:instrText xml:space="preserve"> PAGEREF _Toc83997322 \h </w:instrText>
        </w:r>
        <w:r w:rsidR="001C6C1E">
          <w:rPr>
            <w:noProof/>
            <w:webHidden/>
          </w:rPr>
        </w:r>
        <w:r w:rsidR="001C6C1E">
          <w:rPr>
            <w:noProof/>
            <w:webHidden/>
          </w:rPr>
          <w:fldChar w:fldCharType="separate"/>
        </w:r>
        <w:r w:rsidR="0067767C">
          <w:rPr>
            <w:noProof/>
            <w:webHidden/>
          </w:rPr>
          <w:t>8</w:t>
        </w:r>
        <w:r w:rsidR="001C6C1E">
          <w:rPr>
            <w:noProof/>
            <w:webHidden/>
          </w:rPr>
          <w:fldChar w:fldCharType="end"/>
        </w:r>
      </w:hyperlink>
    </w:p>
    <w:p w14:paraId="02FBE660" w14:textId="7D55178F" w:rsidR="001C6C1E" w:rsidRDefault="00742092">
      <w:pPr>
        <w:pStyle w:val="Verzeichnis2"/>
        <w:rPr>
          <w:rFonts w:asciiTheme="minorHAnsi" w:eastAsiaTheme="minorEastAsia" w:hAnsiTheme="minorHAnsi" w:cstheme="minorBidi"/>
          <w:noProof/>
          <w:szCs w:val="22"/>
          <w:lang w:eastAsia="en-GB"/>
        </w:rPr>
      </w:pPr>
      <w:hyperlink w:anchor="_Toc83997323" w:history="1">
        <w:r w:rsidR="001C6C1E" w:rsidRPr="00C22CCB">
          <w:rPr>
            <w:rStyle w:val="Hyperlink"/>
            <w:i/>
            <w:iCs/>
            <w:noProof/>
          </w:rPr>
          <w:t>1.4.1</w:t>
        </w:r>
        <w:r w:rsidR="001C6C1E">
          <w:rPr>
            <w:rFonts w:asciiTheme="minorHAnsi" w:eastAsiaTheme="minorEastAsia" w:hAnsiTheme="minorHAnsi" w:cstheme="minorBidi"/>
            <w:noProof/>
            <w:szCs w:val="22"/>
            <w:lang w:eastAsia="en-GB"/>
          </w:rPr>
          <w:tab/>
        </w:r>
        <w:r w:rsidR="001C6C1E" w:rsidRPr="00C22CCB">
          <w:rPr>
            <w:rStyle w:val="Hyperlink"/>
            <w:i/>
            <w:iCs/>
            <w:noProof/>
          </w:rPr>
          <w:t>Global and European soil indicator systems</w:t>
        </w:r>
        <w:r w:rsidR="001C6C1E">
          <w:rPr>
            <w:noProof/>
            <w:webHidden/>
          </w:rPr>
          <w:tab/>
        </w:r>
        <w:r w:rsidR="001C6C1E">
          <w:rPr>
            <w:noProof/>
            <w:webHidden/>
          </w:rPr>
          <w:fldChar w:fldCharType="begin"/>
        </w:r>
        <w:r w:rsidR="001C6C1E">
          <w:rPr>
            <w:noProof/>
            <w:webHidden/>
          </w:rPr>
          <w:instrText xml:space="preserve"> PAGEREF _Toc83997323 \h </w:instrText>
        </w:r>
        <w:r w:rsidR="001C6C1E">
          <w:rPr>
            <w:noProof/>
            <w:webHidden/>
          </w:rPr>
        </w:r>
        <w:r w:rsidR="001C6C1E">
          <w:rPr>
            <w:noProof/>
            <w:webHidden/>
          </w:rPr>
          <w:fldChar w:fldCharType="separate"/>
        </w:r>
        <w:r w:rsidR="0067767C">
          <w:rPr>
            <w:noProof/>
            <w:webHidden/>
          </w:rPr>
          <w:t>8</w:t>
        </w:r>
        <w:r w:rsidR="001C6C1E">
          <w:rPr>
            <w:noProof/>
            <w:webHidden/>
          </w:rPr>
          <w:fldChar w:fldCharType="end"/>
        </w:r>
      </w:hyperlink>
    </w:p>
    <w:p w14:paraId="14C1AFBE" w14:textId="724E95F8" w:rsidR="001C6C1E" w:rsidRDefault="00742092">
      <w:pPr>
        <w:pStyle w:val="Verzeichnis2"/>
        <w:rPr>
          <w:rFonts w:asciiTheme="minorHAnsi" w:eastAsiaTheme="minorEastAsia" w:hAnsiTheme="minorHAnsi" w:cstheme="minorBidi"/>
          <w:noProof/>
          <w:szCs w:val="22"/>
          <w:lang w:eastAsia="en-GB"/>
        </w:rPr>
      </w:pPr>
      <w:hyperlink w:anchor="_Toc83997324" w:history="1">
        <w:r w:rsidR="001C6C1E" w:rsidRPr="00C22CCB">
          <w:rPr>
            <w:rStyle w:val="Hyperlink"/>
            <w:i/>
            <w:iCs/>
            <w:noProof/>
          </w:rPr>
          <w:t>1.4.2</w:t>
        </w:r>
        <w:r w:rsidR="001C6C1E">
          <w:rPr>
            <w:rFonts w:asciiTheme="minorHAnsi" w:eastAsiaTheme="minorEastAsia" w:hAnsiTheme="minorHAnsi" w:cstheme="minorBidi"/>
            <w:noProof/>
            <w:szCs w:val="22"/>
            <w:lang w:eastAsia="en-GB"/>
          </w:rPr>
          <w:tab/>
        </w:r>
        <w:r w:rsidR="001C6C1E" w:rsidRPr="00C22CCB">
          <w:rPr>
            <w:rStyle w:val="Hyperlink"/>
            <w:i/>
            <w:iCs/>
            <w:noProof/>
          </w:rPr>
          <w:t>UNCCD land degradation and SDG 15.3.1</w:t>
        </w:r>
        <w:r w:rsidR="001C6C1E">
          <w:rPr>
            <w:noProof/>
            <w:webHidden/>
          </w:rPr>
          <w:tab/>
        </w:r>
        <w:r w:rsidR="001C6C1E">
          <w:rPr>
            <w:noProof/>
            <w:webHidden/>
          </w:rPr>
          <w:fldChar w:fldCharType="begin"/>
        </w:r>
        <w:r w:rsidR="001C6C1E">
          <w:rPr>
            <w:noProof/>
            <w:webHidden/>
          </w:rPr>
          <w:instrText xml:space="preserve"> PAGEREF _Toc83997324 \h </w:instrText>
        </w:r>
        <w:r w:rsidR="001C6C1E">
          <w:rPr>
            <w:noProof/>
            <w:webHidden/>
          </w:rPr>
        </w:r>
        <w:r w:rsidR="001C6C1E">
          <w:rPr>
            <w:noProof/>
            <w:webHidden/>
          </w:rPr>
          <w:fldChar w:fldCharType="separate"/>
        </w:r>
        <w:r w:rsidR="0067767C">
          <w:rPr>
            <w:noProof/>
            <w:webHidden/>
          </w:rPr>
          <w:t>11</w:t>
        </w:r>
        <w:r w:rsidR="001C6C1E">
          <w:rPr>
            <w:noProof/>
            <w:webHidden/>
          </w:rPr>
          <w:fldChar w:fldCharType="end"/>
        </w:r>
      </w:hyperlink>
    </w:p>
    <w:p w14:paraId="657FCEB6" w14:textId="5B056E04" w:rsidR="001C6C1E" w:rsidRDefault="00742092">
      <w:pPr>
        <w:pStyle w:val="Verzeichnis2"/>
        <w:rPr>
          <w:rFonts w:asciiTheme="minorHAnsi" w:eastAsiaTheme="minorEastAsia" w:hAnsiTheme="minorHAnsi" w:cstheme="minorBidi"/>
          <w:noProof/>
          <w:szCs w:val="22"/>
          <w:lang w:eastAsia="en-GB"/>
        </w:rPr>
      </w:pPr>
      <w:hyperlink w:anchor="_Toc83997325" w:history="1">
        <w:r w:rsidR="001C6C1E" w:rsidRPr="00C22CCB">
          <w:rPr>
            <w:rStyle w:val="Hyperlink"/>
            <w:noProof/>
          </w:rPr>
          <w:t>1.5</w:t>
        </w:r>
        <w:r w:rsidR="001C6C1E">
          <w:rPr>
            <w:rFonts w:asciiTheme="minorHAnsi" w:eastAsiaTheme="minorEastAsia" w:hAnsiTheme="minorHAnsi" w:cstheme="minorBidi"/>
            <w:noProof/>
            <w:szCs w:val="22"/>
            <w:lang w:eastAsia="en-GB"/>
          </w:rPr>
          <w:tab/>
        </w:r>
        <w:r w:rsidR="001C6C1E" w:rsidRPr="00C22CCB">
          <w:rPr>
            <w:rStyle w:val="Hyperlink"/>
            <w:noProof/>
          </w:rPr>
          <w:t>Soil indicators for EU policy targets</w:t>
        </w:r>
        <w:r w:rsidR="001C6C1E">
          <w:rPr>
            <w:noProof/>
            <w:webHidden/>
          </w:rPr>
          <w:tab/>
        </w:r>
        <w:r w:rsidR="001C6C1E">
          <w:rPr>
            <w:noProof/>
            <w:webHidden/>
          </w:rPr>
          <w:fldChar w:fldCharType="begin"/>
        </w:r>
        <w:r w:rsidR="001C6C1E">
          <w:rPr>
            <w:noProof/>
            <w:webHidden/>
          </w:rPr>
          <w:instrText xml:space="preserve"> PAGEREF _Toc83997325 \h </w:instrText>
        </w:r>
        <w:r w:rsidR="001C6C1E">
          <w:rPr>
            <w:noProof/>
            <w:webHidden/>
          </w:rPr>
        </w:r>
        <w:r w:rsidR="001C6C1E">
          <w:rPr>
            <w:noProof/>
            <w:webHidden/>
          </w:rPr>
          <w:fldChar w:fldCharType="separate"/>
        </w:r>
        <w:r w:rsidR="0067767C">
          <w:rPr>
            <w:noProof/>
            <w:webHidden/>
          </w:rPr>
          <w:t>12</w:t>
        </w:r>
        <w:r w:rsidR="001C6C1E">
          <w:rPr>
            <w:noProof/>
            <w:webHidden/>
          </w:rPr>
          <w:fldChar w:fldCharType="end"/>
        </w:r>
      </w:hyperlink>
    </w:p>
    <w:p w14:paraId="7329FFEB" w14:textId="7B9FBBBB" w:rsidR="001C6C1E" w:rsidRDefault="00742092">
      <w:pPr>
        <w:pStyle w:val="Verzeichnis2"/>
        <w:rPr>
          <w:rFonts w:asciiTheme="minorHAnsi" w:eastAsiaTheme="minorEastAsia" w:hAnsiTheme="minorHAnsi" w:cstheme="minorBidi"/>
          <w:noProof/>
          <w:szCs w:val="22"/>
          <w:lang w:eastAsia="en-GB"/>
        </w:rPr>
      </w:pPr>
      <w:hyperlink w:anchor="_Toc83997326" w:history="1">
        <w:r w:rsidR="001C6C1E" w:rsidRPr="00C22CCB">
          <w:rPr>
            <w:rStyle w:val="Hyperlink"/>
            <w:noProof/>
          </w:rPr>
          <w:t>1.6</w:t>
        </w:r>
        <w:r w:rsidR="001C6C1E">
          <w:rPr>
            <w:rFonts w:asciiTheme="minorHAnsi" w:eastAsiaTheme="minorEastAsia" w:hAnsiTheme="minorHAnsi" w:cstheme="minorBidi"/>
            <w:noProof/>
            <w:szCs w:val="22"/>
            <w:lang w:eastAsia="en-GB"/>
          </w:rPr>
          <w:tab/>
        </w:r>
        <w:r w:rsidR="001C6C1E" w:rsidRPr="00C22CCB">
          <w:rPr>
            <w:rStyle w:val="Hyperlink"/>
            <w:noProof/>
          </w:rPr>
          <w:t>Conclusions</w:t>
        </w:r>
        <w:r w:rsidR="001C6C1E">
          <w:rPr>
            <w:noProof/>
            <w:webHidden/>
          </w:rPr>
          <w:tab/>
        </w:r>
        <w:r w:rsidR="001C6C1E">
          <w:rPr>
            <w:noProof/>
            <w:webHidden/>
          </w:rPr>
          <w:fldChar w:fldCharType="begin"/>
        </w:r>
        <w:r w:rsidR="001C6C1E">
          <w:rPr>
            <w:noProof/>
            <w:webHidden/>
          </w:rPr>
          <w:instrText xml:space="preserve"> PAGEREF _Toc83997326 \h </w:instrText>
        </w:r>
        <w:r w:rsidR="001C6C1E">
          <w:rPr>
            <w:noProof/>
            <w:webHidden/>
          </w:rPr>
        </w:r>
        <w:r w:rsidR="001C6C1E">
          <w:rPr>
            <w:noProof/>
            <w:webHidden/>
          </w:rPr>
          <w:fldChar w:fldCharType="separate"/>
        </w:r>
        <w:r w:rsidR="0067767C">
          <w:rPr>
            <w:noProof/>
            <w:webHidden/>
          </w:rPr>
          <w:t>19</w:t>
        </w:r>
        <w:r w:rsidR="001C6C1E">
          <w:rPr>
            <w:noProof/>
            <w:webHidden/>
          </w:rPr>
          <w:fldChar w:fldCharType="end"/>
        </w:r>
      </w:hyperlink>
    </w:p>
    <w:p w14:paraId="2D4BD87A" w14:textId="11C657EE" w:rsidR="001C6C1E" w:rsidRDefault="00742092">
      <w:pPr>
        <w:pStyle w:val="Verzeichnis1"/>
        <w:rPr>
          <w:rFonts w:asciiTheme="minorHAnsi" w:eastAsiaTheme="minorEastAsia" w:hAnsiTheme="minorHAnsi" w:cstheme="minorBidi"/>
          <w:noProof/>
          <w:szCs w:val="22"/>
          <w:lang w:eastAsia="en-GB"/>
        </w:rPr>
      </w:pPr>
      <w:hyperlink w:anchor="_Toc83997327" w:history="1">
        <w:r w:rsidR="001C6C1E" w:rsidRPr="00C22CCB">
          <w:rPr>
            <w:rStyle w:val="Hyperlink"/>
            <w:noProof/>
          </w:rPr>
          <w:t>2</w:t>
        </w:r>
        <w:r w:rsidR="001C6C1E">
          <w:rPr>
            <w:rFonts w:asciiTheme="minorHAnsi" w:eastAsiaTheme="minorEastAsia" w:hAnsiTheme="minorHAnsi" w:cstheme="minorBidi"/>
            <w:noProof/>
            <w:szCs w:val="22"/>
            <w:lang w:eastAsia="en-GB"/>
          </w:rPr>
          <w:tab/>
        </w:r>
        <w:r w:rsidR="001C6C1E" w:rsidRPr="00C22CCB">
          <w:rPr>
            <w:rStyle w:val="Hyperlink"/>
            <w:noProof/>
          </w:rPr>
          <w:t>Soil organic carbon</w:t>
        </w:r>
        <w:r w:rsidR="001C6C1E">
          <w:rPr>
            <w:noProof/>
            <w:webHidden/>
          </w:rPr>
          <w:tab/>
        </w:r>
        <w:r w:rsidR="001C6C1E">
          <w:rPr>
            <w:noProof/>
            <w:webHidden/>
          </w:rPr>
          <w:fldChar w:fldCharType="begin"/>
        </w:r>
        <w:r w:rsidR="001C6C1E">
          <w:rPr>
            <w:noProof/>
            <w:webHidden/>
          </w:rPr>
          <w:instrText xml:space="preserve"> PAGEREF _Toc83997327 \h </w:instrText>
        </w:r>
        <w:r w:rsidR="001C6C1E">
          <w:rPr>
            <w:noProof/>
            <w:webHidden/>
          </w:rPr>
        </w:r>
        <w:r w:rsidR="001C6C1E">
          <w:rPr>
            <w:noProof/>
            <w:webHidden/>
          </w:rPr>
          <w:fldChar w:fldCharType="separate"/>
        </w:r>
        <w:r w:rsidR="0067767C">
          <w:rPr>
            <w:noProof/>
            <w:webHidden/>
          </w:rPr>
          <w:t>20</w:t>
        </w:r>
        <w:r w:rsidR="001C6C1E">
          <w:rPr>
            <w:noProof/>
            <w:webHidden/>
          </w:rPr>
          <w:fldChar w:fldCharType="end"/>
        </w:r>
      </w:hyperlink>
    </w:p>
    <w:p w14:paraId="51BC8EC5" w14:textId="78A21D08" w:rsidR="001C6C1E" w:rsidRDefault="00742092">
      <w:pPr>
        <w:pStyle w:val="Verzeichnis2"/>
        <w:rPr>
          <w:rFonts w:asciiTheme="minorHAnsi" w:eastAsiaTheme="minorEastAsia" w:hAnsiTheme="minorHAnsi" w:cstheme="minorBidi"/>
          <w:noProof/>
          <w:szCs w:val="22"/>
          <w:lang w:eastAsia="en-GB"/>
        </w:rPr>
      </w:pPr>
      <w:hyperlink w:anchor="_Toc83997328" w:history="1">
        <w:r w:rsidR="001C6C1E" w:rsidRPr="00C22CCB">
          <w:rPr>
            <w:rStyle w:val="Hyperlink"/>
            <w:noProof/>
          </w:rPr>
          <w:t>2.1</w:t>
        </w:r>
        <w:r w:rsidR="001C6C1E">
          <w:rPr>
            <w:rFonts w:asciiTheme="minorHAnsi" w:eastAsiaTheme="minorEastAsia" w:hAnsiTheme="minorHAnsi" w:cstheme="minorBidi"/>
            <w:noProof/>
            <w:szCs w:val="22"/>
            <w:lang w:eastAsia="en-GB"/>
          </w:rPr>
          <w:tab/>
        </w:r>
        <w:r w:rsidR="001C6C1E" w:rsidRPr="00C22CCB">
          <w:rPr>
            <w:rStyle w:val="Hyperlink"/>
            <w:noProof/>
          </w:rPr>
          <w:t>Rationale: role of soil organic carbon for soil productivity, filter and storage of water, nutrients and pollutants</w:t>
        </w:r>
        <w:r w:rsidR="001C6C1E">
          <w:rPr>
            <w:noProof/>
            <w:webHidden/>
          </w:rPr>
          <w:tab/>
        </w:r>
        <w:r w:rsidR="001C6C1E">
          <w:rPr>
            <w:noProof/>
            <w:webHidden/>
          </w:rPr>
          <w:fldChar w:fldCharType="begin"/>
        </w:r>
        <w:r w:rsidR="001C6C1E">
          <w:rPr>
            <w:noProof/>
            <w:webHidden/>
          </w:rPr>
          <w:instrText xml:space="preserve"> PAGEREF _Toc83997328 \h </w:instrText>
        </w:r>
        <w:r w:rsidR="001C6C1E">
          <w:rPr>
            <w:noProof/>
            <w:webHidden/>
          </w:rPr>
        </w:r>
        <w:r w:rsidR="001C6C1E">
          <w:rPr>
            <w:noProof/>
            <w:webHidden/>
          </w:rPr>
          <w:fldChar w:fldCharType="separate"/>
        </w:r>
        <w:r w:rsidR="0067767C">
          <w:rPr>
            <w:noProof/>
            <w:webHidden/>
          </w:rPr>
          <w:t>20</w:t>
        </w:r>
        <w:r w:rsidR="001C6C1E">
          <w:rPr>
            <w:noProof/>
            <w:webHidden/>
          </w:rPr>
          <w:fldChar w:fldCharType="end"/>
        </w:r>
      </w:hyperlink>
    </w:p>
    <w:p w14:paraId="49BDFC39" w14:textId="15D36BFF" w:rsidR="001C6C1E" w:rsidRDefault="00742092">
      <w:pPr>
        <w:pStyle w:val="Verzeichnis2"/>
        <w:rPr>
          <w:rFonts w:asciiTheme="minorHAnsi" w:eastAsiaTheme="minorEastAsia" w:hAnsiTheme="minorHAnsi" w:cstheme="minorBidi"/>
          <w:noProof/>
          <w:szCs w:val="22"/>
          <w:lang w:eastAsia="en-GB"/>
        </w:rPr>
      </w:pPr>
      <w:hyperlink w:anchor="_Toc83997329" w:history="1">
        <w:r w:rsidR="001C6C1E" w:rsidRPr="00C22CCB">
          <w:rPr>
            <w:rStyle w:val="Hyperlink"/>
            <w:noProof/>
          </w:rPr>
          <w:t>2.2</w:t>
        </w:r>
        <w:r w:rsidR="001C6C1E">
          <w:rPr>
            <w:rFonts w:asciiTheme="minorHAnsi" w:eastAsiaTheme="minorEastAsia" w:hAnsiTheme="minorHAnsi" w:cstheme="minorBidi"/>
            <w:noProof/>
            <w:szCs w:val="22"/>
            <w:lang w:eastAsia="en-GB"/>
          </w:rPr>
          <w:tab/>
        </w:r>
        <w:r w:rsidR="001C6C1E" w:rsidRPr="00C22CCB">
          <w:rPr>
            <w:rStyle w:val="Hyperlink"/>
            <w:noProof/>
          </w:rPr>
          <w:t>Indicator specification “Loss of SOC below critical levels”</w:t>
        </w:r>
        <w:r w:rsidR="001C6C1E">
          <w:rPr>
            <w:noProof/>
            <w:webHidden/>
          </w:rPr>
          <w:tab/>
        </w:r>
        <w:r w:rsidR="001C6C1E">
          <w:rPr>
            <w:noProof/>
            <w:webHidden/>
          </w:rPr>
          <w:fldChar w:fldCharType="begin"/>
        </w:r>
        <w:r w:rsidR="001C6C1E">
          <w:rPr>
            <w:noProof/>
            <w:webHidden/>
          </w:rPr>
          <w:instrText xml:space="preserve"> PAGEREF _Toc83997329 \h </w:instrText>
        </w:r>
        <w:r w:rsidR="001C6C1E">
          <w:rPr>
            <w:noProof/>
            <w:webHidden/>
          </w:rPr>
        </w:r>
        <w:r w:rsidR="001C6C1E">
          <w:rPr>
            <w:noProof/>
            <w:webHidden/>
          </w:rPr>
          <w:fldChar w:fldCharType="separate"/>
        </w:r>
        <w:r w:rsidR="0067767C">
          <w:rPr>
            <w:noProof/>
            <w:webHidden/>
          </w:rPr>
          <w:t>21</w:t>
        </w:r>
        <w:r w:rsidR="001C6C1E">
          <w:rPr>
            <w:noProof/>
            <w:webHidden/>
          </w:rPr>
          <w:fldChar w:fldCharType="end"/>
        </w:r>
      </w:hyperlink>
    </w:p>
    <w:p w14:paraId="1881FCB0" w14:textId="1A52A350" w:rsidR="001C6C1E" w:rsidRDefault="00742092">
      <w:pPr>
        <w:pStyle w:val="Verzeichnis2"/>
        <w:rPr>
          <w:rFonts w:asciiTheme="minorHAnsi" w:eastAsiaTheme="minorEastAsia" w:hAnsiTheme="minorHAnsi" w:cstheme="minorBidi"/>
          <w:noProof/>
          <w:szCs w:val="22"/>
          <w:lang w:eastAsia="en-GB"/>
        </w:rPr>
      </w:pPr>
      <w:hyperlink w:anchor="_Toc83997330" w:history="1">
        <w:r w:rsidR="001C6C1E" w:rsidRPr="00C22CCB">
          <w:rPr>
            <w:rStyle w:val="Hyperlink"/>
            <w:noProof/>
          </w:rPr>
          <w:t>2.3</w:t>
        </w:r>
        <w:r w:rsidR="001C6C1E">
          <w:rPr>
            <w:rFonts w:asciiTheme="minorHAnsi" w:eastAsiaTheme="minorEastAsia" w:hAnsiTheme="minorHAnsi" w:cstheme="minorBidi"/>
            <w:noProof/>
            <w:szCs w:val="22"/>
            <w:lang w:eastAsia="en-GB"/>
          </w:rPr>
          <w:tab/>
        </w:r>
        <w:r w:rsidR="001C6C1E" w:rsidRPr="00C22CCB">
          <w:rPr>
            <w:rStyle w:val="Hyperlink"/>
            <w:noProof/>
          </w:rPr>
          <w:t>Critical limits for soil organic carbon</w:t>
        </w:r>
        <w:r w:rsidR="001C6C1E">
          <w:rPr>
            <w:noProof/>
            <w:webHidden/>
          </w:rPr>
          <w:tab/>
        </w:r>
        <w:r w:rsidR="001C6C1E">
          <w:rPr>
            <w:noProof/>
            <w:webHidden/>
          </w:rPr>
          <w:fldChar w:fldCharType="begin"/>
        </w:r>
        <w:r w:rsidR="001C6C1E">
          <w:rPr>
            <w:noProof/>
            <w:webHidden/>
          </w:rPr>
          <w:instrText xml:space="preserve"> PAGEREF _Toc83997330 \h </w:instrText>
        </w:r>
        <w:r w:rsidR="001C6C1E">
          <w:rPr>
            <w:noProof/>
            <w:webHidden/>
          </w:rPr>
        </w:r>
        <w:r w:rsidR="001C6C1E">
          <w:rPr>
            <w:noProof/>
            <w:webHidden/>
          </w:rPr>
          <w:fldChar w:fldCharType="separate"/>
        </w:r>
        <w:r w:rsidR="0067767C">
          <w:rPr>
            <w:noProof/>
            <w:webHidden/>
          </w:rPr>
          <w:t>23</w:t>
        </w:r>
        <w:r w:rsidR="001C6C1E">
          <w:rPr>
            <w:noProof/>
            <w:webHidden/>
          </w:rPr>
          <w:fldChar w:fldCharType="end"/>
        </w:r>
      </w:hyperlink>
    </w:p>
    <w:p w14:paraId="4DC7A794" w14:textId="6813638F" w:rsidR="001C6C1E" w:rsidRDefault="00742092">
      <w:pPr>
        <w:pStyle w:val="Verzeichnis2"/>
        <w:rPr>
          <w:rFonts w:asciiTheme="minorHAnsi" w:eastAsiaTheme="minorEastAsia" w:hAnsiTheme="minorHAnsi" w:cstheme="minorBidi"/>
          <w:noProof/>
          <w:szCs w:val="22"/>
          <w:lang w:eastAsia="en-GB"/>
        </w:rPr>
      </w:pPr>
      <w:hyperlink w:anchor="_Toc83997331" w:history="1">
        <w:r w:rsidR="001C6C1E" w:rsidRPr="00C22CCB">
          <w:rPr>
            <w:rStyle w:val="Hyperlink"/>
            <w:i/>
            <w:iCs/>
            <w:noProof/>
          </w:rPr>
          <w:t>2.3.1</w:t>
        </w:r>
        <w:r w:rsidR="001C6C1E">
          <w:rPr>
            <w:rFonts w:asciiTheme="minorHAnsi" w:eastAsiaTheme="minorEastAsia" w:hAnsiTheme="minorHAnsi" w:cstheme="minorBidi"/>
            <w:noProof/>
            <w:szCs w:val="22"/>
            <w:lang w:eastAsia="en-GB"/>
          </w:rPr>
          <w:tab/>
        </w:r>
        <w:r w:rsidR="001C6C1E" w:rsidRPr="00C22CCB">
          <w:rPr>
            <w:rStyle w:val="Hyperlink"/>
            <w:i/>
            <w:iCs/>
            <w:noProof/>
          </w:rPr>
          <w:t>Overview of approaches to determine degradation by SOC</w:t>
        </w:r>
        <w:r w:rsidR="001C6C1E">
          <w:rPr>
            <w:noProof/>
            <w:webHidden/>
          </w:rPr>
          <w:tab/>
        </w:r>
        <w:r w:rsidR="001C6C1E">
          <w:rPr>
            <w:noProof/>
            <w:webHidden/>
          </w:rPr>
          <w:fldChar w:fldCharType="begin"/>
        </w:r>
        <w:r w:rsidR="001C6C1E">
          <w:rPr>
            <w:noProof/>
            <w:webHidden/>
          </w:rPr>
          <w:instrText xml:space="preserve"> PAGEREF _Toc83997331 \h </w:instrText>
        </w:r>
        <w:r w:rsidR="001C6C1E">
          <w:rPr>
            <w:noProof/>
            <w:webHidden/>
          </w:rPr>
        </w:r>
        <w:r w:rsidR="001C6C1E">
          <w:rPr>
            <w:noProof/>
            <w:webHidden/>
          </w:rPr>
          <w:fldChar w:fldCharType="separate"/>
        </w:r>
        <w:r w:rsidR="0067767C">
          <w:rPr>
            <w:noProof/>
            <w:webHidden/>
          </w:rPr>
          <w:t>23</w:t>
        </w:r>
        <w:r w:rsidR="001C6C1E">
          <w:rPr>
            <w:noProof/>
            <w:webHidden/>
          </w:rPr>
          <w:fldChar w:fldCharType="end"/>
        </w:r>
      </w:hyperlink>
    </w:p>
    <w:p w14:paraId="7F74C914" w14:textId="7715DC64" w:rsidR="001C6C1E" w:rsidRDefault="00742092">
      <w:pPr>
        <w:pStyle w:val="Verzeichnis2"/>
        <w:rPr>
          <w:rFonts w:asciiTheme="minorHAnsi" w:eastAsiaTheme="minorEastAsia" w:hAnsiTheme="minorHAnsi" w:cstheme="minorBidi"/>
          <w:noProof/>
          <w:szCs w:val="22"/>
          <w:lang w:eastAsia="en-GB"/>
        </w:rPr>
      </w:pPr>
      <w:hyperlink w:anchor="_Toc83997332" w:history="1">
        <w:r w:rsidR="001C6C1E" w:rsidRPr="00C22CCB">
          <w:rPr>
            <w:rStyle w:val="Hyperlink"/>
            <w:i/>
            <w:iCs/>
            <w:noProof/>
          </w:rPr>
          <w:t>2.3.2</w:t>
        </w:r>
        <w:r w:rsidR="001C6C1E">
          <w:rPr>
            <w:rFonts w:asciiTheme="minorHAnsi" w:eastAsiaTheme="minorEastAsia" w:hAnsiTheme="minorHAnsi" w:cstheme="minorBidi"/>
            <w:noProof/>
            <w:szCs w:val="22"/>
            <w:lang w:eastAsia="en-GB"/>
          </w:rPr>
          <w:tab/>
        </w:r>
        <w:r w:rsidR="001C6C1E" w:rsidRPr="00C22CCB">
          <w:rPr>
            <w:rStyle w:val="Hyperlink"/>
            <w:i/>
            <w:iCs/>
            <w:noProof/>
          </w:rPr>
          <w:t>Optimal or site-specific SOC reference values</w:t>
        </w:r>
        <w:r w:rsidR="001C6C1E">
          <w:rPr>
            <w:noProof/>
            <w:webHidden/>
          </w:rPr>
          <w:tab/>
        </w:r>
        <w:r w:rsidR="001C6C1E">
          <w:rPr>
            <w:noProof/>
            <w:webHidden/>
          </w:rPr>
          <w:fldChar w:fldCharType="begin"/>
        </w:r>
        <w:r w:rsidR="001C6C1E">
          <w:rPr>
            <w:noProof/>
            <w:webHidden/>
          </w:rPr>
          <w:instrText xml:space="preserve"> PAGEREF _Toc83997332 \h </w:instrText>
        </w:r>
        <w:r w:rsidR="001C6C1E">
          <w:rPr>
            <w:noProof/>
            <w:webHidden/>
          </w:rPr>
        </w:r>
        <w:r w:rsidR="001C6C1E">
          <w:rPr>
            <w:noProof/>
            <w:webHidden/>
          </w:rPr>
          <w:fldChar w:fldCharType="separate"/>
        </w:r>
        <w:r w:rsidR="0067767C">
          <w:rPr>
            <w:noProof/>
            <w:webHidden/>
          </w:rPr>
          <w:t>24</w:t>
        </w:r>
        <w:r w:rsidR="001C6C1E">
          <w:rPr>
            <w:noProof/>
            <w:webHidden/>
          </w:rPr>
          <w:fldChar w:fldCharType="end"/>
        </w:r>
      </w:hyperlink>
    </w:p>
    <w:p w14:paraId="3E530F2F" w14:textId="5F21EB01" w:rsidR="001C6C1E" w:rsidRDefault="00742092">
      <w:pPr>
        <w:pStyle w:val="Verzeichnis2"/>
        <w:rPr>
          <w:rFonts w:asciiTheme="minorHAnsi" w:eastAsiaTheme="minorEastAsia" w:hAnsiTheme="minorHAnsi" w:cstheme="minorBidi"/>
          <w:noProof/>
          <w:szCs w:val="22"/>
          <w:lang w:eastAsia="en-GB"/>
        </w:rPr>
      </w:pPr>
      <w:hyperlink w:anchor="_Toc83997333" w:history="1">
        <w:r w:rsidR="001C6C1E" w:rsidRPr="00C22CCB">
          <w:rPr>
            <w:rStyle w:val="Hyperlink"/>
            <w:i/>
            <w:iCs/>
            <w:noProof/>
          </w:rPr>
          <w:t>2.3.3</w:t>
        </w:r>
        <w:r w:rsidR="001C6C1E">
          <w:rPr>
            <w:rFonts w:asciiTheme="minorHAnsi" w:eastAsiaTheme="minorEastAsia" w:hAnsiTheme="minorHAnsi" w:cstheme="minorBidi"/>
            <w:noProof/>
            <w:szCs w:val="22"/>
            <w:lang w:eastAsia="en-GB"/>
          </w:rPr>
          <w:tab/>
        </w:r>
        <w:r w:rsidR="001C6C1E" w:rsidRPr="00C22CCB">
          <w:rPr>
            <w:rStyle w:val="Hyperlink"/>
            <w:i/>
            <w:iCs/>
            <w:noProof/>
          </w:rPr>
          <w:t>SOC/clay ratio</w:t>
        </w:r>
        <w:r w:rsidR="001C6C1E">
          <w:rPr>
            <w:noProof/>
            <w:webHidden/>
          </w:rPr>
          <w:tab/>
        </w:r>
        <w:r w:rsidR="001C6C1E">
          <w:rPr>
            <w:noProof/>
            <w:webHidden/>
          </w:rPr>
          <w:fldChar w:fldCharType="begin"/>
        </w:r>
        <w:r w:rsidR="001C6C1E">
          <w:rPr>
            <w:noProof/>
            <w:webHidden/>
          </w:rPr>
          <w:instrText xml:space="preserve"> PAGEREF _Toc83997333 \h </w:instrText>
        </w:r>
        <w:r w:rsidR="001C6C1E">
          <w:rPr>
            <w:noProof/>
            <w:webHidden/>
          </w:rPr>
        </w:r>
        <w:r w:rsidR="001C6C1E">
          <w:rPr>
            <w:noProof/>
            <w:webHidden/>
          </w:rPr>
          <w:fldChar w:fldCharType="separate"/>
        </w:r>
        <w:r w:rsidR="0067767C">
          <w:rPr>
            <w:noProof/>
            <w:webHidden/>
          </w:rPr>
          <w:t>26</w:t>
        </w:r>
        <w:r w:rsidR="001C6C1E">
          <w:rPr>
            <w:noProof/>
            <w:webHidden/>
          </w:rPr>
          <w:fldChar w:fldCharType="end"/>
        </w:r>
      </w:hyperlink>
    </w:p>
    <w:p w14:paraId="137A4EED" w14:textId="6D72851F" w:rsidR="001C6C1E" w:rsidRDefault="00742092">
      <w:pPr>
        <w:pStyle w:val="Verzeichnis2"/>
        <w:rPr>
          <w:rFonts w:asciiTheme="minorHAnsi" w:eastAsiaTheme="minorEastAsia" w:hAnsiTheme="minorHAnsi" w:cstheme="minorBidi"/>
          <w:noProof/>
          <w:szCs w:val="22"/>
          <w:lang w:eastAsia="en-GB"/>
        </w:rPr>
      </w:pPr>
      <w:hyperlink w:anchor="_Toc83997334" w:history="1">
        <w:r w:rsidR="001C6C1E" w:rsidRPr="00C22CCB">
          <w:rPr>
            <w:rStyle w:val="Hyperlink"/>
            <w:i/>
            <w:iCs/>
            <w:noProof/>
          </w:rPr>
          <w:t>2.3.4</w:t>
        </w:r>
        <w:r w:rsidR="001C6C1E">
          <w:rPr>
            <w:rFonts w:asciiTheme="minorHAnsi" w:eastAsiaTheme="minorEastAsia" w:hAnsiTheme="minorHAnsi" w:cstheme="minorBidi"/>
            <w:noProof/>
            <w:szCs w:val="22"/>
            <w:lang w:eastAsia="en-GB"/>
          </w:rPr>
          <w:tab/>
        </w:r>
        <w:r w:rsidR="001C6C1E" w:rsidRPr="00C22CCB">
          <w:rPr>
            <w:rStyle w:val="Hyperlink"/>
            <w:i/>
            <w:iCs/>
            <w:noProof/>
          </w:rPr>
          <w:t>SOC critical limits as a reciprocal of the SOC sequestration potential</w:t>
        </w:r>
        <w:r w:rsidR="001C6C1E">
          <w:rPr>
            <w:noProof/>
            <w:webHidden/>
          </w:rPr>
          <w:tab/>
        </w:r>
        <w:r w:rsidR="001C6C1E">
          <w:rPr>
            <w:noProof/>
            <w:webHidden/>
          </w:rPr>
          <w:fldChar w:fldCharType="begin"/>
        </w:r>
        <w:r w:rsidR="001C6C1E">
          <w:rPr>
            <w:noProof/>
            <w:webHidden/>
          </w:rPr>
          <w:instrText xml:space="preserve"> PAGEREF _Toc83997334 \h </w:instrText>
        </w:r>
        <w:r w:rsidR="001C6C1E">
          <w:rPr>
            <w:noProof/>
            <w:webHidden/>
          </w:rPr>
        </w:r>
        <w:r w:rsidR="001C6C1E">
          <w:rPr>
            <w:noProof/>
            <w:webHidden/>
          </w:rPr>
          <w:fldChar w:fldCharType="separate"/>
        </w:r>
        <w:r w:rsidR="0067767C">
          <w:rPr>
            <w:noProof/>
            <w:webHidden/>
          </w:rPr>
          <w:t>27</w:t>
        </w:r>
        <w:r w:rsidR="001C6C1E">
          <w:rPr>
            <w:noProof/>
            <w:webHidden/>
          </w:rPr>
          <w:fldChar w:fldCharType="end"/>
        </w:r>
      </w:hyperlink>
    </w:p>
    <w:p w14:paraId="56328D33" w14:textId="42DF3F0C" w:rsidR="001C6C1E" w:rsidRDefault="00742092">
      <w:pPr>
        <w:pStyle w:val="Verzeichnis2"/>
        <w:rPr>
          <w:rFonts w:asciiTheme="minorHAnsi" w:eastAsiaTheme="minorEastAsia" w:hAnsiTheme="minorHAnsi" w:cstheme="minorBidi"/>
          <w:noProof/>
          <w:szCs w:val="22"/>
          <w:lang w:eastAsia="en-GB"/>
        </w:rPr>
      </w:pPr>
      <w:hyperlink w:anchor="_Toc83997335" w:history="1">
        <w:r w:rsidR="001C6C1E" w:rsidRPr="00C22CCB">
          <w:rPr>
            <w:rStyle w:val="Hyperlink"/>
            <w:i/>
            <w:iCs/>
            <w:noProof/>
          </w:rPr>
          <w:t>2.3.5</w:t>
        </w:r>
        <w:r w:rsidR="001C6C1E">
          <w:rPr>
            <w:rFonts w:asciiTheme="minorHAnsi" w:eastAsiaTheme="minorEastAsia" w:hAnsiTheme="minorHAnsi" w:cstheme="minorBidi"/>
            <w:noProof/>
            <w:szCs w:val="22"/>
            <w:lang w:eastAsia="en-GB"/>
          </w:rPr>
          <w:tab/>
        </w:r>
        <w:r w:rsidR="001C6C1E" w:rsidRPr="00C22CCB">
          <w:rPr>
            <w:rStyle w:val="Hyperlink"/>
            <w:i/>
            <w:iCs/>
            <w:noProof/>
          </w:rPr>
          <w:t>Thresholds from long-term field experiments</w:t>
        </w:r>
        <w:r w:rsidR="001C6C1E">
          <w:rPr>
            <w:noProof/>
            <w:webHidden/>
          </w:rPr>
          <w:tab/>
        </w:r>
        <w:r w:rsidR="001C6C1E">
          <w:rPr>
            <w:noProof/>
            <w:webHidden/>
          </w:rPr>
          <w:fldChar w:fldCharType="begin"/>
        </w:r>
        <w:r w:rsidR="001C6C1E">
          <w:rPr>
            <w:noProof/>
            <w:webHidden/>
          </w:rPr>
          <w:instrText xml:space="preserve"> PAGEREF _Toc83997335 \h </w:instrText>
        </w:r>
        <w:r w:rsidR="001C6C1E">
          <w:rPr>
            <w:noProof/>
            <w:webHidden/>
          </w:rPr>
        </w:r>
        <w:r w:rsidR="001C6C1E">
          <w:rPr>
            <w:noProof/>
            <w:webHidden/>
          </w:rPr>
          <w:fldChar w:fldCharType="separate"/>
        </w:r>
        <w:r w:rsidR="0067767C">
          <w:rPr>
            <w:noProof/>
            <w:webHidden/>
          </w:rPr>
          <w:t>28</w:t>
        </w:r>
        <w:r w:rsidR="001C6C1E">
          <w:rPr>
            <w:noProof/>
            <w:webHidden/>
          </w:rPr>
          <w:fldChar w:fldCharType="end"/>
        </w:r>
      </w:hyperlink>
    </w:p>
    <w:p w14:paraId="6C5FB2B8" w14:textId="6F82DEF2" w:rsidR="001C6C1E" w:rsidRDefault="00742092">
      <w:pPr>
        <w:pStyle w:val="Verzeichnis2"/>
        <w:rPr>
          <w:rFonts w:asciiTheme="minorHAnsi" w:eastAsiaTheme="minorEastAsia" w:hAnsiTheme="minorHAnsi" w:cstheme="minorBidi"/>
          <w:noProof/>
          <w:szCs w:val="22"/>
          <w:lang w:eastAsia="en-GB"/>
        </w:rPr>
      </w:pPr>
      <w:hyperlink w:anchor="_Toc83997336" w:history="1">
        <w:r w:rsidR="001C6C1E" w:rsidRPr="00C22CCB">
          <w:rPr>
            <w:rStyle w:val="Hyperlink"/>
            <w:i/>
            <w:iCs/>
            <w:noProof/>
          </w:rPr>
          <w:t>2.3.6</w:t>
        </w:r>
        <w:r w:rsidR="001C6C1E">
          <w:rPr>
            <w:rFonts w:asciiTheme="minorHAnsi" w:eastAsiaTheme="minorEastAsia" w:hAnsiTheme="minorHAnsi" w:cstheme="minorBidi"/>
            <w:noProof/>
            <w:szCs w:val="22"/>
            <w:lang w:eastAsia="en-GB"/>
          </w:rPr>
          <w:tab/>
        </w:r>
        <w:r w:rsidR="001C6C1E" w:rsidRPr="00C22CCB">
          <w:rPr>
            <w:rStyle w:val="Hyperlink"/>
            <w:i/>
            <w:iCs/>
            <w:noProof/>
          </w:rPr>
          <w:t>SOM thresholds from a farmer survey</w:t>
        </w:r>
        <w:r w:rsidR="001C6C1E">
          <w:rPr>
            <w:noProof/>
            <w:webHidden/>
          </w:rPr>
          <w:tab/>
        </w:r>
        <w:r w:rsidR="001C6C1E">
          <w:rPr>
            <w:noProof/>
            <w:webHidden/>
          </w:rPr>
          <w:fldChar w:fldCharType="begin"/>
        </w:r>
        <w:r w:rsidR="001C6C1E">
          <w:rPr>
            <w:noProof/>
            <w:webHidden/>
          </w:rPr>
          <w:instrText xml:space="preserve"> PAGEREF _Toc83997336 \h </w:instrText>
        </w:r>
        <w:r w:rsidR="001C6C1E">
          <w:rPr>
            <w:noProof/>
            <w:webHidden/>
          </w:rPr>
        </w:r>
        <w:r w:rsidR="001C6C1E">
          <w:rPr>
            <w:noProof/>
            <w:webHidden/>
          </w:rPr>
          <w:fldChar w:fldCharType="separate"/>
        </w:r>
        <w:r w:rsidR="0067767C">
          <w:rPr>
            <w:noProof/>
            <w:webHidden/>
          </w:rPr>
          <w:t>30</w:t>
        </w:r>
        <w:r w:rsidR="001C6C1E">
          <w:rPr>
            <w:noProof/>
            <w:webHidden/>
          </w:rPr>
          <w:fldChar w:fldCharType="end"/>
        </w:r>
      </w:hyperlink>
    </w:p>
    <w:p w14:paraId="2E582AD7" w14:textId="1A4DABB8" w:rsidR="001C6C1E" w:rsidRDefault="00742092">
      <w:pPr>
        <w:pStyle w:val="Verzeichnis1"/>
        <w:rPr>
          <w:rFonts w:asciiTheme="minorHAnsi" w:eastAsiaTheme="minorEastAsia" w:hAnsiTheme="minorHAnsi" w:cstheme="minorBidi"/>
          <w:noProof/>
          <w:szCs w:val="22"/>
          <w:lang w:eastAsia="en-GB"/>
        </w:rPr>
      </w:pPr>
      <w:hyperlink w:anchor="_Toc83997337" w:history="1">
        <w:r w:rsidR="001C6C1E" w:rsidRPr="00C22CCB">
          <w:rPr>
            <w:rStyle w:val="Hyperlink"/>
            <w:noProof/>
          </w:rPr>
          <w:t>3</w:t>
        </w:r>
        <w:r w:rsidR="001C6C1E">
          <w:rPr>
            <w:rFonts w:asciiTheme="minorHAnsi" w:eastAsiaTheme="minorEastAsia" w:hAnsiTheme="minorHAnsi" w:cstheme="minorBidi"/>
            <w:noProof/>
            <w:szCs w:val="22"/>
            <w:lang w:eastAsia="en-GB"/>
          </w:rPr>
          <w:tab/>
        </w:r>
        <w:r w:rsidR="001C6C1E" w:rsidRPr="00C22CCB">
          <w:rPr>
            <w:rStyle w:val="Hyperlink"/>
            <w:noProof/>
          </w:rPr>
          <w:t>Soil nutrient status – N and P</w:t>
        </w:r>
        <w:r w:rsidR="001C6C1E">
          <w:rPr>
            <w:noProof/>
            <w:webHidden/>
          </w:rPr>
          <w:tab/>
        </w:r>
        <w:r w:rsidR="001C6C1E">
          <w:rPr>
            <w:noProof/>
            <w:webHidden/>
          </w:rPr>
          <w:fldChar w:fldCharType="begin"/>
        </w:r>
        <w:r w:rsidR="001C6C1E">
          <w:rPr>
            <w:noProof/>
            <w:webHidden/>
          </w:rPr>
          <w:instrText xml:space="preserve"> PAGEREF _Toc83997337 \h </w:instrText>
        </w:r>
        <w:r w:rsidR="001C6C1E">
          <w:rPr>
            <w:noProof/>
            <w:webHidden/>
          </w:rPr>
        </w:r>
        <w:r w:rsidR="001C6C1E">
          <w:rPr>
            <w:noProof/>
            <w:webHidden/>
          </w:rPr>
          <w:fldChar w:fldCharType="separate"/>
        </w:r>
        <w:r w:rsidR="0067767C">
          <w:rPr>
            <w:noProof/>
            <w:webHidden/>
          </w:rPr>
          <w:t>32</w:t>
        </w:r>
        <w:r w:rsidR="001C6C1E">
          <w:rPr>
            <w:noProof/>
            <w:webHidden/>
          </w:rPr>
          <w:fldChar w:fldCharType="end"/>
        </w:r>
      </w:hyperlink>
    </w:p>
    <w:p w14:paraId="07704676" w14:textId="080AD8F0" w:rsidR="001C6C1E" w:rsidRDefault="00742092">
      <w:pPr>
        <w:pStyle w:val="Verzeichnis2"/>
        <w:rPr>
          <w:rFonts w:asciiTheme="minorHAnsi" w:eastAsiaTheme="minorEastAsia" w:hAnsiTheme="minorHAnsi" w:cstheme="minorBidi"/>
          <w:noProof/>
          <w:szCs w:val="22"/>
          <w:lang w:eastAsia="en-GB"/>
        </w:rPr>
      </w:pPr>
      <w:hyperlink w:anchor="_Toc83997338" w:history="1">
        <w:r w:rsidR="001C6C1E" w:rsidRPr="00C22CCB">
          <w:rPr>
            <w:rStyle w:val="Hyperlink"/>
            <w:noProof/>
          </w:rPr>
          <w:t>3.1</w:t>
        </w:r>
        <w:r w:rsidR="001C6C1E">
          <w:rPr>
            <w:rFonts w:asciiTheme="minorHAnsi" w:eastAsiaTheme="minorEastAsia" w:hAnsiTheme="minorHAnsi" w:cstheme="minorBidi"/>
            <w:noProof/>
            <w:szCs w:val="22"/>
            <w:lang w:eastAsia="en-GB"/>
          </w:rPr>
          <w:tab/>
        </w:r>
        <w:r w:rsidR="001C6C1E" w:rsidRPr="00C22CCB">
          <w:rPr>
            <w:rStyle w:val="Hyperlink"/>
            <w:noProof/>
          </w:rPr>
          <w:t>Rationale: impacts of soil N and P levels on biomass production and crop growth, soil and plant diversity and water quality</w:t>
        </w:r>
        <w:r w:rsidR="001C6C1E">
          <w:rPr>
            <w:noProof/>
            <w:webHidden/>
          </w:rPr>
          <w:tab/>
        </w:r>
        <w:r w:rsidR="001C6C1E">
          <w:rPr>
            <w:noProof/>
            <w:webHidden/>
          </w:rPr>
          <w:fldChar w:fldCharType="begin"/>
        </w:r>
        <w:r w:rsidR="001C6C1E">
          <w:rPr>
            <w:noProof/>
            <w:webHidden/>
          </w:rPr>
          <w:instrText xml:space="preserve"> PAGEREF _Toc83997338 \h </w:instrText>
        </w:r>
        <w:r w:rsidR="001C6C1E">
          <w:rPr>
            <w:noProof/>
            <w:webHidden/>
          </w:rPr>
        </w:r>
        <w:r w:rsidR="001C6C1E">
          <w:rPr>
            <w:noProof/>
            <w:webHidden/>
          </w:rPr>
          <w:fldChar w:fldCharType="separate"/>
        </w:r>
        <w:r w:rsidR="0067767C">
          <w:rPr>
            <w:noProof/>
            <w:webHidden/>
          </w:rPr>
          <w:t>32</w:t>
        </w:r>
        <w:r w:rsidR="001C6C1E">
          <w:rPr>
            <w:noProof/>
            <w:webHidden/>
          </w:rPr>
          <w:fldChar w:fldCharType="end"/>
        </w:r>
      </w:hyperlink>
    </w:p>
    <w:p w14:paraId="794BD3DD" w14:textId="2DB594D2" w:rsidR="001C6C1E" w:rsidRDefault="00742092">
      <w:pPr>
        <w:pStyle w:val="Verzeichnis2"/>
        <w:rPr>
          <w:rFonts w:asciiTheme="minorHAnsi" w:eastAsiaTheme="minorEastAsia" w:hAnsiTheme="minorHAnsi" w:cstheme="minorBidi"/>
          <w:noProof/>
          <w:szCs w:val="22"/>
          <w:lang w:eastAsia="en-GB"/>
        </w:rPr>
      </w:pPr>
      <w:hyperlink w:anchor="_Toc83997339" w:history="1">
        <w:r w:rsidR="001C6C1E" w:rsidRPr="00C22CCB">
          <w:rPr>
            <w:rStyle w:val="Hyperlink"/>
            <w:i/>
            <w:iCs/>
            <w:noProof/>
          </w:rPr>
          <w:t>3.1.1</w:t>
        </w:r>
        <w:r w:rsidR="001C6C1E">
          <w:rPr>
            <w:rFonts w:asciiTheme="minorHAnsi" w:eastAsiaTheme="minorEastAsia" w:hAnsiTheme="minorHAnsi" w:cstheme="minorBidi"/>
            <w:noProof/>
            <w:szCs w:val="22"/>
            <w:lang w:eastAsia="en-GB"/>
          </w:rPr>
          <w:tab/>
        </w:r>
        <w:r w:rsidR="001C6C1E" w:rsidRPr="00C22CCB">
          <w:rPr>
            <w:rStyle w:val="Hyperlink"/>
            <w:i/>
            <w:iCs/>
            <w:noProof/>
          </w:rPr>
          <w:t>The fate of N and P in soil, in response to N and P inputs</w:t>
        </w:r>
        <w:r w:rsidR="001C6C1E">
          <w:rPr>
            <w:noProof/>
            <w:webHidden/>
          </w:rPr>
          <w:tab/>
        </w:r>
        <w:r w:rsidR="001C6C1E">
          <w:rPr>
            <w:noProof/>
            <w:webHidden/>
          </w:rPr>
          <w:fldChar w:fldCharType="begin"/>
        </w:r>
        <w:r w:rsidR="001C6C1E">
          <w:rPr>
            <w:noProof/>
            <w:webHidden/>
          </w:rPr>
          <w:instrText xml:space="preserve"> PAGEREF _Toc83997339 \h </w:instrText>
        </w:r>
        <w:r w:rsidR="001C6C1E">
          <w:rPr>
            <w:noProof/>
            <w:webHidden/>
          </w:rPr>
        </w:r>
        <w:r w:rsidR="001C6C1E">
          <w:rPr>
            <w:noProof/>
            <w:webHidden/>
          </w:rPr>
          <w:fldChar w:fldCharType="separate"/>
        </w:r>
        <w:r w:rsidR="0067767C">
          <w:rPr>
            <w:noProof/>
            <w:webHidden/>
          </w:rPr>
          <w:t>32</w:t>
        </w:r>
        <w:r w:rsidR="001C6C1E">
          <w:rPr>
            <w:noProof/>
            <w:webHidden/>
          </w:rPr>
          <w:fldChar w:fldCharType="end"/>
        </w:r>
      </w:hyperlink>
    </w:p>
    <w:p w14:paraId="6D0BAB8F" w14:textId="6ADC70CA" w:rsidR="001C6C1E" w:rsidRDefault="00742092">
      <w:pPr>
        <w:pStyle w:val="Verzeichnis2"/>
        <w:rPr>
          <w:rFonts w:asciiTheme="minorHAnsi" w:eastAsiaTheme="minorEastAsia" w:hAnsiTheme="minorHAnsi" w:cstheme="minorBidi"/>
          <w:noProof/>
          <w:szCs w:val="22"/>
          <w:lang w:eastAsia="en-GB"/>
        </w:rPr>
      </w:pPr>
      <w:hyperlink w:anchor="_Toc83997340" w:history="1">
        <w:r w:rsidR="001C6C1E" w:rsidRPr="00C22CCB">
          <w:rPr>
            <w:rStyle w:val="Hyperlink"/>
            <w:i/>
            <w:iCs/>
            <w:noProof/>
          </w:rPr>
          <w:t>3.1.2</w:t>
        </w:r>
        <w:r w:rsidR="001C6C1E">
          <w:rPr>
            <w:rFonts w:asciiTheme="minorHAnsi" w:eastAsiaTheme="minorEastAsia" w:hAnsiTheme="minorHAnsi" w:cstheme="minorBidi"/>
            <w:noProof/>
            <w:szCs w:val="22"/>
            <w:lang w:eastAsia="en-GB"/>
          </w:rPr>
          <w:tab/>
        </w:r>
        <w:r w:rsidR="001C6C1E" w:rsidRPr="00C22CCB">
          <w:rPr>
            <w:rStyle w:val="Hyperlink"/>
            <w:i/>
            <w:iCs/>
            <w:noProof/>
          </w:rPr>
          <w:t>Impact of N and P on biomass production</w:t>
        </w:r>
        <w:r w:rsidR="001C6C1E">
          <w:rPr>
            <w:noProof/>
            <w:webHidden/>
          </w:rPr>
          <w:tab/>
        </w:r>
        <w:r w:rsidR="001C6C1E">
          <w:rPr>
            <w:noProof/>
            <w:webHidden/>
          </w:rPr>
          <w:fldChar w:fldCharType="begin"/>
        </w:r>
        <w:r w:rsidR="001C6C1E">
          <w:rPr>
            <w:noProof/>
            <w:webHidden/>
          </w:rPr>
          <w:instrText xml:space="preserve"> PAGEREF _Toc83997340 \h </w:instrText>
        </w:r>
        <w:r w:rsidR="001C6C1E">
          <w:rPr>
            <w:noProof/>
            <w:webHidden/>
          </w:rPr>
        </w:r>
        <w:r w:rsidR="001C6C1E">
          <w:rPr>
            <w:noProof/>
            <w:webHidden/>
          </w:rPr>
          <w:fldChar w:fldCharType="separate"/>
        </w:r>
        <w:r w:rsidR="0067767C">
          <w:rPr>
            <w:noProof/>
            <w:webHidden/>
          </w:rPr>
          <w:t>34</w:t>
        </w:r>
        <w:r w:rsidR="001C6C1E">
          <w:rPr>
            <w:noProof/>
            <w:webHidden/>
          </w:rPr>
          <w:fldChar w:fldCharType="end"/>
        </w:r>
      </w:hyperlink>
    </w:p>
    <w:p w14:paraId="73C18AE7" w14:textId="1950CA86" w:rsidR="001C6C1E" w:rsidRDefault="00742092">
      <w:pPr>
        <w:pStyle w:val="Verzeichnis2"/>
        <w:rPr>
          <w:rFonts w:asciiTheme="minorHAnsi" w:eastAsiaTheme="minorEastAsia" w:hAnsiTheme="minorHAnsi" w:cstheme="minorBidi"/>
          <w:noProof/>
          <w:szCs w:val="22"/>
          <w:lang w:eastAsia="en-GB"/>
        </w:rPr>
      </w:pPr>
      <w:hyperlink w:anchor="_Toc83997341" w:history="1">
        <w:r w:rsidR="001C6C1E" w:rsidRPr="00C22CCB">
          <w:rPr>
            <w:rStyle w:val="Hyperlink"/>
            <w:i/>
            <w:iCs/>
            <w:noProof/>
          </w:rPr>
          <w:t>3.1.3</w:t>
        </w:r>
        <w:r w:rsidR="001C6C1E">
          <w:rPr>
            <w:rFonts w:asciiTheme="minorHAnsi" w:eastAsiaTheme="minorEastAsia" w:hAnsiTheme="minorHAnsi" w:cstheme="minorBidi"/>
            <w:noProof/>
            <w:szCs w:val="22"/>
            <w:lang w:eastAsia="en-GB"/>
          </w:rPr>
          <w:tab/>
        </w:r>
        <w:r w:rsidR="001C6C1E" w:rsidRPr="00C22CCB">
          <w:rPr>
            <w:rStyle w:val="Hyperlink"/>
            <w:i/>
            <w:iCs/>
            <w:noProof/>
          </w:rPr>
          <w:t>Impact of N and P on biodiversity and water quality</w:t>
        </w:r>
        <w:r w:rsidR="001C6C1E">
          <w:rPr>
            <w:noProof/>
            <w:webHidden/>
          </w:rPr>
          <w:tab/>
        </w:r>
        <w:r w:rsidR="001C6C1E">
          <w:rPr>
            <w:noProof/>
            <w:webHidden/>
          </w:rPr>
          <w:fldChar w:fldCharType="begin"/>
        </w:r>
        <w:r w:rsidR="001C6C1E">
          <w:rPr>
            <w:noProof/>
            <w:webHidden/>
          </w:rPr>
          <w:instrText xml:space="preserve"> PAGEREF _Toc83997341 \h </w:instrText>
        </w:r>
        <w:r w:rsidR="001C6C1E">
          <w:rPr>
            <w:noProof/>
            <w:webHidden/>
          </w:rPr>
        </w:r>
        <w:r w:rsidR="001C6C1E">
          <w:rPr>
            <w:noProof/>
            <w:webHidden/>
          </w:rPr>
          <w:fldChar w:fldCharType="separate"/>
        </w:r>
        <w:r w:rsidR="0067767C">
          <w:rPr>
            <w:noProof/>
            <w:webHidden/>
          </w:rPr>
          <w:t>34</w:t>
        </w:r>
        <w:r w:rsidR="001C6C1E">
          <w:rPr>
            <w:noProof/>
            <w:webHidden/>
          </w:rPr>
          <w:fldChar w:fldCharType="end"/>
        </w:r>
      </w:hyperlink>
    </w:p>
    <w:p w14:paraId="62FAA6CB" w14:textId="11611981" w:rsidR="001C6C1E" w:rsidRDefault="00742092">
      <w:pPr>
        <w:pStyle w:val="Verzeichnis2"/>
        <w:rPr>
          <w:rFonts w:asciiTheme="minorHAnsi" w:eastAsiaTheme="minorEastAsia" w:hAnsiTheme="minorHAnsi" w:cstheme="minorBidi"/>
          <w:noProof/>
          <w:szCs w:val="22"/>
          <w:lang w:eastAsia="en-GB"/>
        </w:rPr>
      </w:pPr>
      <w:hyperlink w:anchor="_Toc83997342" w:history="1">
        <w:r w:rsidR="001C6C1E" w:rsidRPr="00C22CCB">
          <w:rPr>
            <w:rStyle w:val="Hyperlink"/>
            <w:noProof/>
          </w:rPr>
          <w:t>3.2</w:t>
        </w:r>
        <w:r w:rsidR="001C6C1E">
          <w:rPr>
            <w:rFonts w:asciiTheme="minorHAnsi" w:eastAsiaTheme="minorEastAsia" w:hAnsiTheme="minorHAnsi" w:cstheme="minorBidi"/>
            <w:noProof/>
            <w:szCs w:val="22"/>
            <w:lang w:eastAsia="en-GB"/>
          </w:rPr>
          <w:tab/>
        </w:r>
        <w:r w:rsidR="001C6C1E" w:rsidRPr="00C22CCB">
          <w:rPr>
            <w:rStyle w:val="Hyperlink"/>
            <w:noProof/>
          </w:rPr>
          <w:t>Indicators for N and P status of soils</w:t>
        </w:r>
        <w:r w:rsidR="001C6C1E">
          <w:rPr>
            <w:noProof/>
            <w:webHidden/>
          </w:rPr>
          <w:tab/>
        </w:r>
        <w:r w:rsidR="001C6C1E">
          <w:rPr>
            <w:noProof/>
            <w:webHidden/>
          </w:rPr>
          <w:fldChar w:fldCharType="begin"/>
        </w:r>
        <w:r w:rsidR="001C6C1E">
          <w:rPr>
            <w:noProof/>
            <w:webHidden/>
          </w:rPr>
          <w:instrText xml:space="preserve"> PAGEREF _Toc83997342 \h </w:instrText>
        </w:r>
        <w:r w:rsidR="001C6C1E">
          <w:rPr>
            <w:noProof/>
            <w:webHidden/>
          </w:rPr>
        </w:r>
        <w:r w:rsidR="001C6C1E">
          <w:rPr>
            <w:noProof/>
            <w:webHidden/>
          </w:rPr>
          <w:fldChar w:fldCharType="separate"/>
        </w:r>
        <w:r w:rsidR="0067767C">
          <w:rPr>
            <w:noProof/>
            <w:webHidden/>
          </w:rPr>
          <w:t>35</w:t>
        </w:r>
        <w:r w:rsidR="001C6C1E">
          <w:rPr>
            <w:noProof/>
            <w:webHidden/>
          </w:rPr>
          <w:fldChar w:fldCharType="end"/>
        </w:r>
      </w:hyperlink>
    </w:p>
    <w:p w14:paraId="44DDA2B8" w14:textId="3553251C" w:rsidR="001C6C1E" w:rsidRDefault="00742092">
      <w:pPr>
        <w:pStyle w:val="Verzeichnis2"/>
        <w:rPr>
          <w:rFonts w:asciiTheme="minorHAnsi" w:eastAsiaTheme="minorEastAsia" w:hAnsiTheme="minorHAnsi" w:cstheme="minorBidi"/>
          <w:noProof/>
          <w:szCs w:val="22"/>
          <w:lang w:eastAsia="en-GB"/>
        </w:rPr>
      </w:pPr>
      <w:hyperlink w:anchor="_Toc83997343" w:history="1">
        <w:r w:rsidR="001C6C1E" w:rsidRPr="00C22CCB">
          <w:rPr>
            <w:rStyle w:val="Hyperlink"/>
            <w:i/>
            <w:iCs/>
            <w:noProof/>
          </w:rPr>
          <w:t>3.2.1</w:t>
        </w:r>
        <w:r w:rsidR="001C6C1E">
          <w:rPr>
            <w:rFonts w:asciiTheme="minorHAnsi" w:eastAsiaTheme="minorEastAsia" w:hAnsiTheme="minorHAnsi" w:cstheme="minorBidi"/>
            <w:noProof/>
            <w:szCs w:val="22"/>
            <w:lang w:eastAsia="en-GB"/>
          </w:rPr>
          <w:tab/>
        </w:r>
        <w:r w:rsidR="001C6C1E" w:rsidRPr="00C22CCB">
          <w:rPr>
            <w:rStyle w:val="Hyperlink"/>
            <w:i/>
            <w:iCs/>
            <w:noProof/>
          </w:rPr>
          <w:t>Indicators about the N status in soils</w:t>
        </w:r>
        <w:r w:rsidR="001C6C1E">
          <w:rPr>
            <w:noProof/>
            <w:webHidden/>
          </w:rPr>
          <w:tab/>
        </w:r>
        <w:r w:rsidR="001C6C1E">
          <w:rPr>
            <w:noProof/>
            <w:webHidden/>
          </w:rPr>
          <w:fldChar w:fldCharType="begin"/>
        </w:r>
        <w:r w:rsidR="001C6C1E">
          <w:rPr>
            <w:noProof/>
            <w:webHidden/>
          </w:rPr>
          <w:instrText xml:space="preserve"> PAGEREF _Toc83997343 \h </w:instrText>
        </w:r>
        <w:r w:rsidR="001C6C1E">
          <w:rPr>
            <w:noProof/>
            <w:webHidden/>
          </w:rPr>
        </w:r>
        <w:r w:rsidR="001C6C1E">
          <w:rPr>
            <w:noProof/>
            <w:webHidden/>
          </w:rPr>
          <w:fldChar w:fldCharType="separate"/>
        </w:r>
        <w:r w:rsidR="0067767C">
          <w:rPr>
            <w:noProof/>
            <w:webHidden/>
          </w:rPr>
          <w:t>35</w:t>
        </w:r>
        <w:r w:rsidR="001C6C1E">
          <w:rPr>
            <w:noProof/>
            <w:webHidden/>
          </w:rPr>
          <w:fldChar w:fldCharType="end"/>
        </w:r>
      </w:hyperlink>
    </w:p>
    <w:p w14:paraId="05B8590B" w14:textId="5432472A" w:rsidR="001C6C1E" w:rsidRDefault="00742092">
      <w:pPr>
        <w:pStyle w:val="Verzeichnis2"/>
        <w:rPr>
          <w:rFonts w:asciiTheme="minorHAnsi" w:eastAsiaTheme="minorEastAsia" w:hAnsiTheme="minorHAnsi" w:cstheme="minorBidi"/>
          <w:noProof/>
          <w:szCs w:val="22"/>
          <w:lang w:eastAsia="en-GB"/>
        </w:rPr>
      </w:pPr>
      <w:hyperlink w:anchor="_Toc83997344" w:history="1">
        <w:r w:rsidR="001C6C1E" w:rsidRPr="00C22CCB">
          <w:rPr>
            <w:rStyle w:val="Hyperlink"/>
            <w:i/>
            <w:iCs/>
            <w:noProof/>
          </w:rPr>
          <w:t>3.2.2</w:t>
        </w:r>
        <w:r w:rsidR="001C6C1E">
          <w:rPr>
            <w:rFonts w:asciiTheme="minorHAnsi" w:eastAsiaTheme="minorEastAsia" w:hAnsiTheme="minorHAnsi" w:cstheme="minorBidi"/>
            <w:noProof/>
            <w:szCs w:val="22"/>
            <w:lang w:eastAsia="en-GB"/>
          </w:rPr>
          <w:tab/>
        </w:r>
        <w:r w:rsidR="001C6C1E" w:rsidRPr="00C22CCB">
          <w:rPr>
            <w:rStyle w:val="Hyperlink"/>
            <w:i/>
            <w:iCs/>
            <w:noProof/>
          </w:rPr>
          <w:t>Indicators about the P status in soils</w:t>
        </w:r>
        <w:r w:rsidR="001C6C1E">
          <w:rPr>
            <w:noProof/>
            <w:webHidden/>
          </w:rPr>
          <w:tab/>
        </w:r>
        <w:r w:rsidR="001C6C1E">
          <w:rPr>
            <w:noProof/>
            <w:webHidden/>
          </w:rPr>
          <w:fldChar w:fldCharType="begin"/>
        </w:r>
        <w:r w:rsidR="001C6C1E">
          <w:rPr>
            <w:noProof/>
            <w:webHidden/>
          </w:rPr>
          <w:instrText xml:space="preserve"> PAGEREF _Toc83997344 \h </w:instrText>
        </w:r>
        <w:r w:rsidR="001C6C1E">
          <w:rPr>
            <w:noProof/>
            <w:webHidden/>
          </w:rPr>
        </w:r>
        <w:r w:rsidR="001C6C1E">
          <w:rPr>
            <w:noProof/>
            <w:webHidden/>
          </w:rPr>
          <w:fldChar w:fldCharType="separate"/>
        </w:r>
        <w:r w:rsidR="0067767C">
          <w:rPr>
            <w:noProof/>
            <w:webHidden/>
          </w:rPr>
          <w:t>36</w:t>
        </w:r>
        <w:r w:rsidR="001C6C1E">
          <w:rPr>
            <w:noProof/>
            <w:webHidden/>
          </w:rPr>
          <w:fldChar w:fldCharType="end"/>
        </w:r>
      </w:hyperlink>
    </w:p>
    <w:p w14:paraId="0C3CB991" w14:textId="7E55FEFF" w:rsidR="001C6C1E" w:rsidRDefault="00742092">
      <w:pPr>
        <w:pStyle w:val="Verzeichnis2"/>
        <w:rPr>
          <w:rFonts w:asciiTheme="minorHAnsi" w:eastAsiaTheme="minorEastAsia" w:hAnsiTheme="minorHAnsi" w:cstheme="minorBidi"/>
          <w:noProof/>
          <w:szCs w:val="22"/>
          <w:lang w:eastAsia="en-GB"/>
        </w:rPr>
      </w:pPr>
      <w:hyperlink w:anchor="_Toc83997345" w:history="1">
        <w:r w:rsidR="001C6C1E" w:rsidRPr="00C22CCB">
          <w:rPr>
            <w:rStyle w:val="Hyperlink"/>
            <w:noProof/>
          </w:rPr>
          <w:t>3.3</w:t>
        </w:r>
        <w:r w:rsidR="001C6C1E">
          <w:rPr>
            <w:rFonts w:asciiTheme="minorHAnsi" w:eastAsiaTheme="minorEastAsia" w:hAnsiTheme="minorHAnsi" w:cstheme="minorBidi"/>
            <w:noProof/>
            <w:szCs w:val="22"/>
            <w:lang w:eastAsia="en-GB"/>
          </w:rPr>
          <w:tab/>
        </w:r>
        <w:r w:rsidR="001C6C1E" w:rsidRPr="00C22CCB">
          <w:rPr>
            <w:rStyle w:val="Hyperlink"/>
            <w:noProof/>
          </w:rPr>
          <w:t>Critical limits or target values</w:t>
        </w:r>
        <w:r w:rsidR="001C6C1E">
          <w:rPr>
            <w:noProof/>
            <w:webHidden/>
          </w:rPr>
          <w:tab/>
        </w:r>
        <w:r w:rsidR="001C6C1E">
          <w:rPr>
            <w:noProof/>
            <w:webHidden/>
          </w:rPr>
          <w:fldChar w:fldCharType="begin"/>
        </w:r>
        <w:r w:rsidR="001C6C1E">
          <w:rPr>
            <w:noProof/>
            <w:webHidden/>
          </w:rPr>
          <w:instrText xml:space="preserve"> PAGEREF _Toc83997345 \h </w:instrText>
        </w:r>
        <w:r w:rsidR="001C6C1E">
          <w:rPr>
            <w:noProof/>
            <w:webHidden/>
          </w:rPr>
        </w:r>
        <w:r w:rsidR="001C6C1E">
          <w:rPr>
            <w:noProof/>
            <w:webHidden/>
          </w:rPr>
          <w:fldChar w:fldCharType="separate"/>
        </w:r>
        <w:r w:rsidR="0067767C">
          <w:rPr>
            <w:noProof/>
            <w:webHidden/>
          </w:rPr>
          <w:t>37</w:t>
        </w:r>
        <w:r w:rsidR="001C6C1E">
          <w:rPr>
            <w:noProof/>
            <w:webHidden/>
          </w:rPr>
          <w:fldChar w:fldCharType="end"/>
        </w:r>
      </w:hyperlink>
    </w:p>
    <w:p w14:paraId="10A7967E" w14:textId="468E3929" w:rsidR="001C6C1E" w:rsidRDefault="00742092">
      <w:pPr>
        <w:pStyle w:val="Verzeichnis2"/>
        <w:rPr>
          <w:rFonts w:asciiTheme="minorHAnsi" w:eastAsiaTheme="minorEastAsia" w:hAnsiTheme="minorHAnsi" w:cstheme="minorBidi"/>
          <w:noProof/>
          <w:szCs w:val="22"/>
          <w:lang w:eastAsia="en-GB"/>
        </w:rPr>
      </w:pPr>
      <w:hyperlink w:anchor="_Toc83997346" w:history="1">
        <w:r w:rsidR="001C6C1E" w:rsidRPr="00C22CCB">
          <w:rPr>
            <w:rStyle w:val="Hyperlink"/>
            <w:i/>
            <w:iCs/>
            <w:noProof/>
          </w:rPr>
          <w:t>3.3.1</w:t>
        </w:r>
        <w:r w:rsidR="001C6C1E">
          <w:rPr>
            <w:rFonts w:asciiTheme="minorHAnsi" w:eastAsiaTheme="minorEastAsia" w:hAnsiTheme="minorHAnsi" w:cstheme="minorBidi"/>
            <w:noProof/>
            <w:szCs w:val="22"/>
            <w:lang w:eastAsia="en-GB"/>
          </w:rPr>
          <w:tab/>
        </w:r>
        <w:r w:rsidR="001C6C1E" w:rsidRPr="00C22CCB">
          <w:rPr>
            <w:rStyle w:val="Hyperlink"/>
            <w:i/>
            <w:iCs/>
            <w:noProof/>
          </w:rPr>
          <w:t>Critical limits for N status indicators</w:t>
        </w:r>
        <w:r w:rsidR="001C6C1E">
          <w:rPr>
            <w:noProof/>
            <w:webHidden/>
          </w:rPr>
          <w:tab/>
        </w:r>
        <w:r w:rsidR="001C6C1E">
          <w:rPr>
            <w:noProof/>
            <w:webHidden/>
          </w:rPr>
          <w:fldChar w:fldCharType="begin"/>
        </w:r>
        <w:r w:rsidR="001C6C1E">
          <w:rPr>
            <w:noProof/>
            <w:webHidden/>
          </w:rPr>
          <w:instrText xml:space="preserve"> PAGEREF _Toc83997346 \h </w:instrText>
        </w:r>
        <w:r w:rsidR="001C6C1E">
          <w:rPr>
            <w:noProof/>
            <w:webHidden/>
          </w:rPr>
        </w:r>
        <w:r w:rsidR="001C6C1E">
          <w:rPr>
            <w:noProof/>
            <w:webHidden/>
          </w:rPr>
          <w:fldChar w:fldCharType="separate"/>
        </w:r>
        <w:r w:rsidR="0067767C">
          <w:rPr>
            <w:noProof/>
            <w:webHidden/>
          </w:rPr>
          <w:t>37</w:t>
        </w:r>
        <w:r w:rsidR="001C6C1E">
          <w:rPr>
            <w:noProof/>
            <w:webHidden/>
          </w:rPr>
          <w:fldChar w:fldCharType="end"/>
        </w:r>
      </w:hyperlink>
    </w:p>
    <w:p w14:paraId="084516B3" w14:textId="2FB9A283" w:rsidR="001C6C1E" w:rsidRDefault="00742092">
      <w:pPr>
        <w:pStyle w:val="Verzeichnis2"/>
        <w:rPr>
          <w:rFonts w:asciiTheme="minorHAnsi" w:eastAsiaTheme="minorEastAsia" w:hAnsiTheme="minorHAnsi" w:cstheme="minorBidi"/>
          <w:noProof/>
          <w:szCs w:val="22"/>
          <w:lang w:eastAsia="en-GB"/>
        </w:rPr>
      </w:pPr>
      <w:hyperlink w:anchor="_Toc83997347" w:history="1">
        <w:r w:rsidR="001C6C1E" w:rsidRPr="00C22CCB">
          <w:rPr>
            <w:rStyle w:val="Hyperlink"/>
            <w:i/>
            <w:iCs/>
            <w:noProof/>
          </w:rPr>
          <w:t>3.3.2</w:t>
        </w:r>
        <w:r w:rsidR="001C6C1E">
          <w:rPr>
            <w:rFonts w:asciiTheme="minorHAnsi" w:eastAsiaTheme="minorEastAsia" w:hAnsiTheme="minorHAnsi" w:cstheme="minorBidi"/>
            <w:noProof/>
            <w:szCs w:val="22"/>
            <w:lang w:eastAsia="en-GB"/>
          </w:rPr>
          <w:tab/>
        </w:r>
        <w:r w:rsidR="001C6C1E" w:rsidRPr="00C22CCB">
          <w:rPr>
            <w:rStyle w:val="Hyperlink"/>
            <w:i/>
            <w:iCs/>
            <w:noProof/>
          </w:rPr>
          <w:t>Target levels and critical limits for P status indicators</w:t>
        </w:r>
        <w:r w:rsidR="001C6C1E">
          <w:rPr>
            <w:noProof/>
            <w:webHidden/>
          </w:rPr>
          <w:tab/>
        </w:r>
        <w:r w:rsidR="001C6C1E">
          <w:rPr>
            <w:noProof/>
            <w:webHidden/>
          </w:rPr>
          <w:fldChar w:fldCharType="begin"/>
        </w:r>
        <w:r w:rsidR="001C6C1E">
          <w:rPr>
            <w:noProof/>
            <w:webHidden/>
          </w:rPr>
          <w:instrText xml:space="preserve"> PAGEREF _Toc83997347 \h </w:instrText>
        </w:r>
        <w:r w:rsidR="001C6C1E">
          <w:rPr>
            <w:noProof/>
            <w:webHidden/>
          </w:rPr>
        </w:r>
        <w:r w:rsidR="001C6C1E">
          <w:rPr>
            <w:noProof/>
            <w:webHidden/>
          </w:rPr>
          <w:fldChar w:fldCharType="separate"/>
        </w:r>
        <w:r w:rsidR="0067767C">
          <w:rPr>
            <w:noProof/>
            <w:webHidden/>
          </w:rPr>
          <w:t>39</w:t>
        </w:r>
        <w:r w:rsidR="001C6C1E">
          <w:rPr>
            <w:noProof/>
            <w:webHidden/>
          </w:rPr>
          <w:fldChar w:fldCharType="end"/>
        </w:r>
      </w:hyperlink>
    </w:p>
    <w:p w14:paraId="5D8489F9" w14:textId="2B389220" w:rsidR="001C6C1E" w:rsidRDefault="00742092">
      <w:pPr>
        <w:pStyle w:val="Verzeichnis1"/>
        <w:rPr>
          <w:rFonts w:asciiTheme="minorHAnsi" w:eastAsiaTheme="minorEastAsia" w:hAnsiTheme="minorHAnsi" w:cstheme="minorBidi"/>
          <w:noProof/>
          <w:szCs w:val="22"/>
          <w:lang w:eastAsia="en-GB"/>
        </w:rPr>
      </w:pPr>
      <w:hyperlink w:anchor="_Toc83997348" w:history="1">
        <w:r w:rsidR="001C6C1E" w:rsidRPr="00C22CCB">
          <w:rPr>
            <w:rStyle w:val="Hyperlink"/>
            <w:noProof/>
          </w:rPr>
          <w:t>4</w:t>
        </w:r>
        <w:r w:rsidR="001C6C1E">
          <w:rPr>
            <w:rFonts w:asciiTheme="minorHAnsi" w:eastAsiaTheme="minorEastAsia" w:hAnsiTheme="minorHAnsi" w:cstheme="minorBidi"/>
            <w:noProof/>
            <w:szCs w:val="22"/>
            <w:lang w:eastAsia="en-GB"/>
          </w:rPr>
          <w:tab/>
        </w:r>
        <w:r w:rsidR="001C6C1E" w:rsidRPr="00C22CCB">
          <w:rPr>
            <w:rStyle w:val="Hyperlink"/>
            <w:noProof/>
          </w:rPr>
          <w:t>Soil acidification</w:t>
        </w:r>
        <w:r w:rsidR="001C6C1E">
          <w:rPr>
            <w:noProof/>
            <w:webHidden/>
          </w:rPr>
          <w:tab/>
        </w:r>
        <w:r w:rsidR="001C6C1E">
          <w:rPr>
            <w:noProof/>
            <w:webHidden/>
          </w:rPr>
          <w:fldChar w:fldCharType="begin"/>
        </w:r>
        <w:r w:rsidR="001C6C1E">
          <w:rPr>
            <w:noProof/>
            <w:webHidden/>
          </w:rPr>
          <w:instrText xml:space="preserve"> PAGEREF _Toc83997348 \h </w:instrText>
        </w:r>
        <w:r w:rsidR="001C6C1E">
          <w:rPr>
            <w:noProof/>
            <w:webHidden/>
          </w:rPr>
        </w:r>
        <w:r w:rsidR="001C6C1E">
          <w:rPr>
            <w:noProof/>
            <w:webHidden/>
          </w:rPr>
          <w:fldChar w:fldCharType="separate"/>
        </w:r>
        <w:r w:rsidR="0067767C">
          <w:rPr>
            <w:noProof/>
            <w:webHidden/>
          </w:rPr>
          <w:t>43</w:t>
        </w:r>
        <w:r w:rsidR="001C6C1E">
          <w:rPr>
            <w:noProof/>
            <w:webHidden/>
          </w:rPr>
          <w:fldChar w:fldCharType="end"/>
        </w:r>
      </w:hyperlink>
    </w:p>
    <w:p w14:paraId="40ADF118" w14:textId="2F994125" w:rsidR="001C6C1E" w:rsidRDefault="00742092">
      <w:pPr>
        <w:pStyle w:val="Verzeichnis2"/>
        <w:rPr>
          <w:rFonts w:asciiTheme="minorHAnsi" w:eastAsiaTheme="minorEastAsia" w:hAnsiTheme="minorHAnsi" w:cstheme="minorBidi"/>
          <w:noProof/>
          <w:szCs w:val="22"/>
          <w:lang w:eastAsia="en-GB"/>
        </w:rPr>
      </w:pPr>
      <w:hyperlink w:anchor="_Toc83997349" w:history="1">
        <w:r w:rsidR="001C6C1E" w:rsidRPr="00C22CCB">
          <w:rPr>
            <w:rStyle w:val="Hyperlink"/>
            <w:noProof/>
          </w:rPr>
          <w:t>4.1</w:t>
        </w:r>
        <w:r w:rsidR="001C6C1E">
          <w:rPr>
            <w:rFonts w:asciiTheme="minorHAnsi" w:eastAsiaTheme="minorEastAsia" w:hAnsiTheme="minorHAnsi" w:cstheme="minorBidi"/>
            <w:noProof/>
            <w:szCs w:val="22"/>
            <w:lang w:eastAsia="en-GB"/>
          </w:rPr>
          <w:tab/>
        </w:r>
        <w:r w:rsidR="001C6C1E" w:rsidRPr="00C22CCB">
          <w:rPr>
            <w:rStyle w:val="Hyperlink"/>
            <w:noProof/>
          </w:rPr>
          <w:t>Rationale: impacts of soil acidification on soil fertility and crop growth</w:t>
        </w:r>
        <w:r w:rsidR="001C6C1E">
          <w:rPr>
            <w:noProof/>
            <w:webHidden/>
          </w:rPr>
          <w:tab/>
        </w:r>
        <w:r w:rsidR="001C6C1E">
          <w:rPr>
            <w:noProof/>
            <w:webHidden/>
          </w:rPr>
          <w:fldChar w:fldCharType="begin"/>
        </w:r>
        <w:r w:rsidR="001C6C1E">
          <w:rPr>
            <w:noProof/>
            <w:webHidden/>
          </w:rPr>
          <w:instrText xml:space="preserve"> PAGEREF _Toc83997349 \h </w:instrText>
        </w:r>
        <w:r w:rsidR="001C6C1E">
          <w:rPr>
            <w:noProof/>
            <w:webHidden/>
          </w:rPr>
        </w:r>
        <w:r w:rsidR="001C6C1E">
          <w:rPr>
            <w:noProof/>
            <w:webHidden/>
          </w:rPr>
          <w:fldChar w:fldCharType="separate"/>
        </w:r>
        <w:r w:rsidR="0067767C">
          <w:rPr>
            <w:noProof/>
            <w:webHidden/>
          </w:rPr>
          <w:t>43</w:t>
        </w:r>
        <w:r w:rsidR="001C6C1E">
          <w:rPr>
            <w:noProof/>
            <w:webHidden/>
          </w:rPr>
          <w:fldChar w:fldCharType="end"/>
        </w:r>
      </w:hyperlink>
    </w:p>
    <w:p w14:paraId="6C07052D" w14:textId="2F1B1592" w:rsidR="001C6C1E" w:rsidRDefault="00742092">
      <w:pPr>
        <w:pStyle w:val="Verzeichnis2"/>
        <w:rPr>
          <w:rFonts w:asciiTheme="minorHAnsi" w:eastAsiaTheme="minorEastAsia" w:hAnsiTheme="minorHAnsi" w:cstheme="minorBidi"/>
          <w:noProof/>
          <w:szCs w:val="22"/>
          <w:lang w:eastAsia="en-GB"/>
        </w:rPr>
      </w:pPr>
      <w:hyperlink w:anchor="_Toc83997350" w:history="1">
        <w:r w:rsidR="001C6C1E" w:rsidRPr="00C22CCB">
          <w:rPr>
            <w:rStyle w:val="Hyperlink"/>
            <w:noProof/>
          </w:rPr>
          <w:t>4.2</w:t>
        </w:r>
        <w:r w:rsidR="001C6C1E">
          <w:rPr>
            <w:rFonts w:asciiTheme="minorHAnsi" w:eastAsiaTheme="minorEastAsia" w:hAnsiTheme="minorHAnsi" w:cstheme="minorBidi"/>
            <w:noProof/>
            <w:szCs w:val="22"/>
            <w:lang w:eastAsia="en-GB"/>
          </w:rPr>
          <w:tab/>
        </w:r>
        <w:r w:rsidR="001C6C1E" w:rsidRPr="00C22CCB">
          <w:rPr>
            <w:rStyle w:val="Hyperlink"/>
            <w:noProof/>
          </w:rPr>
          <w:t>Indicators for acidity status of soils</w:t>
        </w:r>
        <w:r w:rsidR="001C6C1E">
          <w:rPr>
            <w:noProof/>
            <w:webHidden/>
          </w:rPr>
          <w:tab/>
        </w:r>
        <w:r w:rsidR="001C6C1E">
          <w:rPr>
            <w:noProof/>
            <w:webHidden/>
          </w:rPr>
          <w:fldChar w:fldCharType="begin"/>
        </w:r>
        <w:r w:rsidR="001C6C1E">
          <w:rPr>
            <w:noProof/>
            <w:webHidden/>
          </w:rPr>
          <w:instrText xml:space="preserve"> PAGEREF _Toc83997350 \h </w:instrText>
        </w:r>
        <w:r w:rsidR="001C6C1E">
          <w:rPr>
            <w:noProof/>
            <w:webHidden/>
          </w:rPr>
        </w:r>
        <w:r w:rsidR="001C6C1E">
          <w:rPr>
            <w:noProof/>
            <w:webHidden/>
          </w:rPr>
          <w:fldChar w:fldCharType="separate"/>
        </w:r>
        <w:r w:rsidR="0067767C">
          <w:rPr>
            <w:noProof/>
            <w:webHidden/>
          </w:rPr>
          <w:t>44</w:t>
        </w:r>
        <w:r w:rsidR="001C6C1E">
          <w:rPr>
            <w:noProof/>
            <w:webHidden/>
          </w:rPr>
          <w:fldChar w:fldCharType="end"/>
        </w:r>
      </w:hyperlink>
    </w:p>
    <w:p w14:paraId="645E78EB" w14:textId="42DF2769" w:rsidR="001C6C1E" w:rsidRDefault="00742092">
      <w:pPr>
        <w:pStyle w:val="Verzeichnis2"/>
        <w:rPr>
          <w:rFonts w:asciiTheme="minorHAnsi" w:eastAsiaTheme="minorEastAsia" w:hAnsiTheme="minorHAnsi" w:cstheme="minorBidi"/>
          <w:noProof/>
          <w:szCs w:val="22"/>
          <w:lang w:eastAsia="en-GB"/>
        </w:rPr>
      </w:pPr>
      <w:hyperlink w:anchor="_Toc83997351" w:history="1">
        <w:r w:rsidR="001C6C1E" w:rsidRPr="00C22CCB">
          <w:rPr>
            <w:rStyle w:val="Hyperlink"/>
            <w:noProof/>
          </w:rPr>
          <w:t>4.3</w:t>
        </w:r>
        <w:r w:rsidR="001C6C1E">
          <w:rPr>
            <w:rFonts w:asciiTheme="minorHAnsi" w:eastAsiaTheme="minorEastAsia" w:hAnsiTheme="minorHAnsi" w:cstheme="minorBidi"/>
            <w:noProof/>
            <w:szCs w:val="22"/>
            <w:lang w:eastAsia="en-GB"/>
          </w:rPr>
          <w:tab/>
        </w:r>
        <w:r w:rsidR="001C6C1E" w:rsidRPr="00C22CCB">
          <w:rPr>
            <w:rStyle w:val="Hyperlink"/>
            <w:noProof/>
          </w:rPr>
          <w:t>Critical limits</w:t>
        </w:r>
        <w:r w:rsidR="001C6C1E">
          <w:rPr>
            <w:noProof/>
            <w:webHidden/>
          </w:rPr>
          <w:tab/>
        </w:r>
        <w:r w:rsidR="001C6C1E">
          <w:rPr>
            <w:noProof/>
            <w:webHidden/>
          </w:rPr>
          <w:fldChar w:fldCharType="begin"/>
        </w:r>
        <w:r w:rsidR="001C6C1E">
          <w:rPr>
            <w:noProof/>
            <w:webHidden/>
          </w:rPr>
          <w:instrText xml:space="preserve"> PAGEREF _Toc83997351 \h </w:instrText>
        </w:r>
        <w:r w:rsidR="001C6C1E">
          <w:rPr>
            <w:noProof/>
            <w:webHidden/>
          </w:rPr>
        </w:r>
        <w:r w:rsidR="001C6C1E">
          <w:rPr>
            <w:noProof/>
            <w:webHidden/>
          </w:rPr>
          <w:fldChar w:fldCharType="separate"/>
        </w:r>
        <w:r w:rsidR="0067767C">
          <w:rPr>
            <w:noProof/>
            <w:webHidden/>
          </w:rPr>
          <w:t>45</w:t>
        </w:r>
        <w:r w:rsidR="001C6C1E">
          <w:rPr>
            <w:noProof/>
            <w:webHidden/>
          </w:rPr>
          <w:fldChar w:fldCharType="end"/>
        </w:r>
      </w:hyperlink>
    </w:p>
    <w:p w14:paraId="1751CD07" w14:textId="0F48777A" w:rsidR="001C6C1E" w:rsidRDefault="00742092">
      <w:pPr>
        <w:pStyle w:val="Verzeichnis2"/>
        <w:rPr>
          <w:rFonts w:asciiTheme="minorHAnsi" w:eastAsiaTheme="minorEastAsia" w:hAnsiTheme="minorHAnsi" w:cstheme="minorBidi"/>
          <w:noProof/>
          <w:szCs w:val="22"/>
          <w:lang w:eastAsia="en-GB"/>
        </w:rPr>
      </w:pPr>
      <w:hyperlink w:anchor="_Toc83997352" w:history="1">
        <w:r w:rsidR="001C6C1E" w:rsidRPr="00C22CCB">
          <w:rPr>
            <w:rStyle w:val="Hyperlink"/>
            <w:noProof/>
          </w:rPr>
          <w:t>4.4</w:t>
        </w:r>
        <w:r w:rsidR="001C6C1E">
          <w:rPr>
            <w:rFonts w:asciiTheme="minorHAnsi" w:eastAsiaTheme="minorEastAsia" w:hAnsiTheme="minorHAnsi" w:cstheme="minorBidi"/>
            <w:noProof/>
            <w:szCs w:val="22"/>
            <w:lang w:eastAsia="en-GB"/>
          </w:rPr>
          <w:tab/>
        </w:r>
        <w:r w:rsidR="001C6C1E" w:rsidRPr="00C22CCB">
          <w:rPr>
            <w:rStyle w:val="Hyperlink"/>
            <w:noProof/>
          </w:rPr>
          <w:t>Critical levels of dissolved free aluminium and the molar base cation/aluminium ratio in forest soils</w:t>
        </w:r>
        <w:r w:rsidR="001C6C1E">
          <w:rPr>
            <w:noProof/>
            <w:webHidden/>
          </w:rPr>
          <w:tab/>
        </w:r>
        <w:r w:rsidR="001C6C1E">
          <w:rPr>
            <w:noProof/>
            <w:webHidden/>
          </w:rPr>
          <w:fldChar w:fldCharType="begin"/>
        </w:r>
        <w:r w:rsidR="001C6C1E">
          <w:rPr>
            <w:noProof/>
            <w:webHidden/>
          </w:rPr>
          <w:instrText xml:space="preserve"> PAGEREF _Toc83997352 \h </w:instrText>
        </w:r>
        <w:r w:rsidR="001C6C1E">
          <w:rPr>
            <w:noProof/>
            <w:webHidden/>
          </w:rPr>
        </w:r>
        <w:r w:rsidR="001C6C1E">
          <w:rPr>
            <w:noProof/>
            <w:webHidden/>
          </w:rPr>
          <w:fldChar w:fldCharType="separate"/>
        </w:r>
        <w:r w:rsidR="0067767C">
          <w:rPr>
            <w:noProof/>
            <w:webHidden/>
          </w:rPr>
          <w:t>46</w:t>
        </w:r>
        <w:r w:rsidR="001C6C1E">
          <w:rPr>
            <w:noProof/>
            <w:webHidden/>
          </w:rPr>
          <w:fldChar w:fldCharType="end"/>
        </w:r>
      </w:hyperlink>
    </w:p>
    <w:p w14:paraId="38335079" w14:textId="590CEF28" w:rsidR="001C6C1E" w:rsidRDefault="00742092">
      <w:pPr>
        <w:pStyle w:val="Verzeichnis1"/>
        <w:rPr>
          <w:rFonts w:asciiTheme="minorHAnsi" w:eastAsiaTheme="minorEastAsia" w:hAnsiTheme="minorHAnsi" w:cstheme="minorBidi"/>
          <w:noProof/>
          <w:szCs w:val="22"/>
          <w:lang w:eastAsia="en-GB"/>
        </w:rPr>
      </w:pPr>
      <w:hyperlink w:anchor="_Toc83997353" w:history="1">
        <w:r w:rsidR="001C6C1E" w:rsidRPr="00C22CCB">
          <w:rPr>
            <w:rStyle w:val="Hyperlink"/>
            <w:noProof/>
          </w:rPr>
          <w:t>5</w:t>
        </w:r>
        <w:r w:rsidR="001C6C1E">
          <w:rPr>
            <w:rFonts w:asciiTheme="minorHAnsi" w:eastAsiaTheme="minorEastAsia" w:hAnsiTheme="minorHAnsi" w:cstheme="minorBidi"/>
            <w:noProof/>
            <w:szCs w:val="22"/>
            <w:lang w:eastAsia="en-GB"/>
          </w:rPr>
          <w:tab/>
        </w:r>
        <w:r w:rsidR="001C6C1E" w:rsidRPr="00C22CCB">
          <w:rPr>
            <w:rStyle w:val="Hyperlink"/>
            <w:noProof/>
          </w:rPr>
          <w:t>Contaminants in soil</w:t>
        </w:r>
        <w:r w:rsidR="001C6C1E">
          <w:rPr>
            <w:noProof/>
            <w:webHidden/>
          </w:rPr>
          <w:tab/>
        </w:r>
        <w:r w:rsidR="001C6C1E">
          <w:rPr>
            <w:noProof/>
            <w:webHidden/>
          </w:rPr>
          <w:fldChar w:fldCharType="begin"/>
        </w:r>
        <w:r w:rsidR="001C6C1E">
          <w:rPr>
            <w:noProof/>
            <w:webHidden/>
          </w:rPr>
          <w:instrText xml:space="preserve"> PAGEREF _Toc83997353 \h </w:instrText>
        </w:r>
        <w:r w:rsidR="001C6C1E">
          <w:rPr>
            <w:noProof/>
            <w:webHidden/>
          </w:rPr>
        </w:r>
        <w:r w:rsidR="001C6C1E">
          <w:rPr>
            <w:noProof/>
            <w:webHidden/>
          </w:rPr>
          <w:fldChar w:fldCharType="separate"/>
        </w:r>
        <w:r w:rsidR="0067767C">
          <w:rPr>
            <w:noProof/>
            <w:webHidden/>
          </w:rPr>
          <w:t>48</w:t>
        </w:r>
        <w:r w:rsidR="001C6C1E">
          <w:rPr>
            <w:noProof/>
            <w:webHidden/>
          </w:rPr>
          <w:fldChar w:fldCharType="end"/>
        </w:r>
      </w:hyperlink>
    </w:p>
    <w:p w14:paraId="23A2FE03" w14:textId="089ACAC9" w:rsidR="001C6C1E" w:rsidRDefault="00742092">
      <w:pPr>
        <w:pStyle w:val="Verzeichnis2"/>
        <w:rPr>
          <w:rFonts w:asciiTheme="minorHAnsi" w:eastAsiaTheme="minorEastAsia" w:hAnsiTheme="minorHAnsi" w:cstheme="minorBidi"/>
          <w:noProof/>
          <w:szCs w:val="22"/>
          <w:lang w:eastAsia="en-GB"/>
        </w:rPr>
      </w:pPr>
      <w:hyperlink w:anchor="_Toc83997354" w:history="1">
        <w:r w:rsidR="001C6C1E" w:rsidRPr="00C22CCB">
          <w:rPr>
            <w:rStyle w:val="Hyperlink"/>
            <w:noProof/>
          </w:rPr>
          <w:t>5.1</w:t>
        </w:r>
        <w:r w:rsidR="001C6C1E">
          <w:rPr>
            <w:rFonts w:asciiTheme="minorHAnsi" w:eastAsiaTheme="minorEastAsia" w:hAnsiTheme="minorHAnsi" w:cstheme="minorBidi"/>
            <w:noProof/>
            <w:szCs w:val="22"/>
            <w:lang w:eastAsia="en-GB"/>
          </w:rPr>
          <w:tab/>
        </w:r>
        <w:r w:rsidR="001C6C1E" w:rsidRPr="00C22CCB">
          <w:rPr>
            <w:rStyle w:val="Hyperlink"/>
            <w:noProof/>
          </w:rPr>
          <w:t>Methodical aspects to detect and treat soil pollution</w:t>
        </w:r>
        <w:r w:rsidR="001C6C1E">
          <w:rPr>
            <w:noProof/>
            <w:webHidden/>
          </w:rPr>
          <w:tab/>
        </w:r>
        <w:r w:rsidR="001C6C1E">
          <w:rPr>
            <w:noProof/>
            <w:webHidden/>
          </w:rPr>
          <w:fldChar w:fldCharType="begin"/>
        </w:r>
        <w:r w:rsidR="001C6C1E">
          <w:rPr>
            <w:noProof/>
            <w:webHidden/>
          </w:rPr>
          <w:instrText xml:space="preserve"> PAGEREF _Toc83997354 \h </w:instrText>
        </w:r>
        <w:r w:rsidR="001C6C1E">
          <w:rPr>
            <w:noProof/>
            <w:webHidden/>
          </w:rPr>
        </w:r>
        <w:r w:rsidR="001C6C1E">
          <w:rPr>
            <w:noProof/>
            <w:webHidden/>
          </w:rPr>
          <w:fldChar w:fldCharType="separate"/>
        </w:r>
        <w:r w:rsidR="0067767C">
          <w:rPr>
            <w:noProof/>
            <w:webHidden/>
          </w:rPr>
          <w:t>48</w:t>
        </w:r>
        <w:r w:rsidR="001C6C1E">
          <w:rPr>
            <w:noProof/>
            <w:webHidden/>
          </w:rPr>
          <w:fldChar w:fldCharType="end"/>
        </w:r>
      </w:hyperlink>
    </w:p>
    <w:p w14:paraId="3EF77A94" w14:textId="15E62265" w:rsidR="001C6C1E" w:rsidRDefault="00742092">
      <w:pPr>
        <w:pStyle w:val="Verzeichnis2"/>
        <w:rPr>
          <w:rFonts w:asciiTheme="minorHAnsi" w:eastAsiaTheme="minorEastAsia" w:hAnsiTheme="minorHAnsi" w:cstheme="minorBidi"/>
          <w:noProof/>
          <w:szCs w:val="22"/>
          <w:lang w:eastAsia="en-GB"/>
        </w:rPr>
      </w:pPr>
      <w:hyperlink w:anchor="_Toc83997355" w:history="1">
        <w:r w:rsidR="001C6C1E" w:rsidRPr="00C22CCB">
          <w:rPr>
            <w:rStyle w:val="Hyperlink"/>
            <w:i/>
            <w:iCs/>
            <w:noProof/>
          </w:rPr>
          <w:t>5.1.1</w:t>
        </w:r>
        <w:r w:rsidR="001C6C1E">
          <w:rPr>
            <w:rFonts w:asciiTheme="minorHAnsi" w:eastAsiaTheme="minorEastAsia" w:hAnsiTheme="minorHAnsi" w:cstheme="minorBidi"/>
            <w:noProof/>
            <w:szCs w:val="22"/>
            <w:lang w:eastAsia="en-GB"/>
          </w:rPr>
          <w:tab/>
        </w:r>
        <w:r w:rsidR="001C6C1E" w:rsidRPr="00C22CCB">
          <w:rPr>
            <w:rStyle w:val="Hyperlink"/>
            <w:i/>
            <w:iCs/>
            <w:noProof/>
          </w:rPr>
          <w:t>Protection targets</w:t>
        </w:r>
        <w:r w:rsidR="001C6C1E">
          <w:rPr>
            <w:noProof/>
            <w:webHidden/>
          </w:rPr>
          <w:tab/>
        </w:r>
        <w:r w:rsidR="001C6C1E">
          <w:rPr>
            <w:noProof/>
            <w:webHidden/>
          </w:rPr>
          <w:fldChar w:fldCharType="begin"/>
        </w:r>
        <w:r w:rsidR="001C6C1E">
          <w:rPr>
            <w:noProof/>
            <w:webHidden/>
          </w:rPr>
          <w:instrText xml:space="preserve"> PAGEREF _Toc83997355 \h </w:instrText>
        </w:r>
        <w:r w:rsidR="001C6C1E">
          <w:rPr>
            <w:noProof/>
            <w:webHidden/>
          </w:rPr>
        </w:r>
        <w:r w:rsidR="001C6C1E">
          <w:rPr>
            <w:noProof/>
            <w:webHidden/>
          </w:rPr>
          <w:fldChar w:fldCharType="separate"/>
        </w:r>
        <w:r w:rsidR="0067767C">
          <w:rPr>
            <w:noProof/>
            <w:webHidden/>
          </w:rPr>
          <w:t>48</w:t>
        </w:r>
        <w:r w:rsidR="001C6C1E">
          <w:rPr>
            <w:noProof/>
            <w:webHidden/>
          </w:rPr>
          <w:fldChar w:fldCharType="end"/>
        </w:r>
      </w:hyperlink>
    </w:p>
    <w:p w14:paraId="3726502A" w14:textId="0DFAE512" w:rsidR="001C6C1E" w:rsidRDefault="00742092">
      <w:pPr>
        <w:pStyle w:val="Verzeichnis2"/>
        <w:rPr>
          <w:rFonts w:asciiTheme="minorHAnsi" w:eastAsiaTheme="minorEastAsia" w:hAnsiTheme="minorHAnsi" w:cstheme="minorBidi"/>
          <w:noProof/>
          <w:szCs w:val="22"/>
          <w:lang w:eastAsia="en-GB"/>
        </w:rPr>
      </w:pPr>
      <w:hyperlink w:anchor="_Toc83997356" w:history="1">
        <w:r w:rsidR="001C6C1E" w:rsidRPr="00C22CCB">
          <w:rPr>
            <w:rStyle w:val="Hyperlink"/>
            <w:i/>
            <w:iCs/>
            <w:noProof/>
          </w:rPr>
          <w:t>5.1.2</w:t>
        </w:r>
        <w:r w:rsidR="001C6C1E">
          <w:rPr>
            <w:rFonts w:asciiTheme="minorHAnsi" w:eastAsiaTheme="minorEastAsia" w:hAnsiTheme="minorHAnsi" w:cstheme="minorBidi"/>
            <w:noProof/>
            <w:szCs w:val="22"/>
            <w:lang w:eastAsia="en-GB"/>
          </w:rPr>
          <w:tab/>
        </w:r>
        <w:r w:rsidR="001C6C1E" w:rsidRPr="00C22CCB">
          <w:rPr>
            <w:rStyle w:val="Hyperlink"/>
            <w:i/>
            <w:iCs/>
            <w:noProof/>
          </w:rPr>
          <w:t>Terminology important for soil pollution</w:t>
        </w:r>
        <w:r w:rsidR="001C6C1E">
          <w:rPr>
            <w:noProof/>
            <w:webHidden/>
          </w:rPr>
          <w:tab/>
        </w:r>
        <w:r w:rsidR="001C6C1E">
          <w:rPr>
            <w:noProof/>
            <w:webHidden/>
          </w:rPr>
          <w:fldChar w:fldCharType="begin"/>
        </w:r>
        <w:r w:rsidR="001C6C1E">
          <w:rPr>
            <w:noProof/>
            <w:webHidden/>
          </w:rPr>
          <w:instrText xml:space="preserve"> PAGEREF _Toc83997356 \h </w:instrText>
        </w:r>
        <w:r w:rsidR="001C6C1E">
          <w:rPr>
            <w:noProof/>
            <w:webHidden/>
          </w:rPr>
        </w:r>
        <w:r w:rsidR="001C6C1E">
          <w:rPr>
            <w:noProof/>
            <w:webHidden/>
          </w:rPr>
          <w:fldChar w:fldCharType="separate"/>
        </w:r>
        <w:r w:rsidR="0067767C">
          <w:rPr>
            <w:noProof/>
            <w:webHidden/>
          </w:rPr>
          <w:t>49</w:t>
        </w:r>
        <w:r w:rsidR="001C6C1E">
          <w:rPr>
            <w:noProof/>
            <w:webHidden/>
          </w:rPr>
          <w:fldChar w:fldCharType="end"/>
        </w:r>
      </w:hyperlink>
    </w:p>
    <w:p w14:paraId="53DE3146" w14:textId="49D53ABE" w:rsidR="001C6C1E" w:rsidRDefault="00742092">
      <w:pPr>
        <w:pStyle w:val="Verzeichnis2"/>
        <w:rPr>
          <w:rFonts w:asciiTheme="minorHAnsi" w:eastAsiaTheme="minorEastAsia" w:hAnsiTheme="minorHAnsi" w:cstheme="minorBidi"/>
          <w:noProof/>
          <w:szCs w:val="22"/>
          <w:lang w:eastAsia="en-GB"/>
        </w:rPr>
      </w:pPr>
      <w:hyperlink w:anchor="_Toc83997357" w:history="1">
        <w:r w:rsidR="001C6C1E" w:rsidRPr="00C22CCB">
          <w:rPr>
            <w:rStyle w:val="Hyperlink"/>
            <w:i/>
            <w:iCs/>
            <w:noProof/>
          </w:rPr>
          <w:t>5.1.3</w:t>
        </w:r>
        <w:r w:rsidR="001C6C1E">
          <w:rPr>
            <w:rFonts w:asciiTheme="minorHAnsi" w:eastAsiaTheme="minorEastAsia" w:hAnsiTheme="minorHAnsi" w:cstheme="minorBidi"/>
            <w:noProof/>
            <w:szCs w:val="22"/>
            <w:lang w:eastAsia="en-GB"/>
          </w:rPr>
          <w:tab/>
        </w:r>
        <w:r w:rsidR="001C6C1E" w:rsidRPr="00C22CCB">
          <w:rPr>
            <w:rStyle w:val="Hyperlink"/>
            <w:i/>
            <w:iCs/>
            <w:noProof/>
          </w:rPr>
          <w:t>Characteristics of diffuse pollution and point source pollution</w:t>
        </w:r>
        <w:r w:rsidR="001C6C1E">
          <w:rPr>
            <w:noProof/>
            <w:webHidden/>
          </w:rPr>
          <w:tab/>
        </w:r>
        <w:r w:rsidR="001C6C1E">
          <w:rPr>
            <w:noProof/>
            <w:webHidden/>
          </w:rPr>
          <w:fldChar w:fldCharType="begin"/>
        </w:r>
        <w:r w:rsidR="001C6C1E">
          <w:rPr>
            <w:noProof/>
            <w:webHidden/>
          </w:rPr>
          <w:instrText xml:space="preserve"> PAGEREF _Toc83997357 \h </w:instrText>
        </w:r>
        <w:r w:rsidR="001C6C1E">
          <w:rPr>
            <w:noProof/>
            <w:webHidden/>
          </w:rPr>
        </w:r>
        <w:r w:rsidR="001C6C1E">
          <w:rPr>
            <w:noProof/>
            <w:webHidden/>
          </w:rPr>
          <w:fldChar w:fldCharType="separate"/>
        </w:r>
        <w:r w:rsidR="0067767C">
          <w:rPr>
            <w:noProof/>
            <w:webHidden/>
          </w:rPr>
          <w:t>50</w:t>
        </w:r>
        <w:r w:rsidR="001C6C1E">
          <w:rPr>
            <w:noProof/>
            <w:webHidden/>
          </w:rPr>
          <w:fldChar w:fldCharType="end"/>
        </w:r>
      </w:hyperlink>
    </w:p>
    <w:p w14:paraId="0E15385A" w14:textId="48B2A043" w:rsidR="001C6C1E" w:rsidRDefault="00742092">
      <w:pPr>
        <w:pStyle w:val="Verzeichnis2"/>
        <w:rPr>
          <w:rFonts w:asciiTheme="minorHAnsi" w:eastAsiaTheme="minorEastAsia" w:hAnsiTheme="minorHAnsi" w:cstheme="minorBidi"/>
          <w:noProof/>
          <w:szCs w:val="22"/>
          <w:lang w:eastAsia="en-GB"/>
        </w:rPr>
      </w:pPr>
      <w:hyperlink w:anchor="_Toc83997358" w:history="1">
        <w:r w:rsidR="001C6C1E" w:rsidRPr="00C22CCB">
          <w:rPr>
            <w:rStyle w:val="Hyperlink"/>
            <w:i/>
            <w:iCs/>
            <w:noProof/>
          </w:rPr>
          <w:t>5.1.4</w:t>
        </w:r>
        <w:r w:rsidR="001C6C1E">
          <w:rPr>
            <w:rFonts w:asciiTheme="minorHAnsi" w:eastAsiaTheme="minorEastAsia" w:hAnsiTheme="minorHAnsi" w:cstheme="minorBidi"/>
            <w:noProof/>
            <w:szCs w:val="22"/>
            <w:lang w:eastAsia="en-GB"/>
          </w:rPr>
          <w:tab/>
        </w:r>
        <w:r w:rsidR="001C6C1E" w:rsidRPr="00C22CCB">
          <w:rPr>
            <w:rStyle w:val="Hyperlink"/>
            <w:i/>
            <w:iCs/>
            <w:noProof/>
          </w:rPr>
          <w:t>Relevant groups of contaminants found in soil</w:t>
        </w:r>
        <w:r w:rsidR="001C6C1E">
          <w:rPr>
            <w:noProof/>
            <w:webHidden/>
          </w:rPr>
          <w:tab/>
        </w:r>
        <w:r w:rsidR="001C6C1E">
          <w:rPr>
            <w:noProof/>
            <w:webHidden/>
          </w:rPr>
          <w:fldChar w:fldCharType="begin"/>
        </w:r>
        <w:r w:rsidR="001C6C1E">
          <w:rPr>
            <w:noProof/>
            <w:webHidden/>
          </w:rPr>
          <w:instrText xml:space="preserve"> PAGEREF _Toc83997358 \h </w:instrText>
        </w:r>
        <w:r w:rsidR="001C6C1E">
          <w:rPr>
            <w:noProof/>
            <w:webHidden/>
          </w:rPr>
        </w:r>
        <w:r w:rsidR="001C6C1E">
          <w:rPr>
            <w:noProof/>
            <w:webHidden/>
          </w:rPr>
          <w:fldChar w:fldCharType="separate"/>
        </w:r>
        <w:r w:rsidR="0067767C">
          <w:rPr>
            <w:noProof/>
            <w:webHidden/>
          </w:rPr>
          <w:t>52</w:t>
        </w:r>
        <w:r w:rsidR="001C6C1E">
          <w:rPr>
            <w:noProof/>
            <w:webHidden/>
          </w:rPr>
          <w:fldChar w:fldCharType="end"/>
        </w:r>
      </w:hyperlink>
    </w:p>
    <w:p w14:paraId="5F1F9A14" w14:textId="2E9053E2" w:rsidR="001C6C1E" w:rsidRDefault="00742092">
      <w:pPr>
        <w:pStyle w:val="Verzeichnis2"/>
        <w:rPr>
          <w:rFonts w:asciiTheme="minorHAnsi" w:eastAsiaTheme="minorEastAsia" w:hAnsiTheme="minorHAnsi" w:cstheme="minorBidi"/>
          <w:noProof/>
          <w:szCs w:val="22"/>
          <w:lang w:eastAsia="en-GB"/>
        </w:rPr>
      </w:pPr>
      <w:hyperlink w:anchor="_Toc83997359" w:history="1">
        <w:r w:rsidR="001C6C1E" w:rsidRPr="00C22CCB">
          <w:rPr>
            <w:rStyle w:val="Hyperlink"/>
            <w:i/>
            <w:iCs/>
            <w:noProof/>
          </w:rPr>
          <w:t>5.1.5</w:t>
        </w:r>
        <w:r w:rsidR="001C6C1E">
          <w:rPr>
            <w:rFonts w:asciiTheme="minorHAnsi" w:eastAsiaTheme="minorEastAsia" w:hAnsiTheme="minorHAnsi" w:cstheme="minorBidi"/>
            <w:noProof/>
            <w:szCs w:val="22"/>
            <w:lang w:eastAsia="en-GB"/>
          </w:rPr>
          <w:tab/>
        </w:r>
        <w:r w:rsidR="001C6C1E" w:rsidRPr="00C22CCB">
          <w:rPr>
            <w:rStyle w:val="Hyperlink"/>
            <w:i/>
            <w:iCs/>
            <w:noProof/>
          </w:rPr>
          <w:t>Mechanisms to trigger action for local and diffuse contamination</w:t>
        </w:r>
        <w:r w:rsidR="001C6C1E">
          <w:rPr>
            <w:noProof/>
            <w:webHidden/>
          </w:rPr>
          <w:tab/>
        </w:r>
        <w:r w:rsidR="001C6C1E">
          <w:rPr>
            <w:noProof/>
            <w:webHidden/>
          </w:rPr>
          <w:fldChar w:fldCharType="begin"/>
        </w:r>
        <w:r w:rsidR="001C6C1E">
          <w:rPr>
            <w:noProof/>
            <w:webHidden/>
          </w:rPr>
          <w:instrText xml:space="preserve"> PAGEREF _Toc83997359 \h </w:instrText>
        </w:r>
        <w:r w:rsidR="001C6C1E">
          <w:rPr>
            <w:noProof/>
            <w:webHidden/>
          </w:rPr>
        </w:r>
        <w:r w:rsidR="001C6C1E">
          <w:rPr>
            <w:noProof/>
            <w:webHidden/>
          </w:rPr>
          <w:fldChar w:fldCharType="separate"/>
        </w:r>
        <w:r w:rsidR="0067767C">
          <w:rPr>
            <w:noProof/>
            <w:webHidden/>
          </w:rPr>
          <w:t>54</w:t>
        </w:r>
        <w:r w:rsidR="001C6C1E">
          <w:rPr>
            <w:noProof/>
            <w:webHidden/>
          </w:rPr>
          <w:fldChar w:fldCharType="end"/>
        </w:r>
      </w:hyperlink>
    </w:p>
    <w:p w14:paraId="5A66D2BF" w14:textId="6FE0C3C7" w:rsidR="001C6C1E" w:rsidRDefault="00742092">
      <w:pPr>
        <w:pStyle w:val="Verzeichnis2"/>
        <w:rPr>
          <w:rFonts w:asciiTheme="minorHAnsi" w:eastAsiaTheme="minorEastAsia" w:hAnsiTheme="minorHAnsi" w:cstheme="minorBidi"/>
          <w:noProof/>
          <w:szCs w:val="22"/>
          <w:lang w:eastAsia="en-GB"/>
        </w:rPr>
      </w:pPr>
      <w:hyperlink w:anchor="_Toc83997360" w:history="1">
        <w:r w:rsidR="001C6C1E" w:rsidRPr="00C22CCB">
          <w:rPr>
            <w:rStyle w:val="Hyperlink"/>
            <w:noProof/>
          </w:rPr>
          <w:t>5.2</w:t>
        </w:r>
        <w:r w:rsidR="001C6C1E">
          <w:rPr>
            <w:rFonts w:asciiTheme="minorHAnsi" w:eastAsiaTheme="minorEastAsia" w:hAnsiTheme="minorHAnsi" w:cstheme="minorBidi"/>
            <w:noProof/>
            <w:szCs w:val="22"/>
            <w:lang w:eastAsia="en-GB"/>
          </w:rPr>
          <w:tab/>
        </w:r>
        <w:r w:rsidR="001C6C1E" w:rsidRPr="00C22CCB">
          <w:rPr>
            <w:rStyle w:val="Hyperlink"/>
            <w:noProof/>
          </w:rPr>
          <w:t>Indicators for soil pollution</w:t>
        </w:r>
        <w:r w:rsidR="001C6C1E">
          <w:rPr>
            <w:noProof/>
            <w:webHidden/>
          </w:rPr>
          <w:tab/>
        </w:r>
        <w:r w:rsidR="001C6C1E">
          <w:rPr>
            <w:noProof/>
            <w:webHidden/>
          </w:rPr>
          <w:fldChar w:fldCharType="begin"/>
        </w:r>
        <w:r w:rsidR="001C6C1E">
          <w:rPr>
            <w:noProof/>
            <w:webHidden/>
          </w:rPr>
          <w:instrText xml:space="preserve"> PAGEREF _Toc83997360 \h </w:instrText>
        </w:r>
        <w:r w:rsidR="001C6C1E">
          <w:rPr>
            <w:noProof/>
            <w:webHidden/>
          </w:rPr>
        </w:r>
        <w:r w:rsidR="001C6C1E">
          <w:rPr>
            <w:noProof/>
            <w:webHidden/>
          </w:rPr>
          <w:fldChar w:fldCharType="separate"/>
        </w:r>
        <w:r w:rsidR="0067767C">
          <w:rPr>
            <w:noProof/>
            <w:webHidden/>
          </w:rPr>
          <w:t>56</w:t>
        </w:r>
        <w:r w:rsidR="001C6C1E">
          <w:rPr>
            <w:noProof/>
            <w:webHidden/>
          </w:rPr>
          <w:fldChar w:fldCharType="end"/>
        </w:r>
      </w:hyperlink>
    </w:p>
    <w:p w14:paraId="35AFCF4A" w14:textId="175BD521" w:rsidR="001C6C1E" w:rsidRDefault="00742092">
      <w:pPr>
        <w:pStyle w:val="Verzeichnis2"/>
        <w:rPr>
          <w:rFonts w:asciiTheme="minorHAnsi" w:eastAsiaTheme="minorEastAsia" w:hAnsiTheme="minorHAnsi" w:cstheme="minorBidi"/>
          <w:noProof/>
          <w:szCs w:val="22"/>
          <w:lang w:eastAsia="en-GB"/>
        </w:rPr>
      </w:pPr>
      <w:hyperlink w:anchor="_Toc83997361" w:history="1">
        <w:r w:rsidR="001C6C1E" w:rsidRPr="00C22CCB">
          <w:rPr>
            <w:rStyle w:val="Hyperlink"/>
            <w:i/>
            <w:iCs/>
            <w:noProof/>
          </w:rPr>
          <w:t>5.2.1</w:t>
        </w:r>
        <w:r w:rsidR="001C6C1E">
          <w:rPr>
            <w:rFonts w:asciiTheme="minorHAnsi" w:eastAsiaTheme="minorEastAsia" w:hAnsiTheme="minorHAnsi" w:cstheme="minorBidi"/>
            <w:noProof/>
            <w:szCs w:val="22"/>
            <w:lang w:eastAsia="en-GB"/>
          </w:rPr>
          <w:tab/>
        </w:r>
        <w:r w:rsidR="001C6C1E" w:rsidRPr="00C22CCB">
          <w:rPr>
            <w:rStyle w:val="Hyperlink"/>
            <w:i/>
            <w:iCs/>
            <w:noProof/>
          </w:rPr>
          <w:t>The indicator paradigm</w:t>
        </w:r>
        <w:r w:rsidR="001C6C1E">
          <w:rPr>
            <w:noProof/>
            <w:webHidden/>
          </w:rPr>
          <w:tab/>
        </w:r>
        <w:r w:rsidR="001C6C1E">
          <w:rPr>
            <w:noProof/>
            <w:webHidden/>
          </w:rPr>
          <w:fldChar w:fldCharType="begin"/>
        </w:r>
        <w:r w:rsidR="001C6C1E">
          <w:rPr>
            <w:noProof/>
            <w:webHidden/>
          </w:rPr>
          <w:instrText xml:space="preserve"> PAGEREF _Toc83997361 \h </w:instrText>
        </w:r>
        <w:r w:rsidR="001C6C1E">
          <w:rPr>
            <w:noProof/>
            <w:webHidden/>
          </w:rPr>
        </w:r>
        <w:r w:rsidR="001C6C1E">
          <w:rPr>
            <w:noProof/>
            <w:webHidden/>
          </w:rPr>
          <w:fldChar w:fldCharType="separate"/>
        </w:r>
        <w:r w:rsidR="0067767C">
          <w:rPr>
            <w:noProof/>
            <w:webHidden/>
          </w:rPr>
          <w:t>56</w:t>
        </w:r>
        <w:r w:rsidR="001C6C1E">
          <w:rPr>
            <w:noProof/>
            <w:webHidden/>
          </w:rPr>
          <w:fldChar w:fldCharType="end"/>
        </w:r>
      </w:hyperlink>
    </w:p>
    <w:p w14:paraId="34B024EC" w14:textId="21184A19" w:rsidR="001C6C1E" w:rsidRDefault="00742092">
      <w:pPr>
        <w:pStyle w:val="Verzeichnis2"/>
        <w:rPr>
          <w:rFonts w:asciiTheme="minorHAnsi" w:eastAsiaTheme="minorEastAsia" w:hAnsiTheme="minorHAnsi" w:cstheme="minorBidi"/>
          <w:noProof/>
          <w:szCs w:val="22"/>
          <w:lang w:eastAsia="en-GB"/>
        </w:rPr>
      </w:pPr>
      <w:hyperlink w:anchor="_Toc83997362" w:history="1">
        <w:r w:rsidR="001C6C1E" w:rsidRPr="00C22CCB">
          <w:rPr>
            <w:rStyle w:val="Hyperlink"/>
            <w:i/>
            <w:iCs/>
            <w:noProof/>
          </w:rPr>
          <w:t>5.2.2</w:t>
        </w:r>
        <w:r w:rsidR="001C6C1E">
          <w:rPr>
            <w:rFonts w:asciiTheme="minorHAnsi" w:eastAsiaTheme="minorEastAsia" w:hAnsiTheme="minorHAnsi" w:cstheme="minorBidi"/>
            <w:noProof/>
            <w:szCs w:val="22"/>
            <w:lang w:eastAsia="en-GB"/>
          </w:rPr>
          <w:tab/>
        </w:r>
        <w:r w:rsidR="001C6C1E" w:rsidRPr="00C22CCB">
          <w:rPr>
            <w:rStyle w:val="Hyperlink"/>
            <w:i/>
            <w:iCs/>
            <w:noProof/>
          </w:rPr>
          <w:t>Methodical references</w:t>
        </w:r>
        <w:r w:rsidR="001C6C1E">
          <w:rPr>
            <w:noProof/>
            <w:webHidden/>
          </w:rPr>
          <w:tab/>
        </w:r>
        <w:r w:rsidR="001C6C1E">
          <w:rPr>
            <w:noProof/>
            <w:webHidden/>
          </w:rPr>
          <w:fldChar w:fldCharType="begin"/>
        </w:r>
        <w:r w:rsidR="001C6C1E">
          <w:rPr>
            <w:noProof/>
            <w:webHidden/>
          </w:rPr>
          <w:instrText xml:space="preserve"> PAGEREF _Toc83997362 \h </w:instrText>
        </w:r>
        <w:r w:rsidR="001C6C1E">
          <w:rPr>
            <w:noProof/>
            <w:webHidden/>
          </w:rPr>
        </w:r>
        <w:r w:rsidR="001C6C1E">
          <w:rPr>
            <w:noProof/>
            <w:webHidden/>
          </w:rPr>
          <w:fldChar w:fldCharType="separate"/>
        </w:r>
        <w:r w:rsidR="0067767C">
          <w:rPr>
            <w:noProof/>
            <w:webHidden/>
          </w:rPr>
          <w:t>58</w:t>
        </w:r>
        <w:r w:rsidR="001C6C1E">
          <w:rPr>
            <w:noProof/>
            <w:webHidden/>
          </w:rPr>
          <w:fldChar w:fldCharType="end"/>
        </w:r>
      </w:hyperlink>
    </w:p>
    <w:p w14:paraId="64853FCF" w14:textId="0437070B" w:rsidR="001C6C1E" w:rsidRDefault="00742092">
      <w:pPr>
        <w:pStyle w:val="Verzeichnis2"/>
        <w:rPr>
          <w:rFonts w:asciiTheme="minorHAnsi" w:eastAsiaTheme="minorEastAsia" w:hAnsiTheme="minorHAnsi" w:cstheme="minorBidi"/>
          <w:noProof/>
          <w:szCs w:val="22"/>
          <w:lang w:eastAsia="en-GB"/>
        </w:rPr>
      </w:pPr>
      <w:hyperlink w:anchor="_Toc83997363" w:history="1">
        <w:r w:rsidR="001C6C1E" w:rsidRPr="00C22CCB">
          <w:rPr>
            <w:rStyle w:val="Hyperlink"/>
            <w:noProof/>
          </w:rPr>
          <w:t>5.3</w:t>
        </w:r>
        <w:r w:rsidR="001C6C1E">
          <w:rPr>
            <w:rFonts w:asciiTheme="minorHAnsi" w:eastAsiaTheme="minorEastAsia" w:hAnsiTheme="minorHAnsi" w:cstheme="minorBidi"/>
            <w:noProof/>
            <w:szCs w:val="22"/>
            <w:lang w:eastAsia="en-GB"/>
          </w:rPr>
          <w:tab/>
        </w:r>
        <w:r w:rsidR="001C6C1E" w:rsidRPr="00C22CCB">
          <w:rPr>
            <w:rStyle w:val="Hyperlink"/>
            <w:noProof/>
          </w:rPr>
          <w:t>Thresholds: screening values for soil contamination</w:t>
        </w:r>
        <w:r w:rsidR="001C6C1E">
          <w:rPr>
            <w:noProof/>
            <w:webHidden/>
          </w:rPr>
          <w:tab/>
        </w:r>
        <w:r w:rsidR="001C6C1E">
          <w:rPr>
            <w:noProof/>
            <w:webHidden/>
          </w:rPr>
          <w:fldChar w:fldCharType="begin"/>
        </w:r>
        <w:r w:rsidR="001C6C1E">
          <w:rPr>
            <w:noProof/>
            <w:webHidden/>
          </w:rPr>
          <w:instrText xml:space="preserve"> PAGEREF _Toc83997363 \h </w:instrText>
        </w:r>
        <w:r w:rsidR="001C6C1E">
          <w:rPr>
            <w:noProof/>
            <w:webHidden/>
          </w:rPr>
        </w:r>
        <w:r w:rsidR="001C6C1E">
          <w:rPr>
            <w:noProof/>
            <w:webHidden/>
          </w:rPr>
          <w:fldChar w:fldCharType="separate"/>
        </w:r>
        <w:r w:rsidR="0067767C">
          <w:rPr>
            <w:noProof/>
            <w:webHidden/>
          </w:rPr>
          <w:t>58</w:t>
        </w:r>
        <w:r w:rsidR="001C6C1E">
          <w:rPr>
            <w:noProof/>
            <w:webHidden/>
          </w:rPr>
          <w:fldChar w:fldCharType="end"/>
        </w:r>
      </w:hyperlink>
    </w:p>
    <w:p w14:paraId="66EDCC60" w14:textId="3A57D735" w:rsidR="001C6C1E" w:rsidRDefault="00742092">
      <w:pPr>
        <w:pStyle w:val="Verzeichnis2"/>
        <w:rPr>
          <w:rFonts w:asciiTheme="minorHAnsi" w:eastAsiaTheme="minorEastAsia" w:hAnsiTheme="minorHAnsi" w:cstheme="minorBidi"/>
          <w:noProof/>
          <w:szCs w:val="22"/>
          <w:lang w:eastAsia="en-GB"/>
        </w:rPr>
      </w:pPr>
      <w:hyperlink w:anchor="_Toc83997364" w:history="1">
        <w:r w:rsidR="001C6C1E" w:rsidRPr="00C22CCB">
          <w:rPr>
            <w:rStyle w:val="Hyperlink"/>
            <w:i/>
            <w:iCs/>
            <w:noProof/>
          </w:rPr>
          <w:t>5.3.1</w:t>
        </w:r>
        <w:r w:rsidR="001C6C1E">
          <w:rPr>
            <w:rFonts w:asciiTheme="minorHAnsi" w:eastAsiaTheme="minorEastAsia" w:hAnsiTheme="minorHAnsi" w:cstheme="minorBidi"/>
            <w:noProof/>
            <w:szCs w:val="22"/>
            <w:lang w:eastAsia="en-GB"/>
          </w:rPr>
          <w:tab/>
        </w:r>
        <w:r w:rsidR="001C6C1E" w:rsidRPr="00C22CCB">
          <w:rPr>
            <w:rStyle w:val="Hyperlink"/>
            <w:i/>
            <w:iCs/>
            <w:noProof/>
          </w:rPr>
          <w:t>The principle of soil pollution thresholds: from screening value to risk prevention</w:t>
        </w:r>
        <w:r w:rsidR="001C6C1E">
          <w:rPr>
            <w:noProof/>
            <w:webHidden/>
          </w:rPr>
          <w:tab/>
        </w:r>
        <w:r w:rsidR="001C6C1E">
          <w:rPr>
            <w:noProof/>
            <w:webHidden/>
          </w:rPr>
          <w:fldChar w:fldCharType="begin"/>
        </w:r>
        <w:r w:rsidR="001C6C1E">
          <w:rPr>
            <w:noProof/>
            <w:webHidden/>
          </w:rPr>
          <w:instrText xml:space="preserve"> PAGEREF _Toc83997364 \h </w:instrText>
        </w:r>
        <w:r w:rsidR="001C6C1E">
          <w:rPr>
            <w:noProof/>
            <w:webHidden/>
          </w:rPr>
        </w:r>
        <w:r w:rsidR="001C6C1E">
          <w:rPr>
            <w:noProof/>
            <w:webHidden/>
          </w:rPr>
          <w:fldChar w:fldCharType="separate"/>
        </w:r>
        <w:r w:rsidR="0067767C">
          <w:rPr>
            <w:noProof/>
            <w:webHidden/>
          </w:rPr>
          <w:t>58</w:t>
        </w:r>
        <w:r w:rsidR="001C6C1E">
          <w:rPr>
            <w:noProof/>
            <w:webHidden/>
          </w:rPr>
          <w:fldChar w:fldCharType="end"/>
        </w:r>
      </w:hyperlink>
    </w:p>
    <w:p w14:paraId="4BC67975" w14:textId="15B003B8" w:rsidR="001C6C1E" w:rsidRDefault="00742092">
      <w:pPr>
        <w:pStyle w:val="Verzeichnis2"/>
        <w:rPr>
          <w:rFonts w:asciiTheme="minorHAnsi" w:eastAsiaTheme="minorEastAsia" w:hAnsiTheme="minorHAnsi" w:cstheme="minorBidi"/>
          <w:noProof/>
          <w:szCs w:val="22"/>
          <w:lang w:eastAsia="en-GB"/>
        </w:rPr>
      </w:pPr>
      <w:hyperlink w:anchor="_Toc83997365" w:history="1">
        <w:r w:rsidR="001C6C1E" w:rsidRPr="00C22CCB">
          <w:rPr>
            <w:rStyle w:val="Hyperlink"/>
            <w:i/>
            <w:iCs/>
            <w:noProof/>
          </w:rPr>
          <w:t>5.3.2</w:t>
        </w:r>
        <w:r w:rsidR="001C6C1E">
          <w:rPr>
            <w:rFonts w:asciiTheme="minorHAnsi" w:eastAsiaTheme="minorEastAsia" w:hAnsiTheme="minorHAnsi" w:cstheme="minorBidi"/>
            <w:noProof/>
            <w:szCs w:val="22"/>
            <w:lang w:eastAsia="en-GB"/>
          </w:rPr>
          <w:tab/>
        </w:r>
        <w:r w:rsidR="001C6C1E" w:rsidRPr="00C22CCB">
          <w:rPr>
            <w:rStyle w:val="Hyperlink"/>
            <w:i/>
            <w:iCs/>
            <w:noProof/>
          </w:rPr>
          <w:t>Knowledge base regarding thresholds for soil contamination</w:t>
        </w:r>
        <w:r w:rsidR="001C6C1E">
          <w:rPr>
            <w:noProof/>
            <w:webHidden/>
          </w:rPr>
          <w:tab/>
        </w:r>
        <w:r w:rsidR="001C6C1E">
          <w:rPr>
            <w:noProof/>
            <w:webHidden/>
          </w:rPr>
          <w:fldChar w:fldCharType="begin"/>
        </w:r>
        <w:r w:rsidR="001C6C1E">
          <w:rPr>
            <w:noProof/>
            <w:webHidden/>
          </w:rPr>
          <w:instrText xml:space="preserve"> PAGEREF _Toc83997365 \h </w:instrText>
        </w:r>
        <w:r w:rsidR="001C6C1E">
          <w:rPr>
            <w:noProof/>
            <w:webHidden/>
          </w:rPr>
        </w:r>
        <w:r w:rsidR="001C6C1E">
          <w:rPr>
            <w:noProof/>
            <w:webHidden/>
          </w:rPr>
          <w:fldChar w:fldCharType="separate"/>
        </w:r>
        <w:r w:rsidR="0067767C">
          <w:rPr>
            <w:noProof/>
            <w:webHidden/>
          </w:rPr>
          <w:t>60</w:t>
        </w:r>
        <w:r w:rsidR="001C6C1E">
          <w:rPr>
            <w:noProof/>
            <w:webHidden/>
          </w:rPr>
          <w:fldChar w:fldCharType="end"/>
        </w:r>
      </w:hyperlink>
    </w:p>
    <w:p w14:paraId="182E5DA4" w14:textId="29628625" w:rsidR="001C6C1E" w:rsidRDefault="00742092">
      <w:pPr>
        <w:pStyle w:val="Verzeichnis2"/>
        <w:rPr>
          <w:rFonts w:asciiTheme="minorHAnsi" w:eastAsiaTheme="minorEastAsia" w:hAnsiTheme="minorHAnsi" w:cstheme="minorBidi"/>
          <w:noProof/>
          <w:szCs w:val="22"/>
          <w:lang w:eastAsia="en-GB"/>
        </w:rPr>
      </w:pPr>
      <w:hyperlink w:anchor="_Toc83997366" w:history="1">
        <w:r w:rsidR="001C6C1E" w:rsidRPr="00C22CCB">
          <w:rPr>
            <w:rStyle w:val="Hyperlink"/>
            <w:i/>
            <w:iCs/>
            <w:noProof/>
          </w:rPr>
          <w:t>5.3.3</w:t>
        </w:r>
        <w:r w:rsidR="001C6C1E">
          <w:rPr>
            <w:rFonts w:asciiTheme="minorHAnsi" w:eastAsiaTheme="minorEastAsia" w:hAnsiTheme="minorHAnsi" w:cstheme="minorBidi"/>
            <w:noProof/>
            <w:szCs w:val="22"/>
            <w:lang w:eastAsia="en-GB"/>
          </w:rPr>
          <w:tab/>
        </w:r>
        <w:r w:rsidR="001C6C1E" w:rsidRPr="00C22CCB">
          <w:rPr>
            <w:rStyle w:val="Hyperlink"/>
            <w:i/>
            <w:iCs/>
            <w:noProof/>
          </w:rPr>
          <w:t>Currently known screening values</w:t>
        </w:r>
        <w:r w:rsidR="001C6C1E">
          <w:rPr>
            <w:noProof/>
            <w:webHidden/>
          </w:rPr>
          <w:tab/>
        </w:r>
        <w:r w:rsidR="001C6C1E">
          <w:rPr>
            <w:noProof/>
            <w:webHidden/>
          </w:rPr>
          <w:fldChar w:fldCharType="begin"/>
        </w:r>
        <w:r w:rsidR="001C6C1E">
          <w:rPr>
            <w:noProof/>
            <w:webHidden/>
          </w:rPr>
          <w:instrText xml:space="preserve"> PAGEREF _Toc83997366 \h </w:instrText>
        </w:r>
        <w:r w:rsidR="001C6C1E">
          <w:rPr>
            <w:noProof/>
            <w:webHidden/>
          </w:rPr>
        </w:r>
        <w:r w:rsidR="001C6C1E">
          <w:rPr>
            <w:noProof/>
            <w:webHidden/>
          </w:rPr>
          <w:fldChar w:fldCharType="separate"/>
        </w:r>
        <w:r w:rsidR="0067767C">
          <w:rPr>
            <w:noProof/>
            <w:webHidden/>
          </w:rPr>
          <w:t>62</w:t>
        </w:r>
        <w:r w:rsidR="001C6C1E">
          <w:rPr>
            <w:noProof/>
            <w:webHidden/>
          </w:rPr>
          <w:fldChar w:fldCharType="end"/>
        </w:r>
      </w:hyperlink>
    </w:p>
    <w:p w14:paraId="45CB11C7" w14:textId="5D840B90" w:rsidR="001C6C1E" w:rsidRDefault="00742092">
      <w:pPr>
        <w:pStyle w:val="Verzeichnis2"/>
        <w:rPr>
          <w:rFonts w:asciiTheme="minorHAnsi" w:eastAsiaTheme="minorEastAsia" w:hAnsiTheme="minorHAnsi" w:cstheme="minorBidi"/>
          <w:noProof/>
          <w:szCs w:val="22"/>
          <w:lang w:eastAsia="en-GB"/>
        </w:rPr>
      </w:pPr>
      <w:hyperlink w:anchor="_Toc83997367" w:history="1">
        <w:r w:rsidR="001C6C1E" w:rsidRPr="00C22CCB">
          <w:rPr>
            <w:rStyle w:val="Hyperlink"/>
            <w:noProof/>
          </w:rPr>
          <w:t>5.4</w:t>
        </w:r>
        <w:r w:rsidR="001C6C1E">
          <w:rPr>
            <w:rFonts w:asciiTheme="minorHAnsi" w:eastAsiaTheme="minorEastAsia" w:hAnsiTheme="minorHAnsi" w:cstheme="minorBidi"/>
            <w:noProof/>
            <w:szCs w:val="22"/>
            <w:lang w:eastAsia="en-GB"/>
          </w:rPr>
          <w:tab/>
        </w:r>
        <w:r w:rsidR="001C6C1E" w:rsidRPr="00C22CCB">
          <w:rPr>
            <w:rStyle w:val="Hyperlink"/>
            <w:noProof/>
          </w:rPr>
          <w:t>Development of an EU-wide harmonized approach</w:t>
        </w:r>
        <w:r w:rsidR="001C6C1E">
          <w:rPr>
            <w:noProof/>
            <w:webHidden/>
          </w:rPr>
          <w:tab/>
        </w:r>
        <w:r w:rsidR="001C6C1E">
          <w:rPr>
            <w:noProof/>
            <w:webHidden/>
          </w:rPr>
          <w:fldChar w:fldCharType="begin"/>
        </w:r>
        <w:r w:rsidR="001C6C1E">
          <w:rPr>
            <w:noProof/>
            <w:webHidden/>
          </w:rPr>
          <w:instrText xml:space="preserve"> PAGEREF _Toc83997367 \h </w:instrText>
        </w:r>
        <w:r w:rsidR="001C6C1E">
          <w:rPr>
            <w:noProof/>
            <w:webHidden/>
          </w:rPr>
        </w:r>
        <w:r w:rsidR="001C6C1E">
          <w:rPr>
            <w:noProof/>
            <w:webHidden/>
          </w:rPr>
          <w:fldChar w:fldCharType="separate"/>
        </w:r>
        <w:r w:rsidR="0067767C">
          <w:rPr>
            <w:noProof/>
            <w:webHidden/>
          </w:rPr>
          <w:t>64</w:t>
        </w:r>
        <w:r w:rsidR="001C6C1E">
          <w:rPr>
            <w:noProof/>
            <w:webHidden/>
          </w:rPr>
          <w:fldChar w:fldCharType="end"/>
        </w:r>
      </w:hyperlink>
    </w:p>
    <w:p w14:paraId="1A75D7C9" w14:textId="35742C23" w:rsidR="001C6C1E" w:rsidRDefault="00742092">
      <w:pPr>
        <w:pStyle w:val="Verzeichnis1"/>
        <w:rPr>
          <w:rFonts w:asciiTheme="minorHAnsi" w:eastAsiaTheme="minorEastAsia" w:hAnsiTheme="minorHAnsi" w:cstheme="minorBidi"/>
          <w:noProof/>
          <w:szCs w:val="22"/>
          <w:lang w:eastAsia="en-GB"/>
        </w:rPr>
      </w:pPr>
      <w:hyperlink w:anchor="_Toc83997368" w:history="1">
        <w:r w:rsidR="001C6C1E" w:rsidRPr="00C22CCB">
          <w:rPr>
            <w:rStyle w:val="Hyperlink"/>
            <w:noProof/>
          </w:rPr>
          <w:t>6</w:t>
        </w:r>
        <w:r w:rsidR="001C6C1E">
          <w:rPr>
            <w:rFonts w:asciiTheme="minorHAnsi" w:eastAsiaTheme="minorEastAsia" w:hAnsiTheme="minorHAnsi" w:cstheme="minorBidi"/>
            <w:noProof/>
            <w:szCs w:val="22"/>
            <w:lang w:eastAsia="en-GB"/>
          </w:rPr>
          <w:tab/>
        </w:r>
        <w:r w:rsidR="001C6C1E" w:rsidRPr="00C22CCB">
          <w:rPr>
            <w:rStyle w:val="Hyperlink"/>
            <w:noProof/>
          </w:rPr>
          <w:t>Soil biodiversity</w:t>
        </w:r>
        <w:r w:rsidR="001C6C1E">
          <w:rPr>
            <w:noProof/>
            <w:webHidden/>
          </w:rPr>
          <w:tab/>
        </w:r>
        <w:r w:rsidR="001C6C1E">
          <w:rPr>
            <w:noProof/>
            <w:webHidden/>
          </w:rPr>
          <w:fldChar w:fldCharType="begin"/>
        </w:r>
        <w:r w:rsidR="001C6C1E">
          <w:rPr>
            <w:noProof/>
            <w:webHidden/>
          </w:rPr>
          <w:instrText xml:space="preserve"> PAGEREF _Toc83997368 \h </w:instrText>
        </w:r>
        <w:r w:rsidR="001C6C1E">
          <w:rPr>
            <w:noProof/>
            <w:webHidden/>
          </w:rPr>
        </w:r>
        <w:r w:rsidR="001C6C1E">
          <w:rPr>
            <w:noProof/>
            <w:webHidden/>
          </w:rPr>
          <w:fldChar w:fldCharType="separate"/>
        </w:r>
        <w:r w:rsidR="0067767C">
          <w:rPr>
            <w:noProof/>
            <w:webHidden/>
          </w:rPr>
          <w:t>66</w:t>
        </w:r>
        <w:r w:rsidR="001C6C1E">
          <w:rPr>
            <w:noProof/>
            <w:webHidden/>
          </w:rPr>
          <w:fldChar w:fldCharType="end"/>
        </w:r>
      </w:hyperlink>
    </w:p>
    <w:p w14:paraId="35E4015A" w14:textId="2E5F5B22" w:rsidR="001C6C1E" w:rsidRDefault="00742092">
      <w:pPr>
        <w:pStyle w:val="Verzeichnis2"/>
        <w:rPr>
          <w:rFonts w:asciiTheme="minorHAnsi" w:eastAsiaTheme="minorEastAsia" w:hAnsiTheme="minorHAnsi" w:cstheme="minorBidi"/>
          <w:noProof/>
          <w:szCs w:val="22"/>
          <w:lang w:eastAsia="en-GB"/>
        </w:rPr>
      </w:pPr>
      <w:hyperlink w:anchor="_Toc83997369" w:history="1">
        <w:r w:rsidR="001C6C1E" w:rsidRPr="00C22CCB">
          <w:rPr>
            <w:rStyle w:val="Hyperlink"/>
            <w:noProof/>
          </w:rPr>
          <w:t>6.1</w:t>
        </w:r>
        <w:r w:rsidR="001C6C1E">
          <w:rPr>
            <w:rFonts w:asciiTheme="minorHAnsi" w:eastAsiaTheme="minorEastAsia" w:hAnsiTheme="minorHAnsi" w:cstheme="minorBidi"/>
            <w:noProof/>
            <w:szCs w:val="22"/>
            <w:lang w:eastAsia="en-GB"/>
          </w:rPr>
          <w:tab/>
        </w:r>
        <w:r w:rsidR="001C6C1E" w:rsidRPr="00C22CCB">
          <w:rPr>
            <w:rStyle w:val="Hyperlink"/>
            <w:noProof/>
          </w:rPr>
          <w:t>Rationale “Loss of Soil Biodiversity”</w:t>
        </w:r>
        <w:r w:rsidR="001C6C1E">
          <w:rPr>
            <w:noProof/>
            <w:webHidden/>
          </w:rPr>
          <w:tab/>
        </w:r>
        <w:r w:rsidR="001C6C1E">
          <w:rPr>
            <w:noProof/>
            <w:webHidden/>
          </w:rPr>
          <w:fldChar w:fldCharType="begin"/>
        </w:r>
        <w:r w:rsidR="001C6C1E">
          <w:rPr>
            <w:noProof/>
            <w:webHidden/>
          </w:rPr>
          <w:instrText xml:space="preserve"> PAGEREF _Toc83997369 \h </w:instrText>
        </w:r>
        <w:r w:rsidR="001C6C1E">
          <w:rPr>
            <w:noProof/>
            <w:webHidden/>
          </w:rPr>
        </w:r>
        <w:r w:rsidR="001C6C1E">
          <w:rPr>
            <w:noProof/>
            <w:webHidden/>
          </w:rPr>
          <w:fldChar w:fldCharType="separate"/>
        </w:r>
        <w:r w:rsidR="0067767C">
          <w:rPr>
            <w:noProof/>
            <w:webHidden/>
          </w:rPr>
          <w:t>66</w:t>
        </w:r>
        <w:r w:rsidR="001C6C1E">
          <w:rPr>
            <w:noProof/>
            <w:webHidden/>
          </w:rPr>
          <w:fldChar w:fldCharType="end"/>
        </w:r>
      </w:hyperlink>
    </w:p>
    <w:p w14:paraId="0714B08A" w14:textId="4D703389" w:rsidR="001C6C1E" w:rsidRDefault="00742092">
      <w:pPr>
        <w:pStyle w:val="Verzeichnis2"/>
        <w:rPr>
          <w:rFonts w:asciiTheme="minorHAnsi" w:eastAsiaTheme="minorEastAsia" w:hAnsiTheme="minorHAnsi" w:cstheme="minorBidi"/>
          <w:noProof/>
          <w:szCs w:val="22"/>
          <w:lang w:eastAsia="en-GB"/>
        </w:rPr>
      </w:pPr>
      <w:hyperlink w:anchor="_Toc83997370" w:history="1">
        <w:r w:rsidR="001C6C1E" w:rsidRPr="00C22CCB">
          <w:rPr>
            <w:rStyle w:val="Hyperlink"/>
            <w:noProof/>
          </w:rPr>
          <w:t>6.2</w:t>
        </w:r>
        <w:r w:rsidR="001C6C1E">
          <w:rPr>
            <w:rFonts w:asciiTheme="minorHAnsi" w:eastAsiaTheme="minorEastAsia" w:hAnsiTheme="minorHAnsi" w:cstheme="minorBidi"/>
            <w:noProof/>
            <w:szCs w:val="22"/>
            <w:lang w:eastAsia="en-GB"/>
          </w:rPr>
          <w:tab/>
        </w:r>
        <w:r w:rsidR="001C6C1E" w:rsidRPr="00C22CCB">
          <w:rPr>
            <w:rStyle w:val="Hyperlink"/>
            <w:noProof/>
          </w:rPr>
          <w:t>Soil biological indicators: state of the art</w:t>
        </w:r>
        <w:r w:rsidR="001C6C1E">
          <w:rPr>
            <w:noProof/>
            <w:webHidden/>
          </w:rPr>
          <w:tab/>
        </w:r>
        <w:r w:rsidR="001C6C1E">
          <w:rPr>
            <w:noProof/>
            <w:webHidden/>
          </w:rPr>
          <w:fldChar w:fldCharType="begin"/>
        </w:r>
        <w:r w:rsidR="001C6C1E">
          <w:rPr>
            <w:noProof/>
            <w:webHidden/>
          </w:rPr>
          <w:instrText xml:space="preserve"> PAGEREF _Toc83997370 \h </w:instrText>
        </w:r>
        <w:r w:rsidR="001C6C1E">
          <w:rPr>
            <w:noProof/>
            <w:webHidden/>
          </w:rPr>
        </w:r>
        <w:r w:rsidR="001C6C1E">
          <w:rPr>
            <w:noProof/>
            <w:webHidden/>
          </w:rPr>
          <w:fldChar w:fldCharType="separate"/>
        </w:r>
        <w:r w:rsidR="0067767C">
          <w:rPr>
            <w:noProof/>
            <w:webHidden/>
          </w:rPr>
          <w:t>67</w:t>
        </w:r>
        <w:r w:rsidR="001C6C1E">
          <w:rPr>
            <w:noProof/>
            <w:webHidden/>
          </w:rPr>
          <w:fldChar w:fldCharType="end"/>
        </w:r>
      </w:hyperlink>
    </w:p>
    <w:p w14:paraId="3FC5659D" w14:textId="197AE515" w:rsidR="001C6C1E" w:rsidRDefault="00742092">
      <w:pPr>
        <w:pStyle w:val="Verzeichnis2"/>
        <w:rPr>
          <w:rFonts w:asciiTheme="minorHAnsi" w:eastAsiaTheme="minorEastAsia" w:hAnsiTheme="minorHAnsi" w:cstheme="minorBidi"/>
          <w:noProof/>
          <w:szCs w:val="22"/>
          <w:lang w:eastAsia="en-GB"/>
        </w:rPr>
      </w:pPr>
      <w:hyperlink w:anchor="_Toc83997371" w:history="1">
        <w:r w:rsidR="001C6C1E" w:rsidRPr="00C22CCB">
          <w:rPr>
            <w:rStyle w:val="Hyperlink"/>
            <w:i/>
            <w:iCs/>
            <w:noProof/>
          </w:rPr>
          <w:t>6.2.1</w:t>
        </w:r>
        <w:r w:rsidR="001C6C1E">
          <w:rPr>
            <w:rFonts w:asciiTheme="minorHAnsi" w:eastAsiaTheme="minorEastAsia" w:hAnsiTheme="minorHAnsi" w:cstheme="minorBidi"/>
            <w:noProof/>
            <w:szCs w:val="22"/>
            <w:lang w:eastAsia="en-GB"/>
          </w:rPr>
          <w:tab/>
        </w:r>
        <w:r w:rsidR="001C6C1E" w:rsidRPr="00C22CCB">
          <w:rPr>
            <w:rStyle w:val="Hyperlink"/>
            <w:i/>
            <w:iCs/>
            <w:noProof/>
          </w:rPr>
          <w:t>Concepts for identifying soil biodiversity indicators</w:t>
        </w:r>
        <w:r w:rsidR="001C6C1E">
          <w:rPr>
            <w:noProof/>
            <w:webHidden/>
          </w:rPr>
          <w:tab/>
        </w:r>
        <w:r w:rsidR="001C6C1E">
          <w:rPr>
            <w:noProof/>
            <w:webHidden/>
          </w:rPr>
          <w:fldChar w:fldCharType="begin"/>
        </w:r>
        <w:r w:rsidR="001C6C1E">
          <w:rPr>
            <w:noProof/>
            <w:webHidden/>
          </w:rPr>
          <w:instrText xml:space="preserve"> PAGEREF _Toc83997371 \h </w:instrText>
        </w:r>
        <w:r w:rsidR="001C6C1E">
          <w:rPr>
            <w:noProof/>
            <w:webHidden/>
          </w:rPr>
        </w:r>
        <w:r w:rsidR="001C6C1E">
          <w:rPr>
            <w:noProof/>
            <w:webHidden/>
          </w:rPr>
          <w:fldChar w:fldCharType="separate"/>
        </w:r>
        <w:r w:rsidR="0067767C">
          <w:rPr>
            <w:noProof/>
            <w:webHidden/>
          </w:rPr>
          <w:t>68</w:t>
        </w:r>
        <w:r w:rsidR="001C6C1E">
          <w:rPr>
            <w:noProof/>
            <w:webHidden/>
          </w:rPr>
          <w:fldChar w:fldCharType="end"/>
        </w:r>
      </w:hyperlink>
    </w:p>
    <w:p w14:paraId="12D81CD1" w14:textId="610AA5D1" w:rsidR="001C6C1E" w:rsidRDefault="00742092">
      <w:pPr>
        <w:pStyle w:val="Verzeichnis2"/>
        <w:rPr>
          <w:rFonts w:asciiTheme="minorHAnsi" w:eastAsiaTheme="minorEastAsia" w:hAnsiTheme="minorHAnsi" w:cstheme="minorBidi"/>
          <w:noProof/>
          <w:szCs w:val="22"/>
          <w:lang w:eastAsia="en-GB"/>
        </w:rPr>
      </w:pPr>
      <w:hyperlink w:anchor="_Toc83997372" w:history="1">
        <w:r w:rsidR="001C6C1E" w:rsidRPr="00C22CCB">
          <w:rPr>
            <w:rStyle w:val="Hyperlink"/>
            <w:i/>
            <w:iCs/>
            <w:noProof/>
          </w:rPr>
          <w:t>6.2.2</w:t>
        </w:r>
        <w:r w:rsidR="001C6C1E">
          <w:rPr>
            <w:rFonts w:asciiTheme="minorHAnsi" w:eastAsiaTheme="minorEastAsia" w:hAnsiTheme="minorHAnsi" w:cstheme="minorBidi"/>
            <w:noProof/>
            <w:szCs w:val="22"/>
            <w:lang w:eastAsia="en-GB"/>
          </w:rPr>
          <w:tab/>
        </w:r>
        <w:r w:rsidR="001C6C1E" w:rsidRPr="00C22CCB">
          <w:rPr>
            <w:rStyle w:val="Hyperlink"/>
            <w:i/>
            <w:iCs/>
            <w:noProof/>
          </w:rPr>
          <w:t>Experiences from applying soil biological parameters in soil monitoring</w:t>
        </w:r>
        <w:r w:rsidR="001C6C1E">
          <w:rPr>
            <w:noProof/>
            <w:webHidden/>
          </w:rPr>
          <w:tab/>
        </w:r>
        <w:r w:rsidR="001C6C1E">
          <w:rPr>
            <w:noProof/>
            <w:webHidden/>
          </w:rPr>
          <w:fldChar w:fldCharType="begin"/>
        </w:r>
        <w:r w:rsidR="001C6C1E">
          <w:rPr>
            <w:noProof/>
            <w:webHidden/>
          </w:rPr>
          <w:instrText xml:space="preserve"> PAGEREF _Toc83997372 \h </w:instrText>
        </w:r>
        <w:r w:rsidR="001C6C1E">
          <w:rPr>
            <w:noProof/>
            <w:webHidden/>
          </w:rPr>
        </w:r>
        <w:r w:rsidR="001C6C1E">
          <w:rPr>
            <w:noProof/>
            <w:webHidden/>
          </w:rPr>
          <w:fldChar w:fldCharType="separate"/>
        </w:r>
        <w:r w:rsidR="0067767C">
          <w:rPr>
            <w:noProof/>
            <w:webHidden/>
          </w:rPr>
          <w:t>70</w:t>
        </w:r>
        <w:r w:rsidR="001C6C1E">
          <w:rPr>
            <w:noProof/>
            <w:webHidden/>
          </w:rPr>
          <w:fldChar w:fldCharType="end"/>
        </w:r>
      </w:hyperlink>
    </w:p>
    <w:p w14:paraId="07D63D2B" w14:textId="32372C31" w:rsidR="001C6C1E" w:rsidRDefault="00742092">
      <w:pPr>
        <w:pStyle w:val="Verzeichnis2"/>
        <w:rPr>
          <w:rFonts w:asciiTheme="minorHAnsi" w:eastAsiaTheme="minorEastAsia" w:hAnsiTheme="minorHAnsi" w:cstheme="minorBidi"/>
          <w:noProof/>
          <w:szCs w:val="22"/>
          <w:lang w:eastAsia="en-GB"/>
        </w:rPr>
      </w:pPr>
      <w:hyperlink w:anchor="_Toc83997373" w:history="1">
        <w:r w:rsidR="001C6C1E" w:rsidRPr="00C22CCB">
          <w:rPr>
            <w:rStyle w:val="Hyperlink"/>
            <w:i/>
            <w:iCs/>
            <w:noProof/>
          </w:rPr>
          <w:t>6.2.3</w:t>
        </w:r>
        <w:r w:rsidR="001C6C1E">
          <w:rPr>
            <w:rFonts w:asciiTheme="minorHAnsi" w:eastAsiaTheme="minorEastAsia" w:hAnsiTheme="minorHAnsi" w:cstheme="minorBidi"/>
            <w:noProof/>
            <w:szCs w:val="22"/>
            <w:lang w:eastAsia="en-GB"/>
          </w:rPr>
          <w:tab/>
        </w:r>
        <w:r w:rsidR="001C6C1E" w:rsidRPr="00C22CCB">
          <w:rPr>
            <w:rStyle w:val="Hyperlink"/>
            <w:i/>
            <w:iCs/>
            <w:noProof/>
          </w:rPr>
          <w:t>Data bases in support of baselines</w:t>
        </w:r>
        <w:r w:rsidR="001C6C1E">
          <w:rPr>
            <w:noProof/>
            <w:webHidden/>
          </w:rPr>
          <w:tab/>
        </w:r>
        <w:r w:rsidR="001C6C1E">
          <w:rPr>
            <w:noProof/>
            <w:webHidden/>
          </w:rPr>
          <w:fldChar w:fldCharType="begin"/>
        </w:r>
        <w:r w:rsidR="001C6C1E">
          <w:rPr>
            <w:noProof/>
            <w:webHidden/>
          </w:rPr>
          <w:instrText xml:space="preserve"> PAGEREF _Toc83997373 \h </w:instrText>
        </w:r>
        <w:r w:rsidR="001C6C1E">
          <w:rPr>
            <w:noProof/>
            <w:webHidden/>
          </w:rPr>
        </w:r>
        <w:r w:rsidR="001C6C1E">
          <w:rPr>
            <w:noProof/>
            <w:webHidden/>
          </w:rPr>
          <w:fldChar w:fldCharType="separate"/>
        </w:r>
        <w:r w:rsidR="0067767C">
          <w:rPr>
            <w:noProof/>
            <w:webHidden/>
          </w:rPr>
          <w:t>71</w:t>
        </w:r>
        <w:r w:rsidR="001C6C1E">
          <w:rPr>
            <w:noProof/>
            <w:webHidden/>
          </w:rPr>
          <w:fldChar w:fldCharType="end"/>
        </w:r>
      </w:hyperlink>
    </w:p>
    <w:p w14:paraId="40F559C9" w14:textId="6E523574" w:rsidR="001C6C1E" w:rsidRDefault="00742092">
      <w:pPr>
        <w:pStyle w:val="Verzeichnis2"/>
        <w:rPr>
          <w:rFonts w:asciiTheme="minorHAnsi" w:eastAsiaTheme="minorEastAsia" w:hAnsiTheme="minorHAnsi" w:cstheme="minorBidi"/>
          <w:noProof/>
          <w:szCs w:val="22"/>
          <w:lang w:eastAsia="en-GB"/>
        </w:rPr>
      </w:pPr>
      <w:hyperlink w:anchor="_Toc83997374" w:history="1">
        <w:r w:rsidR="001C6C1E" w:rsidRPr="00C22CCB">
          <w:rPr>
            <w:rStyle w:val="Hyperlink"/>
            <w:i/>
            <w:iCs/>
            <w:noProof/>
          </w:rPr>
          <w:t>6.2.4</w:t>
        </w:r>
        <w:r w:rsidR="001C6C1E">
          <w:rPr>
            <w:rFonts w:asciiTheme="minorHAnsi" w:eastAsiaTheme="minorEastAsia" w:hAnsiTheme="minorHAnsi" w:cstheme="minorBidi"/>
            <w:noProof/>
            <w:szCs w:val="22"/>
            <w:lang w:eastAsia="en-GB"/>
          </w:rPr>
          <w:tab/>
        </w:r>
        <w:r w:rsidR="001C6C1E" w:rsidRPr="00C22CCB">
          <w:rPr>
            <w:rStyle w:val="Hyperlink"/>
            <w:i/>
            <w:iCs/>
            <w:noProof/>
          </w:rPr>
          <w:t>Concepts for proxy indicators for spatial mapping and combined approaches</w:t>
        </w:r>
        <w:r w:rsidR="001C6C1E">
          <w:rPr>
            <w:noProof/>
            <w:webHidden/>
          </w:rPr>
          <w:tab/>
        </w:r>
        <w:r w:rsidR="001C6C1E">
          <w:rPr>
            <w:noProof/>
            <w:webHidden/>
          </w:rPr>
          <w:fldChar w:fldCharType="begin"/>
        </w:r>
        <w:r w:rsidR="001C6C1E">
          <w:rPr>
            <w:noProof/>
            <w:webHidden/>
          </w:rPr>
          <w:instrText xml:space="preserve"> PAGEREF _Toc83997374 \h </w:instrText>
        </w:r>
        <w:r w:rsidR="001C6C1E">
          <w:rPr>
            <w:noProof/>
            <w:webHidden/>
          </w:rPr>
        </w:r>
        <w:r w:rsidR="001C6C1E">
          <w:rPr>
            <w:noProof/>
            <w:webHidden/>
          </w:rPr>
          <w:fldChar w:fldCharType="separate"/>
        </w:r>
        <w:r w:rsidR="0067767C">
          <w:rPr>
            <w:noProof/>
            <w:webHidden/>
          </w:rPr>
          <w:t>71</w:t>
        </w:r>
        <w:r w:rsidR="001C6C1E">
          <w:rPr>
            <w:noProof/>
            <w:webHidden/>
          </w:rPr>
          <w:fldChar w:fldCharType="end"/>
        </w:r>
      </w:hyperlink>
    </w:p>
    <w:p w14:paraId="1F825295" w14:textId="508A8DAA" w:rsidR="001C6C1E" w:rsidRDefault="00742092">
      <w:pPr>
        <w:pStyle w:val="Verzeichnis2"/>
        <w:rPr>
          <w:rFonts w:asciiTheme="minorHAnsi" w:eastAsiaTheme="minorEastAsia" w:hAnsiTheme="minorHAnsi" w:cstheme="minorBidi"/>
          <w:noProof/>
          <w:szCs w:val="22"/>
          <w:lang w:eastAsia="en-GB"/>
        </w:rPr>
      </w:pPr>
      <w:hyperlink w:anchor="_Toc83997375" w:history="1">
        <w:r w:rsidR="001C6C1E" w:rsidRPr="00C22CCB">
          <w:rPr>
            <w:rStyle w:val="Hyperlink"/>
            <w:i/>
            <w:iCs/>
            <w:noProof/>
          </w:rPr>
          <w:t>6.2.5</w:t>
        </w:r>
        <w:r w:rsidR="001C6C1E">
          <w:rPr>
            <w:rFonts w:asciiTheme="minorHAnsi" w:eastAsiaTheme="minorEastAsia" w:hAnsiTheme="minorHAnsi" w:cstheme="minorBidi"/>
            <w:noProof/>
            <w:szCs w:val="22"/>
            <w:lang w:eastAsia="en-GB"/>
          </w:rPr>
          <w:tab/>
        </w:r>
        <w:r w:rsidR="001C6C1E" w:rsidRPr="00C22CCB">
          <w:rPr>
            <w:rStyle w:val="Hyperlink"/>
            <w:i/>
            <w:iCs/>
            <w:noProof/>
          </w:rPr>
          <w:t>Additional aspects to consider during soil biodiversity monitoring</w:t>
        </w:r>
        <w:r w:rsidR="001C6C1E">
          <w:rPr>
            <w:noProof/>
            <w:webHidden/>
          </w:rPr>
          <w:tab/>
        </w:r>
        <w:r w:rsidR="001C6C1E">
          <w:rPr>
            <w:noProof/>
            <w:webHidden/>
          </w:rPr>
          <w:fldChar w:fldCharType="begin"/>
        </w:r>
        <w:r w:rsidR="001C6C1E">
          <w:rPr>
            <w:noProof/>
            <w:webHidden/>
          </w:rPr>
          <w:instrText xml:space="preserve"> PAGEREF _Toc83997375 \h </w:instrText>
        </w:r>
        <w:r w:rsidR="001C6C1E">
          <w:rPr>
            <w:noProof/>
            <w:webHidden/>
          </w:rPr>
        </w:r>
        <w:r w:rsidR="001C6C1E">
          <w:rPr>
            <w:noProof/>
            <w:webHidden/>
          </w:rPr>
          <w:fldChar w:fldCharType="separate"/>
        </w:r>
        <w:r w:rsidR="0067767C">
          <w:rPr>
            <w:noProof/>
            <w:webHidden/>
          </w:rPr>
          <w:t>73</w:t>
        </w:r>
        <w:r w:rsidR="001C6C1E">
          <w:rPr>
            <w:noProof/>
            <w:webHidden/>
          </w:rPr>
          <w:fldChar w:fldCharType="end"/>
        </w:r>
      </w:hyperlink>
    </w:p>
    <w:p w14:paraId="65A6DA72" w14:textId="658DD55C" w:rsidR="001C6C1E" w:rsidRDefault="00742092">
      <w:pPr>
        <w:pStyle w:val="Verzeichnis2"/>
        <w:rPr>
          <w:rFonts w:asciiTheme="minorHAnsi" w:eastAsiaTheme="minorEastAsia" w:hAnsiTheme="minorHAnsi" w:cstheme="minorBidi"/>
          <w:noProof/>
          <w:szCs w:val="22"/>
          <w:lang w:eastAsia="en-GB"/>
        </w:rPr>
      </w:pPr>
      <w:hyperlink w:anchor="_Toc83997376" w:history="1">
        <w:r w:rsidR="001C6C1E" w:rsidRPr="00C22CCB">
          <w:rPr>
            <w:rStyle w:val="Hyperlink"/>
            <w:noProof/>
          </w:rPr>
          <w:t>6.3</w:t>
        </w:r>
        <w:r w:rsidR="001C6C1E">
          <w:rPr>
            <w:rFonts w:asciiTheme="minorHAnsi" w:eastAsiaTheme="minorEastAsia" w:hAnsiTheme="minorHAnsi" w:cstheme="minorBidi"/>
            <w:noProof/>
            <w:szCs w:val="22"/>
            <w:lang w:eastAsia="en-GB"/>
          </w:rPr>
          <w:tab/>
        </w:r>
        <w:r w:rsidR="001C6C1E" w:rsidRPr="00C22CCB">
          <w:rPr>
            <w:rStyle w:val="Hyperlink"/>
            <w:noProof/>
          </w:rPr>
          <w:t>Baseline and threshold values</w:t>
        </w:r>
        <w:r w:rsidR="001C6C1E">
          <w:rPr>
            <w:noProof/>
            <w:webHidden/>
          </w:rPr>
          <w:tab/>
        </w:r>
        <w:r w:rsidR="001C6C1E">
          <w:rPr>
            <w:noProof/>
            <w:webHidden/>
          </w:rPr>
          <w:fldChar w:fldCharType="begin"/>
        </w:r>
        <w:r w:rsidR="001C6C1E">
          <w:rPr>
            <w:noProof/>
            <w:webHidden/>
          </w:rPr>
          <w:instrText xml:space="preserve"> PAGEREF _Toc83997376 \h </w:instrText>
        </w:r>
        <w:r w:rsidR="001C6C1E">
          <w:rPr>
            <w:noProof/>
            <w:webHidden/>
          </w:rPr>
        </w:r>
        <w:r w:rsidR="001C6C1E">
          <w:rPr>
            <w:noProof/>
            <w:webHidden/>
          </w:rPr>
          <w:fldChar w:fldCharType="separate"/>
        </w:r>
        <w:r w:rsidR="0067767C">
          <w:rPr>
            <w:noProof/>
            <w:webHidden/>
          </w:rPr>
          <w:t>73</w:t>
        </w:r>
        <w:r w:rsidR="001C6C1E">
          <w:rPr>
            <w:noProof/>
            <w:webHidden/>
          </w:rPr>
          <w:fldChar w:fldCharType="end"/>
        </w:r>
      </w:hyperlink>
    </w:p>
    <w:p w14:paraId="4D1729B8" w14:textId="488A2DDF" w:rsidR="001C6C1E" w:rsidRDefault="00742092">
      <w:pPr>
        <w:pStyle w:val="Verzeichnis2"/>
        <w:rPr>
          <w:rFonts w:asciiTheme="minorHAnsi" w:eastAsiaTheme="minorEastAsia" w:hAnsiTheme="minorHAnsi" w:cstheme="minorBidi"/>
          <w:noProof/>
          <w:szCs w:val="22"/>
          <w:lang w:eastAsia="en-GB"/>
        </w:rPr>
      </w:pPr>
      <w:hyperlink w:anchor="_Toc83997377" w:history="1">
        <w:r w:rsidR="001C6C1E" w:rsidRPr="00C22CCB">
          <w:rPr>
            <w:rStyle w:val="Hyperlink"/>
            <w:i/>
            <w:iCs/>
            <w:noProof/>
          </w:rPr>
          <w:t>6.3.1</w:t>
        </w:r>
        <w:r w:rsidR="001C6C1E">
          <w:rPr>
            <w:rFonts w:asciiTheme="minorHAnsi" w:eastAsiaTheme="minorEastAsia" w:hAnsiTheme="minorHAnsi" w:cstheme="minorBidi"/>
            <w:noProof/>
            <w:szCs w:val="22"/>
            <w:lang w:eastAsia="en-GB"/>
          </w:rPr>
          <w:tab/>
        </w:r>
        <w:r w:rsidR="001C6C1E" w:rsidRPr="00C22CCB">
          <w:rPr>
            <w:rStyle w:val="Hyperlink"/>
            <w:i/>
            <w:iCs/>
            <w:noProof/>
          </w:rPr>
          <w:t>Definitions</w:t>
        </w:r>
        <w:r w:rsidR="001C6C1E">
          <w:rPr>
            <w:noProof/>
            <w:webHidden/>
          </w:rPr>
          <w:tab/>
        </w:r>
        <w:r w:rsidR="001C6C1E">
          <w:rPr>
            <w:noProof/>
            <w:webHidden/>
          </w:rPr>
          <w:fldChar w:fldCharType="begin"/>
        </w:r>
        <w:r w:rsidR="001C6C1E">
          <w:rPr>
            <w:noProof/>
            <w:webHidden/>
          </w:rPr>
          <w:instrText xml:space="preserve"> PAGEREF _Toc83997377 \h </w:instrText>
        </w:r>
        <w:r w:rsidR="001C6C1E">
          <w:rPr>
            <w:noProof/>
            <w:webHidden/>
          </w:rPr>
        </w:r>
        <w:r w:rsidR="001C6C1E">
          <w:rPr>
            <w:noProof/>
            <w:webHidden/>
          </w:rPr>
          <w:fldChar w:fldCharType="separate"/>
        </w:r>
        <w:r w:rsidR="0067767C">
          <w:rPr>
            <w:noProof/>
            <w:webHidden/>
          </w:rPr>
          <w:t>73</w:t>
        </w:r>
        <w:r w:rsidR="001C6C1E">
          <w:rPr>
            <w:noProof/>
            <w:webHidden/>
          </w:rPr>
          <w:fldChar w:fldCharType="end"/>
        </w:r>
      </w:hyperlink>
    </w:p>
    <w:p w14:paraId="0CA85DAD" w14:textId="61A85E70" w:rsidR="001C6C1E" w:rsidRDefault="00742092">
      <w:pPr>
        <w:pStyle w:val="Verzeichnis2"/>
        <w:rPr>
          <w:rFonts w:asciiTheme="minorHAnsi" w:eastAsiaTheme="minorEastAsia" w:hAnsiTheme="minorHAnsi" w:cstheme="minorBidi"/>
          <w:noProof/>
          <w:szCs w:val="22"/>
          <w:lang w:eastAsia="en-GB"/>
        </w:rPr>
      </w:pPr>
      <w:hyperlink w:anchor="_Toc83997378" w:history="1">
        <w:r w:rsidR="001C6C1E" w:rsidRPr="00C22CCB">
          <w:rPr>
            <w:rStyle w:val="Hyperlink"/>
            <w:i/>
            <w:iCs/>
            <w:noProof/>
          </w:rPr>
          <w:t>6.3.2</w:t>
        </w:r>
        <w:r w:rsidR="001C6C1E">
          <w:rPr>
            <w:rFonts w:asciiTheme="minorHAnsi" w:eastAsiaTheme="minorEastAsia" w:hAnsiTheme="minorHAnsi" w:cstheme="minorBidi"/>
            <w:noProof/>
            <w:szCs w:val="22"/>
            <w:lang w:eastAsia="en-GB"/>
          </w:rPr>
          <w:tab/>
        </w:r>
        <w:r w:rsidR="001C6C1E" w:rsidRPr="00C22CCB">
          <w:rPr>
            <w:rStyle w:val="Hyperlink"/>
            <w:i/>
            <w:iCs/>
            <w:noProof/>
          </w:rPr>
          <w:t>Operating ranges for key soil organisms</w:t>
        </w:r>
        <w:r w:rsidR="001C6C1E">
          <w:rPr>
            <w:noProof/>
            <w:webHidden/>
          </w:rPr>
          <w:tab/>
        </w:r>
        <w:r w:rsidR="001C6C1E">
          <w:rPr>
            <w:noProof/>
            <w:webHidden/>
          </w:rPr>
          <w:fldChar w:fldCharType="begin"/>
        </w:r>
        <w:r w:rsidR="001C6C1E">
          <w:rPr>
            <w:noProof/>
            <w:webHidden/>
          </w:rPr>
          <w:instrText xml:space="preserve"> PAGEREF _Toc83997378 \h </w:instrText>
        </w:r>
        <w:r w:rsidR="001C6C1E">
          <w:rPr>
            <w:noProof/>
            <w:webHidden/>
          </w:rPr>
        </w:r>
        <w:r w:rsidR="001C6C1E">
          <w:rPr>
            <w:noProof/>
            <w:webHidden/>
          </w:rPr>
          <w:fldChar w:fldCharType="separate"/>
        </w:r>
        <w:r w:rsidR="0067767C">
          <w:rPr>
            <w:noProof/>
            <w:webHidden/>
          </w:rPr>
          <w:t>75</w:t>
        </w:r>
        <w:r w:rsidR="001C6C1E">
          <w:rPr>
            <w:noProof/>
            <w:webHidden/>
          </w:rPr>
          <w:fldChar w:fldCharType="end"/>
        </w:r>
      </w:hyperlink>
    </w:p>
    <w:p w14:paraId="321E638E" w14:textId="79D31A54" w:rsidR="001C6C1E" w:rsidRDefault="00742092">
      <w:pPr>
        <w:pStyle w:val="Verzeichnis1"/>
        <w:rPr>
          <w:rFonts w:asciiTheme="minorHAnsi" w:eastAsiaTheme="minorEastAsia" w:hAnsiTheme="minorHAnsi" w:cstheme="minorBidi"/>
          <w:noProof/>
          <w:szCs w:val="22"/>
          <w:lang w:eastAsia="en-GB"/>
        </w:rPr>
      </w:pPr>
      <w:hyperlink w:anchor="_Toc83997379" w:history="1">
        <w:r w:rsidR="001C6C1E" w:rsidRPr="00C22CCB">
          <w:rPr>
            <w:rStyle w:val="Hyperlink"/>
            <w:noProof/>
          </w:rPr>
          <w:t>7</w:t>
        </w:r>
        <w:r w:rsidR="001C6C1E">
          <w:rPr>
            <w:rFonts w:asciiTheme="minorHAnsi" w:eastAsiaTheme="minorEastAsia" w:hAnsiTheme="minorHAnsi" w:cstheme="minorBidi"/>
            <w:noProof/>
            <w:szCs w:val="22"/>
            <w:lang w:eastAsia="en-GB"/>
          </w:rPr>
          <w:tab/>
        </w:r>
        <w:r w:rsidR="001C6C1E" w:rsidRPr="00C22CCB">
          <w:rPr>
            <w:rStyle w:val="Hyperlink"/>
            <w:noProof/>
          </w:rPr>
          <w:t>Soil erosion</w:t>
        </w:r>
        <w:r w:rsidR="001C6C1E">
          <w:rPr>
            <w:noProof/>
            <w:webHidden/>
          </w:rPr>
          <w:tab/>
        </w:r>
        <w:r w:rsidR="001C6C1E">
          <w:rPr>
            <w:noProof/>
            <w:webHidden/>
          </w:rPr>
          <w:fldChar w:fldCharType="begin"/>
        </w:r>
        <w:r w:rsidR="001C6C1E">
          <w:rPr>
            <w:noProof/>
            <w:webHidden/>
          </w:rPr>
          <w:instrText xml:space="preserve"> PAGEREF _Toc83997379 \h </w:instrText>
        </w:r>
        <w:r w:rsidR="001C6C1E">
          <w:rPr>
            <w:noProof/>
            <w:webHidden/>
          </w:rPr>
        </w:r>
        <w:r w:rsidR="001C6C1E">
          <w:rPr>
            <w:noProof/>
            <w:webHidden/>
          </w:rPr>
          <w:fldChar w:fldCharType="separate"/>
        </w:r>
        <w:r w:rsidR="0067767C">
          <w:rPr>
            <w:noProof/>
            <w:webHidden/>
          </w:rPr>
          <w:t>77</w:t>
        </w:r>
        <w:r w:rsidR="001C6C1E">
          <w:rPr>
            <w:noProof/>
            <w:webHidden/>
          </w:rPr>
          <w:fldChar w:fldCharType="end"/>
        </w:r>
      </w:hyperlink>
    </w:p>
    <w:p w14:paraId="52DE10C8" w14:textId="271687AE" w:rsidR="001C6C1E" w:rsidRDefault="00742092">
      <w:pPr>
        <w:pStyle w:val="Verzeichnis2"/>
        <w:rPr>
          <w:rFonts w:asciiTheme="minorHAnsi" w:eastAsiaTheme="minorEastAsia" w:hAnsiTheme="minorHAnsi" w:cstheme="minorBidi"/>
          <w:noProof/>
          <w:szCs w:val="22"/>
          <w:lang w:eastAsia="en-GB"/>
        </w:rPr>
      </w:pPr>
      <w:hyperlink w:anchor="_Toc83997380" w:history="1">
        <w:r w:rsidR="001C6C1E" w:rsidRPr="00C22CCB">
          <w:rPr>
            <w:rStyle w:val="Hyperlink"/>
            <w:noProof/>
          </w:rPr>
          <w:t>7.1</w:t>
        </w:r>
        <w:r w:rsidR="001C6C1E">
          <w:rPr>
            <w:rFonts w:asciiTheme="minorHAnsi" w:eastAsiaTheme="minorEastAsia" w:hAnsiTheme="minorHAnsi" w:cstheme="minorBidi"/>
            <w:noProof/>
            <w:szCs w:val="22"/>
            <w:lang w:eastAsia="en-GB"/>
          </w:rPr>
          <w:tab/>
        </w:r>
        <w:r w:rsidR="001C6C1E" w:rsidRPr="00C22CCB">
          <w:rPr>
            <w:rStyle w:val="Hyperlink"/>
            <w:noProof/>
          </w:rPr>
          <w:t>Erosion processes and challenges for soil monitoring</w:t>
        </w:r>
        <w:r w:rsidR="001C6C1E">
          <w:rPr>
            <w:noProof/>
            <w:webHidden/>
          </w:rPr>
          <w:tab/>
        </w:r>
        <w:r w:rsidR="001C6C1E">
          <w:rPr>
            <w:noProof/>
            <w:webHidden/>
          </w:rPr>
          <w:fldChar w:fldCharType="begin"/>
        </w:r>
        <w:r w:rsidR="001C6C1E">
          <w:rPr>
            <w:noProof/>
            <w:webHidden/>
          </w:rPr>
          <w:instrText xml:space="preserve"> PAGEREF _Toc83997380 \h </w:instrText>
        </w:r>
        <w:r w:rsidR="001C6C1E">
          <w:rPr>
            <w:noProof/>
            <w:webHidden/>
          </w:rPr>
        </w:r>
        <w:r w:rsidR="001C6C1E">
          <w:rPr>
            <w:noProof/>
            <w:webHidden/>
          </w:rPr>
          <w:fldChar w:fldCharType="separate"/>
        </w:r>
        <w:r w:rsidR="0067767C">
          <w:rPr>
            <w:noProof/>
            <w:webHidden/>
          </w:rPr>
          <w:t>77</w:t>
        </w:r>
        <w:r w:rsidR="001C6C1E">
          <w:rPr>
            <w:noProof/>
            <w:webHidden/>
          </w:rPr>
          <w:fldChar w:fldCharType="end"/>
        </w:r>
      </w:hyperlink>
    </w:p>
    <w:p w14:paraId="2C36AC76" w14:textId="457D78CA" w:rsidR="001C6C1E" w:rsidRDefault="00742092">
      <w:pPr>
        <w:pStyle w:val="Verzeichnis2"/>
        <w:rPr>
          <w:rFonts w:asciiTheme="minorHAnsi" w:eastAsiaTheme="minorEastAsia" w:hAnsiTheme="minorHAnsi" w:cstheme="minorBidi"/>
          <w:noProof/>
          <w:szCs w:val="22"/>
          <w:lang w:eastAsia="en-GB"/>
        </w:rPr>
      </w:pPr>
      <w:hyperlink w:anchor="_Toc83997381" w:history="1">
        <w:r w:rsidR="001C6C1E" w:rsidRPr="00C22CCB">
          <w:rPr>
            <w:rStyle w:val="Hyperlink"/>
            <w:i/>
            <w:iCs/>
            <w:noProof/>
          </w:rPr>
          <w:t>7.1.1</w:t>
        </w:r>
        <w:r w:rsidR="001C6C1E">
          <w:rPr>
            <w:rFonts w:asciiTheme="minorHAnsi" w:eastAsiaTheme="minorEastAsia" w:hAnsiTheme="minorHAnsi" w:cstheme="minorBidi"/>
            <w:noProof/>
            <w:szCs w:val="22"/>
            <w:lang w:eastAsia="en-GB"/>
          </w:rPr>
          <w:tab/>
        </w:r>
        <w:r w:rsidR="001C6C1E" w:rsidRPr="00C22CCB">
          <w:rPr>
            <w:rStyle w:val="Hyperlink"/>
            <w:i/>
            <w:iCs/>
            <w:noProof/>
          </w:rPr>
          <w:t>Types of soil erosion</w:t>
        </w:r>
        <w:r w:rsidR="001C6C1E">
          <w:rPr>
            <w:noProof/>
            <w:webHidden/>
          </w:rPr>
          <w:tab/>
        </w:r>
        <w:r w:rsidR="001C6C1E">
          <w:rPr>
            <w:noProof/>
            <w:webHidden/>
          </w:rPr>
          <w:fldChar w:fldCharType="begin"/>
        </w:r>
        <w:r w:rsidR="001C6C1E">
          <w:rPr>
            <w:noProof/>
            <w:webHidden/>
          </w:rPr>
          <w:instrText xml:space="preserve"> PAGEREF _Toc83997381 \h </w:instrText>
        </w:r>
        <w:r w:rsidR="001C6C1E">
          <w:rPr>
            <w:noProof/>
            <w:webHidden/>
          </w:rPr>
        </w:r>
        <w:r w:rsidR="001C6C1E">
          <w:rPr>
            <w:noProof/>
            <w:webHidden/>
          </w:rPr>
          <w:fldChar w:fldCharType="separate"/>
        </w:r>
        <w:r w:rsidR="0067767C">
          <w:rPr>
            <w:noProof/>
            <w:webHidden/>
          </w:rPr>
          <w:t>77</w:t>
        </w:r>
        <w:r w:rsidR="001C6C1E">
          <w:rPr>
            <w:noProof/>
            <w:webHidden/>
          </w:rPr>
          <w:fldChar w:fldCharType="end"/>
        </w:r>
      </w:hyperlink>
    </w:p>
    <w:p w14:paraId="4883029C" w14:textId="1A57ED2A" w:rsidR="001C6C1E" w:rsidRDefault="00742092">
      <w:pPr>
        <w:pStyle w:val="Verzeichnis2"/>
        <w:rPr>
          <w:rFonts w:asciiTheme="minorHAnsi" w:eastAsiaTheme="minorEastAsia" w:hAnsiTheme="minorHAnsi" w:cstheme="minorBidi"/>
          <w:noProof/>
          <w:szCs w:val="22"/>
          <w:lang w:eastAsia="en-GB"/>
        </w:rPr>
      </w:pPr>
      <w:hyperlink w:anchor="_Toc83997382" w:history="1">
        <w:r w:rsidR="001C6C1E" w:rsidRPr="00C22CCB">
          <w:rPr>
            <w:rStyle w:val="Hyperlink"/>
            <w:i/>
            <w:iCs/>
            <w:noProof/>
          </w:rPr>
          <w:t>7.1.2</w:t>
        </w:r>
        <w:r w:rsidR="001C6C1E">
          <w:rPr>
            <w:rFonts w:asciiTheme="minorHAnsi" w:eastAsiaTheme="minorEastAsia" w:hAnsiTheme="minorHAnsi" w:cstheme="minorBidi"/>
            <w:noProof/>
            <w:szCs w:val="22"/>
            <w:lang w:eastAsia="en-GB"/>
          </w:rPr>
          <w:tab/>
        </w:r>
        <w:r w:rsidR="001C6C1E" w:rsidRPr="00C22CCB">
          <w:rPr>
            <w:rStyle w:val="Hyperlink"/>
            <w:i/>
            <w:iCs/>
            <w:noProof/>
          </w:rPr>
          <w:t>Soil erosion and ecosystem services</w:t>
        </w:r>
        <w:r w:rsidR="001C6C1E">
          <w:rPr>
            <w:noProof/>
            <w:webHidden/>
          </w:rPr>
          <w:tab/>
        </w:r>
        <w:r w:rsidR="001C6C1E">
          <w:rPr>
            <w:noProof/>
            <w:webHidden/>
          </w:rPr>
          <w:fldChar w:fldCharType="begin"/>
        </w:r>
        <w:r w:rsidR="001C6C1E">
          <w:rPr>
            <w:noProof/>
            <w:webHidden/>
          </w:rPr>
          <w:instrText xml:space="preserve"> PAGEREF _Toc83997382 \h </w:instrText>
        </w:r>
        <w:r w:rsidR="001C6C1E">
          <w:rPr>
            <w:noProof/>
            <w:webHidden/>
          </w:rPr>
        </w:r>
        <w:r w:rsidR="001C6C1E">
          <w:rPr>
            <w:noProof/>
            <w:webHidden/>
          </w:rPr>
          <w:fldChar w:fldCharType="separate"/>
        </w:r>
        <w:r w:rsidR="0067767C">
          <w:rPr>
            <w:noProof/>
            <w:webHidden/>
          </w:rPr>
          <w:t>78</w:t>
        </w:r>
        <w:r w:rsidR="001C6C1E">
          <w:rPr>
            <w:noProof/>
            <w:webHidden/>
          </w:rPr>
          <w:fldChar w:fldCharType="end"/>
        </w:r>
      </w:hyperlink>
    </w:p>
    <w:p w14:paraId="6507E90C" w14:textId="31AAF79B" w:rsidR="001C6C1E" w:rsidRDefault="00742092">
      <w:pPr>
        <w:pStyle w:val="Verzeichnis2"/>
        <w:rPr>
          <w:rFonts w:asciiTheme="minorHAnsi" w:eastAsiaTheme="minorEastAsia" w:hAnsiTheme="minorHAnsi" w:cstheme="minorBidi"/>
          <w:noProof/>
          <w:szCs w:val="22"/>
          <w:lang w:eastAsia="en-GB"/>
        </w:rPr>
      </w:pPr>
      <w:hyperlink w:anchor="_Toc83997383" w:history="1">
        <w:r w:rsidR="001C6C1E" w:rsidRPr="00C22CCB">
          <w:rPr>
            <w:rStyle w:val="Hyperlink"/>
            <w:i/>
            <w:iCs/>
            <w:noProof/>
          </w:rPr>
          <w:t>7.1.3</w:t>
        </w:r>
        <w:r w:rsidR="001C6C1E">
          <w:rPr>
            <w:rFonts w:asciiTheme="minorHAnsi" w:eastAsiaTheme="minorEastAsia" w:hAnsiTheme="minorHAnsi" w:cstheme="minorBidi"/>
            <w:noProof/>
            <w:szCs w:val="22"/>
            <w:lang w:eastAsia="en-GB"/>
          </w:rPr>
          <w:tab/>
        </w:r>
        <w:r w:rsidR="001C6C1E" w:rsidRPr="00C22CCB">
          <w:rPr>
            <w:rStyle w:val="Hyperlink"/>
            <w:i/>
            <w:iCs/>
            <w:noProof/>
          </w:rPr>
          <w:t>On-site and off-site effects of soil erosion</w:t>
        </w:r>
        <w:r w:rsidR="001C6C1E">
          <w:rPr>
            <w:noProof/>
            <w:webHidden/>
          </w:rPr>
          <w:tab/>
        </w:r>
        <w:r w:rsidR="001C6C1E">
          <w:rPr>
            <w:noProof/>
            <w:webHidden/>
          </w:rPr>
          <w:fldChar w:fldCharType="begin"/>
        </w:r>
        <w:r w:rsidR="001C6C1E">
          <w:rPr>
            <w:noProof/>
            <w:webHidden/>
          </w:rPr>
          <w:instrText xml:space="preserve"> PAGEREF _Toc83997383 \h </w:instrText>
        </w:r>
        <w:r w:rsidR="001C6C1E">
          <w:rPr>
            <w:noProof/>
            <w:webHidden/>
          </w:rPr>
        </w:r>
        <w:r w:rsidR="001C6C1E">
          <w:rPr>
            <w:noProof/>
            <w:webHidden/>
          </w:rPr>
          <w:fldChar w:fldCharType="separate"/>
        </w:r>
        <w:r w:rsidR="0067767C">
          <w:rPr>
            <w:noProof/>
            <w:webHidden/>
          </w:rPr>
          <w:t>79</w:t>
        </w:r>
        <w:r w:rsidR="001C6C1E">
          <w:rPr>
            <w:noProof/>
            <w:webHidden/>
          </w:rPr>
          <w:fldChar w:fldCharType="end"/>
        </w:r>
      </w:hyperlink>
    </w:p>
    <w:p w14:paraId="7B844B0C" w14:textId="4E8F6696" w:rsidR="001C6C1E" w:rsidRDefault="00742092">
      <w:pPr>
        <w:pStyle w:val="Verzeichnis2"/>
        <w:rPr>
          <w:rFonts w:asciiTheme="minorHAnsi" w:eastAsiaTheme="minorEastAsia" w:hAnsiTheme="minorHAnsi" w:cstheme="minorBidi"/>
          <w:noProof/>
          <w:szCs w:val="22"/>
          <w:lang w:eastAsia="en-GB"/>
        </w:rPr>
      </w:pPr>
      <w:hyperlink w:anchor="_Toc83997384" w:history="1">
        <w:r w:rsidR="001C6C1E" w:rsidRPr="00C22CCB">
          <w:rPr>
            <w:rStyle w:val="Hyperlink"/>
            <w:i/>
            <w:iCs/>
            <w:noProof/>
          </w:rPr>
          <w:t>7.1.4</w:t>
        </w:r>
        <w:r w:rsidR="001C6C1E">
          <w:rPr>
            <w:rFonts w:asciiTheme="minorHAnsi" w:eastAsiaTheme="minorEastAsia" w:hAnsiTheme="minorHAnsi" w:cstheme="minorBidi"/>
            <w:noProof/>
            <w:szCs w:val="22"/>
            <w:lang w:eastAsia="en-GB"/>
          </w:rPr>
          <w:tab/>
        </w:r>
        <w:r w:rsidR="001C6C1E" w:rsidRPr="00C22CCB">
          <w:rPr>
            <w:rStyle w:val="Hyperlink"/>
            <w:i/>
            <w:iCs/>
            <w:noProof/>
          </w:rPr>
          <w:t>Status of soil erosion by water</w:t>
        </w:r>
        <w:r w:rsidR="001C6C1E">
          <w:rPr>
            <w:noProof/>
            <w:webHidden/>
          </w:rPr>
          <w:tab/>
        </w:r>
        <w:r w:rsidR="001C6C1E">
          <w:rPr>
            <w:noProof/>
            <w:webHidden/>
          </w:rPr>
          <w:fldChar w:fldCharType="begin"/>
        </w:r>
        <w:r w:rsidR="001C6C1E">
          <w:rPr>
            <w:noProof/>
            <w:webHidden/>
          </w:rPr>
          <w:instrText xml:space="preserve"> PAGEREF _Toc83997384 \h </w:instrText>
        </w:r>
        <w:r w:rsidR="001C6C1E">
          <w:rPr>
            <w:noProof/>
            <w:webHidden/>
          </w:rPr>
        </w:r>
        <w:r w:rsidR="001C6C1E">
          <w:rPr>
            <w:noProof/>
            <w:webHidden/>
          </w:rPr>
          <w:fldChar w:fldCharType="separate"/>
        </w:r>
        <w:r w:rsidR="0067767C">
          <w:rPr>
            <w:noProof/>
            <w:webHidden/>
          </w:rPr>
          <w:t>80</w:t>
        </w:r>
        <w:r w:rsidR="001C6C1E">
          <w:rPr>
            <w:noProof/>
            <w:webHidden/>
          </w:rPr>
          <w:fldChar w:fldCharType="end"/>
        </w:r>
      </w:hyperlink>
    </w:p>
    <w:p w14:paraId="1D3FF576" w14:textId="5C016BE9" w:rsidR="001C6C1E" w:rsidRDefault="00742092">
      <w:pPr>
        <w:pStyle w:val="Verzeichnis2"/>
        <w:rPr>
          <w:rFonts w:asciiTheme="minorHAnsi" w:eastAsiaTheme="minorEastAsia" w:hAnsiTheme="minorHAnsi" w:cstheme="minorBidi"/>
          <w:noProof/>
          <w:szCs w:val="22"/>
          <w:lang w:eastAsia="en-GB"/>
        </w:rPr>
      </w:pPr>
      <w:hyperlink w:anchor="_Toc83997385" w:history="1">
        <w:r w:rsidR="001C6C1E" w:rsidRPr="00C22CCB">
          <w:rPr>
            <w:rStyle w:val="Hyperlink"/>
            <w:noProof/>
          </w:rPr>
          <w:t>7.2</w:t>
        </w:r>
        <w:r w:rsidR="001C6C1E">
          <w:rPr>
            <w:rFonts w:asciiTheme="minorHAnsi" w:eastAsiaTheme="minorEastAsia" w:hAnsiTheme="minorHAnsi" w:cstheme="minorBidi"/>
            <w:noProof/>
            <w:szCs w:val="22"/>
            <w:lang w:eastAsia="en-GB"/>
          </w:rPr>
          <w:tab/>
        </w:r>
        <w:r w:rsidR="001C6C1E" w:rsidRPr="00C22CCB">
          <w:rPr>
            <w:rStyle w:val="Hyperlink"/>
            <w:noProof/>
          </w:rPr>
          <w:t>Indicator specifications</w:t>
        </w:r>
        <w:r w:rsidR="001C6C1E">
          <w:rPr>
            <w:noProof/>
            <w:webHidden/>
          </w:rPr>
          <w:tab/>
        </w:r>
        <w:r w:rsidR="001C6C1E">
          <w:rPr>
            <w:noProof/>
            <w:webHidden/>
          </w:rPr>
          <w:fldChar w:fldCharType="begin"/>
        </w:r>
        <w:r w:rsidR="001C6C1E">
          <w:rPr>
            <w:noProof/>
            <w:webHidden/>
          </w:rPr>
          <w:instrText xml:space="preserve"> PAGEREF _Toc83997385 \h </w:instrText>
        </w:r>
        <w:r w:rsidR="001C6C1E">
          <w:rPr>
            <w:noProof/>
            <w:webHidden/>
          </w:rPr>
        </w:r>
        <w:r w:rsidR="001C6C1E">
          <w:rPr>
            <w:noProof/>
            <w:webHidden/>
          </w:rPr>
          <w:fldChar w:fldCharType="separate"/>
        </w:r>
        <w:r w:rsidR="0067767C">
          <w:rPr>
            <w:noProof/>
            <w:webHidden/>
          </w:rPr>
          <w:t>81</w:t>
        </w:r>
        <w:r w:rsidR="001C6C1E">
          <w:rPr>
            <w:noProof/>
            <w:webHidden/>
          </w:rPr>
          <w:fldChar w:fldCharType="end"/>
        </w:r>
      </w:hyperlink>
    </w:p>
    <w:p w14:paraId="39B86B23" w14:textId="352B69FD" w:rsidR="001C6C1E" w:rsidRDefault="00742092">
      <w:pPr>
        <w:pStyle w:val="Verzeichnis2"/>
        <w:rPr>
          <w:rFonts w:asciiTheme="minorHAnsi" w:eastAsiaTheme="minorEastAsia" w:hAnsiTheme="minorHAnsi" w:cstheme="minorBidi"/>
          <w:noProof/>
          <w:szCs w:val="22"/>
          <w:lang w:eastAsia="en-GB"/>
        </w:rPr>
      </w:pPr>
      <w:hyperlink w:anchor="_Toc83997386" w:history="1">
        <w:r w:rsidR="001C6C1E" w:rsidRPr="00C22CCB">
          <w:rPr>
            <w:rStyle w:val="Hyperlink"/>
            <w:i/>
            <w:iCs/>
            <w:noProof/>
          </w:rPr>
          <w:t>7.2.1</w:t>
        </w:r>
        <w:r w:rsidR="001C6C1E">
          <w:rPr>
            <w:rFonts w:asciiTheme="minorHAnsi" w:eastAsiaTheme="minorEastAsia" w:hAnsiTheme="minorHAnsi" w:cstheme="minorBidi"/>
            <w:noProof/>
            <w:szCs w:val="22"/>
            <w:lang w:eastAsia="en-GB"/>
          </w:rPr>
          <w:tab/>
        </w:r>
        <w:r w:rsidR="001C6C1E" w:rsidRPr="00C22CCB">
          <w:rPr>
            <w:rStyle w:val="Hyperlink"/>
            <w:i/>
            <w:iCs/>
            <w:noProof/>
          </w:rPr>
          <w:t>Indicator definition</w:t>
        </w:r>
        <w:r w:rsidR="001C6C1E">
          <w:rPr>
            <w:noProof/>
            <w:webHidden/>
          </w:rPr>
          <w:tab/>
        </w:r>
        <w:r w:rsidR="001C6C1E">
          <w:rPr>
            <w:noProof/>
            <w:webHidden/>
          </w:rPr>
          <w:fldChar w:fldCharType="begin"/>
        </w:r>
        <w:r w:rsidR="001C6C1E">
          <w:rPr>
            <w:noProof/>
            <w:webHidden/>
          </w:rPr>
          <w:instrText xml:space="preserve"> PAGEREF _Toc83997386 \h </w:instrText>
        </w:r>
        <w:r w:rsidR="001C6C1E">
          <w:rPr>
            <w:noProof/>
            <w:webHidden/>
          </w:rPr>
        </w:r>
        <w:r w:rsidR="001C6C1E">
          <w:rPr>
            <w:noProof/>
            <w:webHidden/>
          </w:rPr>
          <w:fldChar w:fldCharType="separate"/>
        </w:r>
        <w:r w:rsidR="0067767C">
          <w:rPr>
            <w:noProof/>
            <w:webHidden/>
          </w:rPr>
          <w:t>81</w:t>
        </w:r>
        <w:r w:rsidR="001C6C1E">
          <w:rPr>
            <w:noProof/>
            <w:webHidden/>
          </w:rPr>
          <w:fldChar w:fldCharType="end"/>
        </w:r>
      </w:hyperlink>
    </w:p>
    <w:p w14:paraId="72F2EB30" w14:textId="28439E21" w:rsidR="001C6C1E" w:rsidRDefault="00742092">
      <w:pPr>
        <w:pStyle w:val="Verzeichnis2"/>
        <w:rPr>
          <w:rFonts w:asciiTheme="minorHAnsi" w:eastAsiaTheme="minorEastAsia" w:hAnsiTheme="minorHAnsi" w:cstheme="minorBidi"/>
          <w:noProof/>
          <w:szCs w:val="22"/>
          <w:lang w:eastAsia="en-GB"/>
        </w:rPr>
      </w:pPr>
      <w:hyperlink w:anchor="_Toc83997387" w:history="1">
        <w:r w:rsidR="001C6C1E" w:rsidRPr="00C22CCB">
          <w:rPr>
            <w:rStyle w:val="Hyperlink"/>
            <w:i/>
            <w:iCs/>
            <w:noProof/>
          </w:rPr>
          <w:t>7.2.2</w:t>
        </w:r>
        <w:r w:rsidR="001C6C1E">
          <w:rPr>
            <w:rFonts w:asciiTheme="minorHAnsi" w:eastAsiaTheme="minorEastAsia" w:hAnsiTheme="minorHAnsi" w:cstheme="minorBidi"/>
            <w:noProof/>
            <w:szCs w:val="22"/>
            <w:lang w:eastAsia="en-GB"/>
          </w:rPr>
          <w:tab/>
        </w:r>
        <w:r w:rsidR="001C6C1E" w:rsidRPr="00C22CCB">
          <w:rPr>
            <w:rStyle w:val="Hyperlink"/>
            <w:i/>
            <w:iCs/>
            <w:noProof/>
          </w:rPr>
          <w:t>Model-based predictions to identify target area for monitoring</w:t>
        </w:r>
        <w:r w:rsidR="001C6C1E">
          <w:rPr>
            <w:noProof/>
            <w:webHidden/>
          </w:rPr>
          <w:tab/>
        </w:r>
        <w:r w:rsidR="001C6C1E">
          <w:rPr>
            <w:noProof/>
            <w:webHidden/>
          </w:rPr>
          <w:fldChar w:fldCharType="begin"/>
        </w:r>
        <w:r w:rsidR="001C6C1E">
          <w:rPr>
            <w:noProof/>
            <w:webHidden/>
          </w:rPr>
          <w:instrText xml:space="preserve"> PAGEREF _Toc83997387 \h </w:instrText>
        </w:r>
        <w:r w:rsidR="001C6C1E">
          <w:rPr>
            <w:noProof/>
            <w:webHidden/>
          </w:rPr>
        </w:r>
        <w:r w:rsidR="001C6C1E">
          <w:rPr>
            <w:noProof/>
            <w:webHidden/>
          </w:rPr>
          <w:fldChar w:fldCharType="separate"/>
        </w:r>
        <w:r w:rsidR="0067767C">
          <w:rPr>
            <w:noProof/>
            <w:webHidden/>
          </w:rPr>
          <w:t>82</w:t>
        </w:r>
        <w:r w:rsidR="001C6C1E">
          <w:rPr>
            <w:noProof/>
            <w:webHidden/>
          </w:rPr>
          <w:fldChar w:fldCharType="end"/>
        </w:r>
      </w:hyperlink>
    </w:p>
    <w:p w14:paraId="6C358998" w14:textId="7F03E960" w:rsidR="001C6C1E" w:rsidRDefault="00742092">
      <w:pPr>
        <w:pStyle w:val="Verzeichnis2"/>
        <w:rPr>
          <w:rFonts w:asciiTheme="minorHAnsi" w:eastAsiaTheme="minorEastAsia" w:hAnsiTheme="minorHAnsi" w:cstheme="minorBidi"/>
          <w:noProof/>
          <w:szCs w:val="22"/>
          <w:lang w:eastAsia="en-GB"/>
        </w:rPr>
      </w:pPr>
      <w:hyperlink w:anchor="_Toc83997388" w:history="1">
        <w:r w:rsidR="001C6C1E" w:rsidRPr="00C22CCB">
          <w:rPr>
            <w:rStyle w:val="Hyperlink"/>
            <w:i/>
            <w:iCs/>
            <w:noProof/>
          </w:rPr>
          <w:t>7.2.3</w:t>
        </w:r>
        <w:r w:rsidR="001C6C1E">
          <w:rPr>
            <w:rFonts w:asciiTheme="minorHAnsi" w:eastAsiaTheme="minorEastAsia" w:hAnsiTheme="minorHAnsi" w:cstheme="minorBidi"/>
            <w:noProof/>
            <w:szCs w:val="22"/>
            <w:lang w:eastAsia="en-GB"/>
          </w:rPr>
          <w:tab/>
        </w:r>
        <w:r w:rsidR="001C6C1E" w:rsidRPr="00C22CCB">
          <w:rPr>
            <w:rStyle w:val="Hyperlink"/>
            <w:i/>
            <w:iCs/>
            <w:noProof/>
          </w:rPr>
          <w:t>Direct, field-based quantification of soil erosion by water at the catchment to landscape scale</w:t>
        </w:r>
        <w:r w:rsidR="001C6C1E">
          <w:rPr>
            <w:noProof/>
            <w:webHidden/>
          </w:rPr>
          <w:tab/>
        </w:r>
        <w:r w:rsidR="001C6C1E">
          <w:rPr>
            <w:noProof/>
            <w:webHidden/>
          </w:rPr>
          <w:fldChar w:fldCharType="begin"/>
        </w:r>
        <w:r w:rsidR="001C6C1E">
          <w:rPr>
            <w:noProof/>
            <w:webHidden/>
          </w:rPr>
          <w:instrText xml:space="preserve"> PAGEREF _Toc83997388 \h </w:instrText>
        </w:r>
        <w:r w:rsidR="001C6C1E">
          <w:rPr>
            <w:noProof/>
            <w:webHidden/>
          </w:rPr>
        </w:r>
        <w:r w:rsidR="001C6C1E">
          <w:rPr>
            <w:noProof/>
            <w:webHidden/>
          </w:rPr>
          <w:fldChar w:fldCharType="separate"/>
        </w:r>
        <w:r w:rsidR="0067767C">
          <w:rPr>
            <w:noProof/>
            <w:webHidden/>
          </w:rPr>
          <w:t>83</w:t>
        </w:r>
        <w:r w:rsidR="001C6C1E">
          <w:rPr>
            <w:noProof/>
            <w:webHidden/>
          </w:rPr>
          <w:fldChar w:fldCharType="end"/>
        </w:r>
      </w:hyperlink>
    </w:p>
    <w:p w14:paraId="5CEC817B" w14:textId="77280BE4" w:rsidR="001C6C1E" w:rsidRDefault="00742092">
      <w:pPr>
        <w:pStyle w:val="Verzeichnis2"/>
        <w:rPr>
          <w:rFonts w:asciiTheme="minorHAnsi" w:eastAsiaTheme="minorEastAsia" w:hAnsiTheme="minorHAnsi" w:cstheme="minorBidi"/>
          <w:noProof/>
          <w:szCs w:val="22"/>
          <w:lang w:eastAsia="en-GB"/>
        </w:rPr>
      </w:pPr>
      <w:hyperlink w:anchor="_Toc83997389" w:history="1">
        <w:r w:rsidR="001C6C1E" w:rsidRPr="00C22CCB">
          <w:rPr>
            <w:rStyle w:val="Hyperlink"/>
            <w:i/>
            <w:iCs/>
            <w:noProof/>
          </w:rPr>
          <w:t>7.2.4</w:t>
        </w:r>
        <w:r w:rsidR="001C6C1E">
          <w:rPr>
            <w:rFonts w:asciiTheme="minorHAnsi" w:eastAsiaTheme="minorEastAsia" w:hAnsiTheme="minorHAnsi" w:cstheme="minorBidi"/>
            <w:noProof/>
            <w:szCs w:val="22"/>
            <w:lang w:eastAsia="en-GB"/>
          </w:rPr>
          <w:tab/>
        </w:r>
        <w:r w:rsidR="001C6C1E" w:rsidRPr="00C22CCB">
          <w:rPr>
            <w:rStyle w:val="Hyperlink"/>
            <w:i/>
            <w:iCs/>
            <w:noProof/>
          </w:rPr>
          <w:t>Runoff plots</w:t>
        </w:r>
        <w:r w:rsidR="001C6C1E">
          <w:rPr>
            <w:noProof/>
            <w:webHidden/>
          </w:rPr>
          <w:tab/>
        </w:r>
        <w:r w:rsidR="001C6C1E">
          <w:rPr>
            <w:noProof/>
            <w:webHidden/>
          </w:rPr>
          <w:fldChar w:fldCharType="begin"/>
        </w:r>
        <w:r w:rsidR="001C6C1E">
          <w:rPr>
            <w:noProof/>
            <w:webHidden/>
          </w:rPr>
          <w:instrText xml:space="preserve"> PAGEREF _Toc83997389 \h </w:instrText>
        </w:r>
        <w:r w:rsidR="001C6C1E">
          <w:rPr>
            <w:noProof/>
            <w:webHidden/>
          </w:rPr>
        </w:r>
        <w:r w:rsidR="001C6C1E">
          <w:rPr>
            <w:noProof/>
            <w:webHidden/>
          </w:rPr>
          <w:fldChar w:fldCharType="separate"/>
        </w:r>
        <w:r w:rsidR="0067767C">
          <w:rPr>
            <w:noProof/>
            <w:webHidden/>
          </w:rPr>
          <w:t>83</w:t>
        </w:r>
        <w:r w:rsidR="001C6C1E">
          <w:rPr>
            <w:noProof/>
            <w:webHidden/>
          </w:rPr>
          <w:fldChar w:fldCharType="end"/>
        </w:r>
      </w:hyperlink>
    </w:p>
    <w:p w14:paraId="78302FDC" w14:textId="4E4AB047" w:rsidR="001C6C1E" w:rsidRDefault="00742092">
      <w:pPr>
        <w:pStyle w:val="Verzeichnis2"/>
        <w:rPr>
          <w:rFonts w:asciiTheme="minorHAnsi" w:eastAsiaTheme="minorEastAsia" w:hAnsiTheme="minorHAnsi" w:cstheme="minorBidi"/>
          <w:noProof/>
          <w:szCs w:val="22"/>
          <w:lang w:eastAsia="en-GB"/>
        </w:rPr>
      </w:pPr>
      <w:hyperlink w:anchor="_Toc83997390" w:history="1">
        <w:r w:rsidR="001C6C1E" w:rsidRPr="00C22CCB">
          <w:rPr>
            <w:rStyle w:val="Hyperlink"/>
            <w:i/>
            <w:iCs/>
            <w:noProof/>
          </w:rPr>
          <w:t>7.2.5</w:t>
        </w:r>
        <w:r w:rsidR="001C6C1E">
          <w:rPr>
            <w:rFonts w:asciiTheme="minorHAnsi" w:eastAsiaTheme="minorEastAsia" w:hAnsiTheme="minorHAnsi" w:cstheme="minorBidi"/>
            <w:noProof/>
            <w:szCs w:val="22"/>
            <w:lang w:eastAsia="en-GB"/>
          </w:rPr>
          <w:tab/>
        </w:r>
        <w:r w:rsidR="001C6C1E" w:rsidRPr="00C22CCB">
          <w:rPr>
            <w:rStyle w:val="Hyperlink"/>
            <w:i/>
            <w:iCs/>
            <w:noProof/>
          </w:rPr>
          <w:t>Tiered monitoring</w:t>
        </w:r>
        <w:r w:rsidR="001C6C1E">
          <w:rPr>
            <w:noProof/>
            <w:webHidden/>
          </w:rPr>
          <w:tab/>
        </w:r>
        <w:r w:rsidR="001C6C1E">
          <w:rPr>
            <w:noProof/>
            <w:webHidden/>
          </w:rPr>
          <w:fldChar w:fldCharType="begin"/>
        </w:r>
        <w:r w:rsidR="001C6C1E">
          <w:rPr>
            <w:noProof/>
            <w:webHidden/>
          </w:rPr>
          <w:instrText xml:space="preserve"> PAGEREF _Toc83997390 \h </w:instrText>
        </w:r>
        <w:r w:rsidR="001C6C1E">
          <w:rPr>
            <w:noProof/>
            <w:webHidden/>
          </w:rPr>
        </w:r>
        <w:r w:rsidR="001C6C1E">
          <w:rPr>
            <w:noProof/>
            <w:webHidden/>
          </w:rPr>
          <w:fldChar w:fldCharType="separate"/>
        </w:r>
        <w:r w:rsidR="0067767C">
          <w:rPr>
            <w:noProof/>
            <w:webHidden/>
          </w:rPr>
          <w:t>83</w:t>
        </w:r>
        <w:r w:rsidR="001C6C1E">
          <w:rPr>
            <w:noProof/>
            <w:webHidden/>
          </w:rPr>
          <w:fldChar w:fldCharType="end"/>
        </w:r>
      </w:hyperlink>
    </w:p>
    <w:p w14:paraId="6BA90581" w14:textId="5C11CE8C" w:rsidR="001C6C1E" w:rsidRDefault="00742092">
      <w:pPr>
        <w:pStyle w:val="Verzeichnis2"/>
        <w:rPr>
          <w:rFonts w:asciiTheme="minorHAnsi" w:eastAsiaTheme="minorEastAsia" w:hAnsiTheme="minorHAnsi" w:cstheme="minorBidi"/>
          <w:noProof/>
          <w:szCs w:val="22"/>
          <w:lang w:eastAsia="en-GB"/>
        </w:rPr>
      </w:pPr>
      <w:hyperlink w:anchor="_Toc83997391" w:history="1">
        <w:r w:rsidR="001C6C1E" w:rsidRPr="00C22CCB">
          <w:rPr>
            <w:rStyle w:val="Hyperlink"/>
            <w:noProof/>
          </w:rPr>
          <w:t>7.3</w:t>
        </w:r>
        <w:r w:rsidR="001C6C1E">
          <w:rPr>
            <w:rFonts w:asciiTheme="minorHAnsi" w:eastAsiaTheme="minorEastAsia" w:hAnsiTheme="minorHAnsi" w:cstheme="minorBidi"/>
            <w:noProof/>
            <w:szCs w:val="22"/>
            <w:lang w:eastAsia="en-GB"/>
          </w:rPr>
          <w:tab/>
        </w:r>
        <w:r w:rsidR="001C6C1E" w:rsidRPr="00C22CCB">
          <w:rPr>
            <w:rStyle w:val="Hyperlink"/>
            <w:noProof/>
          </w:rPr>
          <w:t>Critical limits</w:t>
        </w:r>
        <w:r w:rsidR="001C6C1E">
          <w:rPr>
            <w:noProof/>
            <w:webHidden/>
          </w:rPr>
          <w:tab/>
        </w:r>
        <w:r w:rsidR="001C6C1E">
          <w:rPr>
            <w:noProof/>
            <w:webHidden/>
          </w:rPr>
          <w:fldChar w:fldCharType="begin"/>
        </w:r>
        <w:r w:rsidR="001C6C1E">
          <w:rPr>
            <w:noProof/>
            <w:webHidden/>
          </w:rPr>
          <w:instrText xml:space="preserve"> PAGEREF _Toc83997391 \h </w:instrText>
        </w:r>
        <w:r w:rsidR="001C6C1E">
          <w:rPr>
            <w:noProof/>
            <w:webHidden/>
          </w:rPr>
        </w:r>
        <w:r w:rsidR="001C6C1E">
          <w:rPr>
            <w:noProof/>
            <w:webHidden/>
          </w:rPr>
          <w:fldChar w:fldCharType="separate"/>
        </w:r>
        <w:r w:rsidR="0067767C">
          <w:rPr>
            <w:noProof/>
            <w:webHidden/>
          </w:rPr>
          <w:t>86</w:t>
        </w:r>
        <w:r w:rsidR="001C6C1E">
          <w:rPr>
            <w:noProof/>
            <w:webHidden/>
          </w:rPr>
          <w:fldChar w:fldCharType="end"/>
        </w:r>
      </w:hyperlink>
    </w:p>
    <w:p w14:paraId="4E4505FF" w14:textId="1FF4246E" w:rsidR="001C6C1E" w:rsidRDefault="00742092">
      <w:pPr>
        <w:pStyle w:val="Verzeichnis1"/>
        <w:rPr>
          <w:rFonts w:asciiTheme="minorHAnsi" w:eastAsiaTheme="minorEastAsia" w:hAnsiTheme="minorHAnsi" w:cstheme="minorBidi"/>
          <w:noProof/>
          <w:szCs w:val="22"/>
          <w:lang w:eastAsia="en-GB"/>
        </w:rPr>
      </w:pPr>
      <w:hyperlink w:anchor="_Toc83997392" w:history="1">
        <w:r w:rsidR="001C6C1E" w:rsidRPr="00C22CCB">
          <w:rPr>
            <w:rStyle w:val="Hyperlink"/>
            <w:noProof/>
          </w:rPr>
          <w:t>8</w:t>
        </w:r>
        <w:r w:rsidR="001C6C1E">
          <w:rPr>
            <w:rFonts w:asciiTheme="minorHAnsi" w:eastAsiaTheme="minorEastAsia" w:hAnsiTheme="minorHAnsi" w:cstheme="minorBidi"/>
            <w:noProof/>
            <w:szCs w:val="22"/>
            <w:lang w:eastAsia="en-GB"/>
          </w:rPr>
          <w:tab/>
        </w:r>
        <w:r w:rsidR="001C6C1E" w:rsidRPr="00C22CCB">
          <w:rPr>
            <w:rStyle w:val="Hyperlink"/>
            <w:noProof/>
          </w:rPr>
          <w:t>Soil compaction</w:t>
        </w:r>
        <w:r w:rsidR="001C6C1E">
          <w:rPr>
            <w:noProof/>
            <w:webHidden/>
          </w:rPr>
          <w:tab/>
        </w:r>
        <w:r w:rsidR="001C6C1E">
          <w:rPr>
            <w:noProof/>
            <w:webHidden/>
          </w:rPr>
          <w:fldChar w:fldCharType="begin"/>
        </w:r>
        <w:r w:rsidR="001C6C1E">
          <w:rPr>
            <w:noProof/>
            <w:webHidden/>
          </w:rPr>
          <w:instrText xml:space="preserve"> PAGEREF _Toc83997392 \h </w:instrText>
        </w:r>
        <w:r w:rsidR="001C6C1E">
          <w:rPr>
            <w:noProof/>
            <w:webHidden/>
          </w:rPr>
        </w:r>
        <w:r w:rsidR="001C6C1E">
          <w:rPr>
            <w:noProof/>
            <w:webHidden/>
          </w:rPr>
          <w:fldChar w:fldCharType="separate"/>
        </w:r>
        <w:r w:rsidR="0067767C">
          <w:rPr>
            <w:noProof/>
            <w:webHidden/>
          </w:rPr>
          <w:t>88</w:t>
        </w:r>
        <w:r w:rsidR="001C6C1E">
          <w:rPr>
            <w:noProof/>
            <w:webHidden/>
          </w:rPr>
          <w:fldChar w:fldCharType="end"/>
        </w:r>
      </w:hyperlink>
    </w:p>
    <w:p w14:paraId="4903E346" w14:textId="7DF56ED3" w:rsidR="001C6C1E" w:rsidRDefault="00742092">
      <w:pPr>
        <w:pStyle w:val="Verzeichnis2"/>
        <w:rPr>
          <w:rFonts w:asciiTheme="minorHAnsi" w:eastAsiaTheme="minorEastAsia" w:hAnsiTheme="minorHAnsi" w:cstheme="minorBidi"/>
          <w:noProof/>
          <w:szCs w:val="22"/>
          <w:lang w:eastAsia="en-GB"/>
        </w:rPr>
      </w:pPr>
      <w:hyperlink w:anchor="_Toc83997393" w:history="1">
        <w:r w:rsidR="001C6C1E" w:rsidRPr="00C22CCB">
          <w:rPr>
            <w:rStyle w:val="Hyperlink"/>
            <w:rFonts w:asciiTheme="majorHAnsi" w:hAnsiTheme="majorHAnsi" w:cstheme="majorHAnsi"/>
            <w:noProof/>
          </w:rPr>
          <w:t>8.1</w:t>
        </w:r>
        <w:r w:rsidR="001C6C1E">
          <w:rPr>
            <w:rFonts w:asciiTheme="minorHAnsi" w:eastAsiaTheme="minorEastAsia" w:hAnsiTheme="minorHAnsi" w:cstheme="minorBidi"/>
            <w:noProof/>
            <w:szCs w:val="22"/>
            <w:lang w:eastAsia="en-GB"/>
          </w:rPr>
          <w:tab/>
        </w:r>
        <w:r w:rsidR="001C6C1E" w:rsidRPr="00C22CCB">
          <w:rPr>
            <w:rStyle w:val="Hyperlink"/>
            <w:rFonts w:asciiTheme="majorHAnsi" w:hAnsiTheme="majorHAnsi" w:cstheme="majorHAnsi"/>
            <w:noProof/>
          </w:rPr>
          <w:t>Role and assessment of soil compaction</w:t>
        </w:r>
        <w:r w:rsidR="001C6C1E">
          <w:rPr>
            <w:noProof/>
            <w:webHidden/>
          </w:rPr>
          <w:tab/>
        </w:r>
        <w:r w:rsidR="001C6C1E">
          <w:rPr>
            <w:noProof/>
            <w:webHidden/>
          </w:rPr>
          <w:fldChar w:fldCharType="begin"/>
        </w:r>
        <w:r w:rsidR="001C6C1E">
          <w:rPr>
            <w:noProof/>
            <w:webHidden/>
          </w:rPr>
          <w:instrText xml:space="preserve"> PAGEREF _Toc83997393 \h </w:instrText>
        </w:r>
        <w:r w:rsidR="001C6C1E">
          <w:rPr>
            <w:noProof/>
            <w:webHidden/>
          </w:rPr>
        </w:r>
        <w:r w:rsidR="001C6C1E">
          <w:rPr>
            <w:noProof/>
            <w:webHidden/>
          </w:rPr>
          <w:fldChar w:fldCharType="separate"/>
        </w:r>
        <w:r w:rsidR="0067767C">
          <w:rPr>
            <w:noProof/>
            <w:webHidden/>
          </w:rPr>
          <w:t>88</w:t>
        </w:r>
        <w:r w:rsidR="001C6C1E">
          <w:rPr>
            <w:noProof/>
            <w:webHidden/>
          </w:rPr>
          <w:fldChar w:fldCharType="end"/>
        </w:r>
      </w:hyperlink>
    </w:p>
    <w:p w14:paraId="3532D3E4" w14:textId="458692DF" w:rsidR="001C6C1E" w:rsidRDefault="00742092">
      <w:pPr>
        <w:pStyle w:val="Verzeichnis2"/>
        <w:rPr>
          <w:rFonts w:asciiTheme="minorHAnsi" w:eastAsiaTheme="minorEastAsia" w:hAnsiTheme="minorHAnsi" w:cstheme="minorBidi"/>
          <w:noProof/>
          <w:szCs w:val="22"/>
          <w:lang w:eastAsia="en-GB"/>
        </w:rPr>
      </w:pPr>
      <w:hyperlink w:anchor="_Toc83997394" w:history="1">
        <w:r w:rsidR="001C6C1E" w:rsidRPr="00C22CCB">
          <w:rPr>
            <w:rStyle w:val="Hyperlink"/>
            <w:i/>
            <w:iCs/>
            <w:noProof/>
          </w:rPr>
          <w:t>8.1.1</w:t>
        </w:r>
        <w:r w:rsidR="001C6C1E">
          <w:rPr>
            <w:rFonts w:asciiTheme="minorHAnsi" w:eastAsiaTheme="minorEastAsia" w:hAnsiTheme="minorHAnsi" w:cstheme="minorBidi"/>
            <w:noProof/>
            <w:szCs w:val="22"/>
            <w:lang w:eastAsia="en-GB"/>
          </w:rPr>
          <w:tab/>
        </w:r>
        <w:r w:rsidR="001C6C1E" w:rsidRPr="00C22CCB">
          <w:rPr>
            <w:rStyle w:val="Hyperlink"/>
            <w:i/>
            <w:iCs/>
            <w:noProof/>
          </w:rPr>
          <w:t>Background and status</w:t>
        </w:r>
        <w:r w:rsidR="001C6C1E">
          <w:rPr>
            <w:noProof/>
            <w:webHidden/>
          </w:rPr>
          <w:tab/>
        </w:r>
        <w:r w:rsidR="001C6C1E">
          <w:rPr>
            <w:noProof/>
            <w:webHidden/>
          </w:rPr>
          <w:fldChar w:fldCharType="begin"/>
        </w:r>
        <w:r w:rsidR="001C6C1E">
          <w:rPr>
            <w:noProof/>
            <w:webHidden/>
          </w:rPr>
          <w:instrText xml:space="preserve"> PAGEREF _Toc83997394 \h </w:instrText>
        </w:r>
        <w:r w:rsidR="001C6C1E">
          <w:rPr>
            <w:noProof/>
            <w:webHidden/>
          </w:rPr>
        </w:r>
        <w:r w:rsidR="001C6C1E">
          <w:rPr>
            <w:noProof/>
            <w:webHidden/>
          </w:rPr>
          <w:fldChar w:fldCharType="separate"/>
        </w:r>
        <w:r w:rsidR="0067767C">
          <w:rPr>
            <w:noProof/>
            <w:webHidden/>
          </w:rPr>
          <w:t>88</w:t>
        </w:r>
        <w:r w:rsidR="001C6C1E">
          <w:rPr>
            <w:noProof/>
            <w:webHidden/>
          </w:rPr>
          <w:fldChar w:fldCharType="end"/>
        </w:r>
      </w:hyperlink>
    </w:p>
    <w:p w14:paraId="79F79509" w14:textId="38A925CE" w:rsidR="001C6C1E" w:rsidRDefault="00742092">
      <w:pPr>
        <w:pStyle w:val="Verzeichnis2"/>
        <w:rPr>
          <w:rFonts w:asciiTheme="minorHAnsi" w:eastAsiaTheme="minorEastAsia" w:hAnsiTheme="minorHAnsi" w:cstheme="minorBidi"/>
          <w:noProof/>
          <w:szCs w:val="22"/>
          <w:lang w:eastAsia="en-GB"/>
        </w:rPr>
      </w:pPr>
      <w:hyperlink w:anchor="_Toc83997395" w:history="1">
        <w:r w:rsidR="001C6C1E" w:rsidRPr="00C22CCB">
          <w:rPr>
            <w:rStyle w:val="Hyperlink"/>
            <w:i/>
            <w:iCs/>
            <w:noProof/>
          </w:rPr>
          <w:t>8.1.2</w:t>
        </w:r>
        <w:r w:rsidR="001C6C1E">
          <w:rPr>
            <w:rFonts w:asciiTheme="minorHAnsi" w:eastAsiaTheme="minorEastAsia" w:hAnsiTheme="minorHAnsi" w:cstheme="minorBidi"/>
            <w:noProof/>
            <w:szCs w:val="22"/>
            <w:lang w:eastAsia="en-GB"/>
          </w:rPr>
          <w:tab/>
        </w:r>
        <w:r w:rsidR="001C6C1E" w:rsidRPr="00C22CCB">
          <w:rPr>
            <w:rStyle w:val="Hyperlink"/>
            <w:i/>
            <w:iCs/>
            <w:noProof/>
          </w:rPr>
          <w:t>Soil compaction processes</w:t>
        </w:r>
        <w:r w:rsidR="001C6C1E">
          <w:rPr>
            <w:noProof/>
            <w:webHidden/>
          </w:rPr>
          <w:tab/>
        </w:r>
        <w:r w:rsidR="001C6C1E">
          <w:rPr>
            <w:noProof/>
            <w:webHidden/>
          </w:rPr>
          <w:fldChar w:fldCharType="begin"/>
        </w:r>
        <w:r w:rsidR="001C6C1E">
          <w:rPr>
            <w:noProof/>
            <w:webHidden/>
          </w:rPr>
          <w:instrText xml:space="preserve"> PAGEREF _Toc83997395 \h </w:instrText>
        </w:r>
        <w:r w:rsidR="001C6C1E">
          <w:rPr>
            <w:noProof/>
            <w:webHidden/>
          </w:rPr>
        </w:r>
        <w:r w:rsidR="001C6C1E">
          <w:rPr>
            <w:noProof/>
            <w:webHidden/>
          </w:rPr>
          <w:fldChar w:fldCharType="separate"/>
        </w:r>
        <w:r w:rsidR="0067767C">
          <w:rPr>
            <w:noProof/>
            <w:webHidden/>
          </w:rPr>
          <w:t>90</w:t>
        </w:r>
        <w:r w:rsidR="001C6C1E">
          <w:rPr>
            <w:noProof/>
            <w:webHidden/>
          </w:rPr>
          <w:fldChar w:fldCharType="end"/>
        </w:r>
      </w:hyperlink>
    </w:p>
    <w:p w14:paraId="2A1D77DA" w14:textId="7043BA56" w:rsidR="001C6C1E" w:rsidRDefault="00742092">
      <w:pPr>
        <w:pStyle w:val="Verzeichnis2"/>
        <w:rPr>
          <w:rFonts w:asciiTheme="minorHAnsi" w:eastAsiaTheme="minorEastAsia" w:hAnsiTheme="minorHAnsi" w:cstheme="minorBidi"/>
          <w:noProof/>
          <w:szCs w:val="22"/>
          <w:lang w:eastAsia="en-GB"/>
        </w:rPr>
      </w:pPr>
      <w:hyperlink w:anchor="_Toc83997396" w:history="1">
        <w:r w:rsidR="001C6C1E" w:rsidRPr="00C22CCB">
          <w:rPr>
            <w:rStyle w:val="Hyperlink"/>
            <w:i/>
            <w:iCs/>
            <w:noProof/>
          </w:rPr>
          <w:t>8.1.3</w:t>
        </w:r>
        <w:r w:rsidR="001C6C1E">
          <w:rPr>
            <w:rFonts w:asciiTheme="minorHAnsi" w:eastAsiaTheme="minorEastAsia" w:hAnsiTheme="minorHAnsi" w:cstheme="minorBidi"/>
            <w:noProof/>
            <w:szCs w:val="22"/>
            <w:lang w:eastAsia="en-GB"/>
          </w:rPr>
          <w:tab/>
        </w:r>
        <w:r w:rsidR="001C6C1E" w:rsidRPr="00C22CCB">
          <w:rPr>
            <w:rStyle w:val="Hyperlink"/>
            <w:i/>
            <w:iCs/>
            <w:noProof/>
          </w:rPr>
          <w:t>Subsoil compaction</w:t>
        </w:r>
        <w:r w:rsidR="001C6C1E">
          <w:rPr>
            <w:noProof/>
            <w:webHidden/>
          </w:rPr>
          <w:tab/>
        </w:r>
        <w:r w:rsidR="001C6C1E">
          <w:rPr>
            <w:noProof/>
            <w:webHidden/>
          </w:rPr>
          <w:fldChar w:fldCharType="begin"/>
        </w:r>
        <w:r w:rsidR="001C6C1E">
          <w:rPr>
            <w:noProof/>
            <w:webHidden/>
          </w:rPr>
          <w:instrText xml:space="preserve"> PAGEREF _Toc83997396 \h </w:instrText>
        </w:r>
        <w:r w:rsidR="001C6C1E">
          <w:rPr>
            <w:noProof/>
            <w:webHidden/>
          </w:rPr>
        </w:r>
        <w:r w:rsidR="001C6C1E">
          <w:rPr>
            <w:noProof/>
            <w:webHidden/>
          </w:rPr>
          <w:fldChar w:fldCharType="separate"/>
        </w:r>
        <w:r w:rsidR="0067767C">
          <w:rPr>
            <w:noProof/>
            <w:webHidden/>
          </w:rPr>
          <w:t>92</w:t>
        </w:r>
        <w:r w:rsidR="001C6C1E">
          <w:rPr>
            <w:noProof/>
            <w:webHidden/>
          </w:rPr>
          <w:fldChar w:fldCharType="end"/>
        </w:r>
      </w:hyperlink>
    </w:p>
    <w:p w14:paraId="478BAA28" w14:textId="330A7260" w:rsidR="001C6C1E" w:rsidRDefault="00742092">
      <w:pPr>
        <w:pStyle w:val="Verzeichnis2"/>
        <w:rPr>
          <w:rFonts w:asciiTheme="minorHAnsi" w:eastAsiaTheme="minorEastAsia" w:hAnsiTheme="minorHAnsi" w:cstheme="minorBidi"/>
          <w:noProof/>
          <w:szCs w:val="22"/>
          <w:lang w:eastAsia="en-GB"/>
        </w:rPr>
      </w:pPr>
      <w:hyperlink w:anchor="_Toc83997397" w:history="1">
        <w:r w:rsidR="001C6C1E" w:rsidRPr="00C22CCB">
          <w:rPr>
            <w:rStyle w:val="Hyperlink"/>
            <w:rFonts w:asciiTheme="majorHAnsi" w:hAnsiTheme="majorHAnsi" w:cstheme="majorHAnsi"/>
            <w:noProof/>
            <w:lang w:val="en-US"/>
          </w:rPr>
          <w:t>8.2</w:t>
        </w:r>
        <w:r w:rsidR="001C6C1E">
          <w:rPr>
            <w:rFonts w:asciiTheme="minorHAnsi" w:eastAsiaTheme="minorEastAsia" w:hAnsiTheme="minorHAnsi" w:cstheme="minorBidi"/>
            <w:noProof/>
            <w:szCs w:val="22"/>
            <w:lang w:eastAsia="en-GB"/>
          </w:rPr>
          <w:tab/>
        </w:r>
        <w:r w:rsidR="001C6C1E" w:rsidRPr="00C22CCB">
          <w:rPr>
            <w:rStyle w:val="Hyperlink"/>
            <w:rFonts w:asciiTheme="majorHAnsi" w:hAnsiTheme="majorHAnsi" w:cstheme="majorHAnsi"/>
            <w:noProof/>
            <w:lang w:val="en-US"/>
          </w:rPr>
          <w:t>Indicator specifications</w:t>
        </w:r>
        <w:r w:rsidR="001C6C1E">
          <w:rPr>
            <w:noProof/>
            <w:webHidden/>
          </w:rPr>
          <w:tab/>
        </w:r>
        <w:r w:rsidR="001C6C1E">
          <w:rPr>
            <w:noProof/>
            <w:webHidden/>
          </w:rPr>
          <w:fldChar w:fldCharType="begin"/>
        </w:r>
        <w:r w:rsidR="001C6C1E">
          <w:rPr>
            <w:noProof/>
            <w:webHidden/>
          </w:rPr>
          <w:instrText xml:space="preserve"> PAGEREF _Toc83997397 \h </w:instrText>
        </w:r>
        <w:r w:rsidR="001C6C1E">
          <w:rPr>
            <w:noProof/>
            <w:webHidden/>
          </w:rPr>
        </w:r>
        <w:r w:rsidR="001C6C1E">
          <w:rPr>
            <w:noProof/>
            <w:webHidden/>
          </w:rPr>
          <w:fldChar w:fldCharType="separate"/>
        </w:r>
        <w:r w:rsidR="0067767C">
          <w:rPr>
            <w:noProof/>
            <w:webHidden/>
          </w:rPr>
          <w:t>92</w:t>
        </w:r>
        <w:r w:rsidR="001C6C1E">
          <w:rPr>
            <w:noProof/>
            <w:webHidden/>
          </w:rPr>
          <w:fldChar w:fldCharType="end"/>
        </w:r>
      </w:hyperlink>
    </w:p>
    <w:p w14:paraId="540B90B4" w14:textId="56FF0464" w:rsidR="001C6C1E" w:rsidRDefault="00742092">
      <w:pPr>
        <w:pStyle w:val="Verzeichnis2"/>
        <w:rPr>
          <w:rFonts w:asciiTheme="minorHAnsi" w:eastAsiaTheme="minorEastAsia" w:hAnsiTheme="minorHAnsi" w:cstheme="minorBidi"/>
          <w:noProof/>
          <w:szCs w:val="22"/>
          <w:lang w:eastAsia="en-GB"/>
        </w:rPr>
      </w:pPr>
      <w:hyperlink w:anchor="_Toc83997398" w:history="1">
        <w:r w:rsidR="001C6C1E" w:rsidRPr="00C22CCB">
          <w:rPr>
            <w:rStyle w:val="Hyperlink"/>
            <w:i/>
            <w:iCs/>
            <w:noProof/>
          </w:rPr>
          <w:t>8.2.1</w:t>
        </w:r>
        <w:r w:rsidR="001C6C1E">
          <w:rPr>
            <w:rFonts w:asciiTheme="minorHAnsi" w:eastAsiaTheme="minorEastAsia" w:hAnsiTheme="minorHAnsi" w:cstheme="minorBidi"/>
            <w:noProof/>
            <w:szCs w:val="22"/>
            <w:lang w:eastAsia="en-GB"/>
          </w:rPr>
          <w:tab/>
        </w:r>
        <w:r w:rsidR="001C6C1E" w:rsidRPr="00C22CCB">
          <w:rPr>
            <w:rStyle w:val="Hyperlink"/>
            <w:i/>
            <w:iCs/>
            <w:noProof/>
          </w:rPr>
          <w:t>Physical soil functional parameters and indicators</w:t>
        </w:r>
        <w:r w:rsidR="001C6C1E">
          <w:rPr>
            <w:noProof/>
            <w:webHidden/>
          </w:rPr>
          <w:tab/>
        </w:r>
        <w:r w:rsidR="001C6C1E">
          <w:rPr>
            <w:noProof/>
            <w:webHidden/>
          </w:rPr>
          <w:fldChar w:fldCharType="begin"/>
        </w:r>
        <w:r w:rsidR="001C6C1E">
          <w:rPr>
            <w:noProof/>
            <w:webHidden/>
          </w:rPr>
          <w:instrText xml:space="preserve"> PAGEREF _Toc83997398 \h </w:instrText>
        </w:r>
        <w:r w:rsidR="001C6C1E">
          <w:rPr>
            <w:noProof/>
            <w:webHidden/>
          </w:rPr>
        </w:r>
        <w:r w:rsidR="001C6C1E">
          <w:rPr>
            <w:noProof/>
            <w:webHidden/>
          </w:rPr>
          <w:fldChar w:fldCharType="separate"/>
        </w:r>
        <w:r w:rsidR="0067767C">
          <w:rPr>
            <w:noProof/>
            <w:webHidden/>
          </w:rPr>
          <w:t>92</w:t>
        </w:r>
        <w:r w:rsidR="001C6C1E">
          <w:rPr>
            <w:noProof/>
            <w:webHidden/>
          </w:rPr>
          <w:fldChar w:fldCharType="end"/>
        </w:r>
      </w:hyperlink>
    </w:p>
    <w:p w14:paraId="5ABB30DE" w14:textId="29414158" w:rsidR="001C6C1E" w:rsidRDefault="00742092">
      <w:pPr>
        <w:pStyle w:val="Verzeichnis2"/>
        <w:rPr>
          <w:rFonts w:asciiTheme="minorHAnsi" w:eastAsiaTheme="minorEastAsia" w:hAnsiTheme="minorHAnsi" w:cstheme="minorBidi"/>
          <w:noProof/>
          <w:szCs w:val="22"/>
          <w:lang w:eastAsia="en-GB"/>
        </w:rPr>
      </w:pPr>
      <w:hyperlink w:anchor="_Toc83997399" w:history="1">
        <w:r w:rsidR="001C6C1E" w:rsidRPr="00C22CCB">
          <w:rPr>
            <w:rStyle w:val="Hyperlink"/>
            <w:i/>
            <w:iCs/>
            <w:noProof/>
          </w:rPr>
          <w:t>8.2.2</w:t>
        </w:r>
        <w:r w:rsidR="001C6C1E">
          <w:rPr>
            <w:rFonts w:asciiTheme="minorHAnsi" w:eastAsiaTheme="minorEastAsia" w:hAnsiTheme="minorHAnsi" w:cstheme="minorBidi"/>
            <w:noProof/>
            <w:szCs w:val="22"/>
            <w:lang w:eastAsia="en-GB"/>
          </w:rPr>
          <w:tab/>
        </w:r>
        <w:r w:rsidR="001C6C1E" w:rsidRPr="00C22CCB">
          <w:rPr>
            <w:rStyle w:val="Hyperlink"/>
            <w:i/>
            <w:iCs/>
            <w:noProof/>
          </w:rPr>
          <w:t>Suggestions to include compaction indicators in a Tiered monitoring</w:t>
        </w:r>
        <w:r w:rsidR="001C6C1E">
          <w:rPr>
            <w:noProof/>
            <w:webHidden/>
          </w:rPr>
          <w:tab/>
        </w:r>
        <w:r w:rsidR="001C6C1E">
          <w:rPr>
            <w:noProof/>
            <w:webHidden/>
          </w:rPr>
          <w:fldChar w:fldCharType="begin"/>
        </w:r>
        <w:r w:rsidR="001C6C1E">
          <w:rPr>
            <w:noProof/>
            <w:webHidden/>
          </w:rPr>
          <w:instrText xml:space="preserve"> PAGEREF _Toc83997399 \h </w:instrText>
        </w:r>
        <w:r w:rsidR="001C6C1E">
          <w:rPr>
            <w:noProof/>
            <w:webHidden/>
          </w:rPr>
        </w:r>
        <w:r w:rsidR="001C6C1E">
          <w:rPr>
            <w:noProof/>
            <w:webHidden/>
          </w:rPr>
          <w:fldChar w:fldCharType="separate"/>
        </w:r>
        <w:r w:rsidR="0067767C">
          <w:rPr>
            <w:noProof/>
            <w:webHidden/>
          </w:rPr>
          <w:t>95</w:t>
        </w:r>
        <w:r w:rsidR="001C6C1E">
          <w:rPr>
            <w:noProof/>
            <w:webHidden/>
          </w:rPr>
          <w:fldChar w:fldCharType="end"/>
        </w:r>
      </w:hyperlink>
    </w:p>
    <w:p w14:paraId="5A4E8891" w14:textId="5C285ECF" w:rsidR="001C6C1E" w:rsidRDefault="00742092">
      <w:pPr>
        <w:pStyle w:val="Verzeichnis2"/>
        <w:rPr>
          <w:rFonts w:asciiTheme="minorHAnsi" w:eastAsiaTheme="minorEastAsia" w:hAnsiTheme="minorHAnsi" w:cstheme="minorBidi"/>
          <w:noProof/>
          <w:szCs w:val="22"/>
          <w:lang w:eastAsia="en-GB"/>
        </w:rPr>
      </w:pPr>
      <w:hyperlink w:anchor="_Toc83997400" w:history="1">
        <w:r w:rsidR="001C6C1E" w:rsidRPr="00C22CCB">
          <w:rPr>
            <w:rStyle w:val="Hyperlink"/>
            <w:rFonts w:asciiTheme="majorHAnsi" w:hAnsiTheme="majorHAnsi" w:cstheme="majorHAnsi"/>
            <w:noProof/>
            <w:lang w:val="en-US"/>
          </w:rPr>
          <w:t>8.3</w:t>
        </w:r>
        <w:r w:rsidR="001C6C1E">
          <w:rPr>
            <w:rFonts w:asciiTheme="minorHAnsi" w:eastAsiaTheme="minorEastAsia" w:hAnsiTheme="minorHAnsi" w:cstheme="minorBidi"/>
            <w:noProof/>
            <w:szCs w:val="22"/>
            <w:lang w:eastAsia="en-GB"/>
          </w:rPr>
          <w:tab/>
        </w:r>
        <w:r w:rsidR="001C6C1E" w:rsidRPr="00C22CCB">
          <w:rPr>
            <w:rStyle w:val="Hyperlink"/>
            <w:rFonts w:asciiTheme="majorHAnsi" w:hAnsiTheme="majorHAnsi" w:cstheme="majorHAnsi"/>
            <w:noProof/>
            <w:lang w:val="en-US"/>
          </w:rPr>
          <w:t>Critical limits</w:t>
        </w:r>
        <w:r w:rsidR="001C6C1E">
          <w:rPr>
            <w:noProof/>
            <w:webHidden/>
          </w:rPr>
          <w:tab/>
        </w:r>
        <w:r w:rsidR="001C6C1E">
          <w:rPr>
            <w:noProof/>
            <w:webHidden/>
          </w:rPr>
          <w:fldChar w:fldCharType="begin"/>
        </w:r>
        <w:r w:rsidR="001C6C1E">
          <w:rPr>
            <w:noProof/>
            <w:webHidden/>
          </w:rPr>
          <w:instrText xml:space="preserve"> PAGEREF _Toc83997400 \h </w:instrText>
        </w:r>
        <w:r w:rsidR="001C6C1E">
          <w:rPr>
            <w:noProof/>
            <w:webHidden/>
          </w:rPr>
        </w:r>
        <w:r w:rsidR="001C6C1E">
          <w:rPr>
            <w:noProof/>
            <w:webHidden/>
          </w:rPr>
          <w:fldChar w:fldCharType="separate"/>
        </w:r>
        <w:r w:rsidR="0067767C">
          <w:rPr>
            <w:noProof/>
            <w:webHidden/>
          </w:rPr>
          <w:t>96</w:t>
        </w:r>
        <w:r w:rsidR="001C6C1E">
          <w:rPr>
            <w:noProof/>
            <w:webHidden/>
          </w:rPr>
          <w:fldChar w:fldCharType="end"/>
        </w:r>
      </w:hyperlink>
    </w:p>
    <w:p w14:paraId="11DA0D4D" w14:textId="48D6DACE" w:rsidR="001C6C1E" w:rsidRDefault="00742092">
      <w:pPr>
        <w:pStyle w:val="Verzeichnis2"/>
        <w:rPr>
          <w:rFonts w:asciiTheme="minorHAnsi" w:eastAsiaTheme="minorEastAsia" w:hAnsiTheme="minorHAnsi" w:cstheme="minorBidi"/>
          <w:noProof/>
          <w:szCs w:val="22"/>
          <w:lang w:eastAsia="en-GB"/>
        </w:rPr>
      </w:pPr>
      <w:hyperlink w:anchor="_Toc83997401" w:history="1">
        <w:r w:rsidR="001C6C1E" w:rsidRPr="00C22CCB">
          <w:rPr>
            <w:rStyle w:val="Hyperlink"/>
            <w:rFonts w:asciiTheme="majorHAnsi" w:hAnsiTheme="majorHAnsi" w:cstheme="majorHAnsi"/>
            <w:noProof/>
            <w:lang w:val="en-US"/>
          </w:rPr>
          <w:t>8.4</w:t>
        </w:r>
        <w:r w:rsidR="001C6C1E">
          <w:rPr>
            <w:rFonts w:asciiTheme="minorHAnsi" w:eastAsiaTheme="minorEastAsia" w:hAnsiTheme="minorHAnsi" w:cstheme="minorBidi"/>
            <w:noProof/>
            <w:szCs w:val="22"/>
            <w:lang w:eastAsia="en-GB"/>
          </w:rPr>
          <w:tab/>
        </w:r>
        <w:r w:rsidR="001C6C1E" w:rsidRPr="00C22CCB">
          <w:rPr>
            <w:rStyle w:val="Hyperlink"/>
            <w:rFonts w:asciiTheme="majorHAnsi" w:hAnsiTheme="majorHAnsi" w:cstheme="majorHAnsi"/>
            <w:noProof/>
            <w:lang w:val="en-US"/>
          </w:rPr>
          <w:t>Tools to monitor soil compaction</w:t>
        </w:r>
        <w:r w:rsidR="001C6C1E">
          <w:rPr>
            <w:noProof/>
            <w:webHidden/>
          </w:rPr>
          <w:tab/>
        </w:r>
        <w:r w:rsidR="001C6C1E">
          <w:rPr>
            <w:noProof/>
            <w:webHidden/>
          </w:rPr>
          <w:fldChar w:fldCharType="begin"/>
        </w:r>
        <w:r w:rsidR="001C6C1E">
          <w:rPr>
            <w:noProof/>
            <w:webHidden/>
          </w:rPr>
          <w:instrText xml:space="preserve"> PAGEREF _Toc83997401 \h </w:instrText>
        </w:r>
        <w:r w:rsidR="001C6C1E">
          <w:rPr>
            <w:noProof/>
            <w:webHidden/>
          </w:rPr>
        </w:r>
        <w:r w:rsidR="001C6C1E">
          <w:rPr>
            <w:noProof/>
            <w:webHidden/>
          </w:rPr>
          <w:fldChar w:fldCharType="separate"/>
        </w:r>
        <w:r w:rsidR="0067767C">
          <w:rPr>
            <w:noProof/>
            <w:webHidden/>
          </w:rPr>
          <w:t>98</w:t>
        </w:r>
        <w:r w:rsidR="001C6C1E">
          <w:rPr>
            <w:noProof/>
            <w:webHidden/>
          </w:rPr>
          <w:fldChar w:fldCharType="end"/>
        </w:r>
      </w:hyperlink>
    </w:p>
    <w:p w14:paraId="753D08A7" w14:textId="6B97508E" w:rsidR="001C6C1E" w:rsidRDefault="00742092">
      <w:pPr>
        <w:pStyle w:val="Verzeichnis2"/>
        <w:rPr>
          <w:rFonts w:asciiTheme="minorHAnsi" w:eastAsiaTheme="minorEastAsia" w:hAnsiTheme="minorHAnsi" w:cstheme="minorBidi"/>
          <w:noProof/>
          <w:szCs w:val="22"/>
          <w:lang w:eastAsia="en-GB"/>
        </w:rPr>
      </w:pPr>
      <w:hyperlink w:anchor="_Toc83997402" w:history="1">
        <w:r w:rsidR="001C6C1E" w:rsidRPr="00C22CCB">
          <w:rPr>
            <w:rStyle w:val="Hyperlink"/>
            <w:i/>
            <w:iCs/>
            <w:noProof/>
          </w:rPr>
          <w:t>8.4.1</w:t>
        </w:r>
        <w:r w:rsidR="001C6C1E">
          <w:rPr>
            <w:rFonts w:asciiTheme="minorHAnsi" w:eastAsiaTheme="minorEastAsia" w:hAnsiTheme="minorHAnsi" w:cstheme="minorBidi"/>
            <w:noProof/>
            <w:szCs w:val="22"/>
            <w:lang w:eastAsia="en-GB"/>
          </w:rPr>
          <w:tab/>
        </w:r>
        <w:r w:rsidR="001C6C1E" w:rsidRPr="00C22CCB">
          <w:rPr>
            <w:rStyle w:val="Hyperlink"/>
            <w:i/>
            <w:iCs/>
            <w:noProof/>
          </w:rPr>
          <w:t>Soil compaction models</w:t>
        </w:r>
        <w:r w:rsidR="001C6C1E">
          <w:rPr>
            <w:noProof/>
            <w:webHidden/>
          </w:rPr>
          <w:tab/>
        </w:r>
        <w:r w:rsidR="001C6C1E">
          <w:rPr>
            <w:noProof/>
            <w:webHidden/>
          </w:rPr>
          <w:fldChar w:fldCharType="begin"/>
        </w:r>
        <w:r w:rsidR="001C6C1E">
          <w:rPr>
            <w:noProof/>
            <w:webHidden/>
          </w:rPr>
          <w:instrText xml:space="preserve"> PAGEREF _Toc83997402 \h </w:instrText>
        </w:r>
        <w:r w:rsidR="001C6C1E">
          <w:rPr>
            <w:noProof/>
            <w:webHidden/>
          </w:rPr>
        </w:r>
        <w:r w:rsidR="001C6C1E">
          <w:rPr>
            <w:noProof/>
            <w:webHidden/>
          </w:rPr>
          <w:fldChar w:fldCharType="separate"/>
        </w:r>
        <w:r w:rsidR="0067767C">
          <w:rPr>
            <w:noProof/>
            <w:webHidden/>
          </w:rPr>
          <w:t>98</w:t>
        </w:r>
        <w:r w:rsidR="001C6C1E">
          <w:rPr>
            <w:noProof/>
            <w:webHidden/>
          </w:rPr>
          <w:fldChar w:fldCharType="end"/>
        </w:r>
      </w:hyperlink>
    </w:p>
    <w:p w14:paraId="4181EC06" w14:textId="6912DFA6" w:rsidR="001C6C1E" w:rsidRDefault="00742092">
      <w:pPr>
        <w:pStyle w:val="Verzeichnis2"/>
        <w:rPr>
          <w:rFonts w:asciiTheme="minorHAnsi" w:eastAsiaTheme="minorEastAsia" w:hAnsiTheme="minorHAnsi" w:cstheme="minorBidi"/>
          <w:noProof/>
          <w:szCs w:val="22"/>
          <w:lang w:eastAsia="en-GB"/>
        </w:rPr>
      </w:pPr>
      <w:hyperlink w:anchor="_Toc83997403" w:history="1">
        <w:r w:rsidR="001C6C1E" w:rsidRPr="00C22CCB">
          <w:rPr>
            <w:rStyle w:val="Hyperlink"/>
            <w:i/>
            <w:iCs/>
            <w:noProof/>
          </w:rPr>
          <w:t>8.4.2</w:t>
        </w:r>
        <w:r w:rsidR="001C6C1E">
          <w:rPr>
            <w:rFonts w:asciiTheme="minorHAnsi" w:eastAsiaTheme="minorEastAsia" w:hAnsiTheme="minorHAnsi" w:cstheme="minorBidi"/>
            <w:noProof/>
            <w:szCs w:val="22"/>
            <w:lang w:eastAsia="en-GB"/>
          </w:rPr>
          <w:tab/>
        </w:r>
        <w:r w:rsidR="001C6C1E" w:rsidRPr="00C22CCB">
          <w:rPr>
            <w:rStyle w:val="Hyperlink"/>
            <w:i/>
            <w:iCs/>
            <w:noProof/>
          </w:rPr>
          <w:t>Compaction Verification Tool (CVT)</w:t>
        </w:r>
        <w:r w:rsidR="001C6C1E">
          <w:rPr>
            <w:noProof/>
            <w:webHidden/>
          </w:rPr>
          <w:tab/>
        </w:r>
        <w:r w:rsidR="001C6C1E">
          <w:rPr>
            <w:noProof/>
            <w:webHidden/>
          </w:rPr>
          <w:fldChar w:fldCharType="begin"/>
        </w:r>
        <w:r w:rsidR="001C6C1E">
          <w:rPr>
            <w:noProof/>
            <w:webHidden/>
          </w:rPr>
          <w:instrText xml:space="preserve"> PAGEREF _Toc83997403 \h </w:instrText>
        </w:r>
        <w:r w:rsidR="001C6C1E">
          <w:rPr>
            <w:noProof/>
            <w:webHidden/>
          </w:rPr>
        </w:r>
        <w:r w:rsidR="001C6C1E">
          <w:rPr>
            <w:noProof/>
            <w:webHidden/>
          </w:rPr>
          <w:fldChar w:fldCharType="separate"/>
        </w:r>
        <w:r w:rsidR="0067767C">
          <w:rPr>
            <w:noProof/>
            <w:webHidden/>
          </w:rPr>
          <w:t>98</w:t>
        </w:r>
        <w:r w:rsidR="001C6C1E">
          <w:rPr>
            <w:noProof/>
            <w:webHidden/>
          </w:rPr>
          <w:fldChar w:fldCharType="end"/>
        </w:r>
      </w:hyperlink>
    </w:p>
    <w:p w14:paraId="304877AD" w14:textId="667CE50F" w:rsidR="001C6C1E" w:rsidRDefault="00742092">
      <w:pPr>
        <w:pStyle w:val="Verzeichnis1"/>
        <w:rPr>
          <w:rFonts w:asciiTheme="minorHAnsi" w:eastAsiaTheme="minorEastAsia" w:hAnsiTheme="minorHAnsi" w:cstheme="minorBidi"/>
          <w:noProof/>
          <w:szCs w:val="22"/>
          <w:lang w:eastAsia="en-GB"/>
        </w:rPr>
      </w:pPr>
      <w:hyperlink w:anchor="_Toc83997404" w:history="1">
        <w:r w:rsidR="001C6C1E" w:rsidRPr="00C22CCB">
          <w:rPr>
            <w:rStyle w:val="Hyperlink"/>
            <w:noProof/>
          </w:rPr>
          <w:t>9</w:t>
        </w:r>
        <w:r w:rsidR="001C6C1E">
          <w:rPr>
            <w:rFonts w:asciiTheme="minorHAnsi" w:eastAsiaTheme="minorEastAsia" w:hAnsiTheme="minorHAnsi" w:cstheme="minorBidi"/>
            <w:noProof/>
            <w:szCs w:val="22"/>
            <w:lang w:eastAsia="en-GB"/>
          </w:rPr>
          <w:tab/>
        </w:r>
        <w:r w:rsidR="001C6C1E" w:rsidRPr="00C22CCB">
          <w:rPr>
            <w:rStyle w:val="Hyperlink"/>
            <w:noProof/>
          </w:rPr>
          <w:t>Soil sealing</w:t>
        </w:r>
        <w:r w:rsidR="001C6C1E">
          <w:rPr>
            <w:noProof/>
            <w:webHidden/>
          </w:rPr>
          <w:tab/>
        </w:r>
        <w:r w:rsidR="001C6C1E">
          <w:rPr>
            <w:noProof/>
            <w:webHidden/>
          </w:rPr>
          <w:fldChar w:fldCharType="begin"/>
        </w:r>
        <w:r w:rsidR="001C6C1E">
          <w:rPr>
            <w:noProof/>
            <w:webHidden/>
          </w:rPr>
          <w:instrText xml:space="preserve"> PAGEREF _Toc83997404 \h </w:instrText>
        </w:r>
        <w:r w:rsidR="001C6C1E">
          <w:rPr>
            <w:noProof/>
            <w:webHidden/>
          </w:rPr>
        </w:r>
        <w:r w:rsidR="001C6C1E">
          <w:rPr>
            <w:noProof/>
            <w:webHidden/>
          </w:rPr>
          <w:fldChar w:fldCharType="separate"/>
        </w:r>
        <w:r w:rsidR="0067767C">
          <w:rPr>
            <w:noProof/>
            <w:webHidden/>
          </w:rPr>
          <w:t>101</w:t>
        </w:r>
        <w:r w:rsidR="001C6C1E">
          <w:rPr>
            <w:noProof/>
            <w:webHidden/>
          </w:rPr>
          <w:fldChar w:fldCharType="end"/>
        </w:r>
      </w:hyperlink>
    </w:p>
    <w:p w14:paraId="6723E4FD" w14:textId="3AE86B51" w:rsidR="001C6C1E" w:rsidRDefault="00742092">
      <w:pPr>
        <w:pStyle w:val="Verzeichnis2"/>
        <w:rPr>
          <w:rFonts w:asciiTheme="minorHAnsi" w:eastAsiaTheme="minorEastAsia" w:hAnsiTheme="minorHAnsi" w:cstheme="minorBidi"/>
          <w:noProof/>
          <w:szCs w:val="22"/>
          <w:lang w:eastAsia="en-GB"/>
        </w:rPr>
      </w:pPr>
      <w:hyperlink w:anchor="_Toc83997405" w:history="1">
        <w:r w:rsidR="001C6C1E" w:rsidRPr="00C22CCB">
          <w:rPr>
            <w:rStyle w:val="Hyperlink"/>
            <w:noProof/>
          </w:rPr>
          <w:t>9.1</w:t>
        </w:r>
        <w:r w:rsidR="001C6C1E">
          <w:rPr>
            <w:rFonts w:asciiTheme="minorHAnsi" w:eastAsiaTheme="minorEastAsia" w:hAnsiTheme="minorHAnsi" w:cstheme="minorBidi"/>
            <w:noProof/>
            <w:szCs w:val="22"/>
            <w:lang w:eastAsia="en-GB"/>
          </w:rPr>
          <w:tab/>
        </w:r>
        <w:r w:rsidR="001C6C1E" w:rsidRPr="00C22CCB">
          <w:rPr>
            <w:rStyle w:val="Hyperlink"/>
            <w:noProof/>
          </w:rPr>
          <w:t>Rationale “Soil sealing”</w:t>
        </w:r>
        <w:r w:rsidR="001C6C1E">
          <w:rPr>
            <w:noProof/>
            <w:webHidden/>
          </w:rPr>
          <w:tab/>
        </w:r>
        <w:r w:rsidR="001C6C1E">
          <w:rPr>
            <w:noProof/>
            <w:webHidden/>
          </w:rPr>
          <w:fldChar w:fldCharType="begin"/>
        </w:r>
        <w:r w:rsidR="001C6C1E">
          <w:rPr>
            <w:noProof/>
            <w:webHidden/>
          </w:rPr>
          <w:instrText xml:space="preserve"> PAGEREF _Toc83997405 \h </w:instrText>
        </w:r>
        <w:r w:rsidR="001C6C1E">
          <w:rPr>
            <w:noProof/>
            <w:webHidden/>
          </w:rPr>
        </w:r>
        <w:r w:rsidR="001C6C1E">
          <w:rPr>
            <w:noProof/>
            <w:webHidden/>
          </w:rPr>
          <w:fldChar w:fldCharType="separate"/>
        </w:r>
        <w:r w:rsidR="0067767C">
          <w:rPr>
            <w:noProof/>
            <w:webHidden/>
          </w:rPr>
          <w:t>101</w:t>
        </w:r>
        <w:r w:rsidR="001C6C1E">
          <w:rPr>
            <w:noProof/>
            <w:webHidden/>
          </w:rPr>
          <w:fldChar w:fldCharType="end"/>
        </w:r>
      </w:hyperlink>
    </w:p>
    <w:p w14:paraId="6714A024" w14:textId="5217B233" w:rsidR="001C6C1E" w:rsidRDefault="00742092">
      <w:pPr>
        <w:pStyle w:val="Verzeichnis2"/>
        <w:rPr>
          <w:rFonts w:asciiTheme="minorHAnsi" w:eastAsiaTheme="minorEastAsia" w:hAnsiTheme="minorHAnsi" w:cstheme="minorBidi"/>
          <w:noProof/>
          <w:szCs w:val="22"/>
          <w:lang w:eastAsia="en-GB"/>
        </w:rPr>
      </w:pPr>
      <w:hyperlink w:anchor="_Toc83997406" w:history="1">
        <w:r w:rsidR="001C6C1E" w:rsidRPr="00C22CCB">
          <w:rPr>
            <w:rStyle w:val="Hyperlink"/>
            <w:noProof/>
          </w:rPr>
          <w:t>9.2</w:t>
        </w:r>
        <w:r w:rsidR="001C6C1E">
          <w:rPr>
            <w:rFonts w:asciiTheme="minorHAnsi" w:eastAsiaTheme="minorEastAsia" w:hAnsiTheme="minorHAnsi" w:cstheme="minorBidi"/>
            <w:noProof/>
            <w:szCs w:val="22"/>
            <w:lang w:eastAsia="en-GB"/>
          </w:rPr>
          <w:tab/>
        </w:r>
        <w:r w:rsidR="001C6C1E" w:rsidRPr="00C22CCB">
          <w:rPr>
            <w:rStyle w:val="Hyperlink"/>
            <w:noProof/>
          </w:rPr>
          <w:t>Indicator specification</w:t>
        </w:r>
        <w:r w:rsidR="001C6C1E">
          <w:rPr>
            <w:noProof/>
            <w:webHidden/>
          </w:rPr>
          <w:tab/>
        </w:r>
        <w:r w:rsidR="001C6C1E">
          <w:rPr>
            <w:noProof/>
            <w:webHidden/>
          </w:rPr>
          <w:fldChar w:fldCharType="begin"/>
        </w:r>
        <w:r w:rsidR="001C6C1E">
          <w:rPr>
            <w:noProof/>
            <w:webHidden/>
          </w:rPr>
          <w:instrText xml:space="preserve"> PAGEREF _Toc83997406 \h </w:instrText>
        </w:r>
        <w:r w:rsidR="001C6C1E">
          <w:rPr>
            <w:noProof/>
            <w:webHidden/>
          </w:rPr>
        </w:r>
        <w:r w:rsidR="001C6C1E">
          <w:rPr>
            <w:noProof/>
            <w:webHidden/>
          </w:rPr>
          <w:fldChar w:fldCharType="separate"/>
        </w:r>
        <w:r w:rsidR="0067767C">
          <w:rPr>
            <w:noProof/>
            <w:webHidden/>
          </w:rPr>
          <w:t>102</w:t>
        </w:r>
        <w:r w:rsidR="001C6C1E">
          <w:rPr>
            <w:noProof/>
            <w:webHidden/>
          </w:rPr>
          <w:fldChar w:fldCharType="end"/>
        </w:r>
      </w:hyperlink>
    </w:p>
    <w:p w14:paraId="1D5063F1" w14:textId="3BCCEC3A" w:rsidR="001C6C1E" w:rsidRDefault="00742092">
      <w:pPr>
        <w:pStyle w:val="Verzeichnis2"/>
        <w:rPr>
          <w:rFonts w:asciiTheme="minorHAnsi" w:eastAsiaTheme="minorEastAsia" w:hAnsiTheme="minorHAnsi" w:cstheme="minorBidi"/>
          <w:noProof/>
          <w:szCs w:val="22"/>
          <w:lang w:eastAsia="en-GB"/>
        </w:rPr>
      </w:pPr>
      <w:hyperlink w:anchor="_Toc83997407" w:history="1">
        <w:r w:rsidR="001C6C1E" w:rsidRPr="00C22CCB">
          <w:rPr>
            <w:rStyle w:val="Hyperlink"/>
            <w:i/>
            <w:iCs/>
            <w:noProof/>
          </w:rPr>
          <w:t>9.2.1</w:t>
        </w:r>
        <w:r w:rsidR="001C6C1E">
          <w:rPr>
            <w:rFonts w:asciiTheme="minorHAnsi" w:eastAsiaTheme="minorEastAsia" w:hAnsiTheme="minorHAnsi" w:cstheme="minorBidi"/>
            <w:noProof/>
            <w:szCs w:val="22"/>
            <w:lang w:eastAsia="en-GB"/>
          </w:rPr>
          <w:tab/>
        </w:r>
        <w:r w:rsidR="001C6C1E" w:rsidRPr="00C22CCB">
          <w:rPr>
            <w:rStyle w:val="Hyperlink"/>
            <w:i/>
            <w:iCs/>
            <w:noProof/>
          </w:rPr>
          <w:t>Satellite methods</w:t>
        </w:r>
        <w:r w:rsidR="001C6C1E">
          <w:rPr>
            <w:noProof/>
            <w:webHidden/>
          </w:rPr>
          <w:tab/>
        </w:r>
        <w:r w:rsidR="001C6C1E">
          <w:rPr>
            <w:noProof/>
            <w:webHidden/>
          </w:rPr>
          <w:fldChar w:fldCharType="begin"/>
        </w:r>
        <w:r w:rsidR="001C6C1E">
          <w:rPr>
            <w:noProof/>
            <w:webHidden/>
          </w:rPr>
          <w:instrText xml:space="preserve"> PAGEREF _Toc83997407 \h </w:instrText>
        </w:r>
        <w:r w:rsidR="001C6C1E">
          <w:rPr>
            <w:noProof/>
            <w:webHidden/>
          </w:rPr>
        </w:r>
        <w:r w:rsidR="001C6C1E">
          <w:rPr>
            <w:noProof/>
            <w:webHidden/>
          </w:rPr>
          <w:fldChar w:fldCharType="separate"/>
        </w:r>
        <w:r w:rsidR="0067767C">
          <w:rPr>
            <w:noProof/>
            <w:webHidden/>
          </w:rPr>
          <w:t>102</w:t>
        </w:r>
        <w:r w:rsidR="001C6C1E">
          <w:rPr>
            <w:noProof/>
            <w:webHidden/>
          </w:rPr>
          <w:fldChar w:fldCharType="end"/>
        </w:r>
      </w:hyperlink>
    </w:p>
    <w:p w14:paraId="3016C661" w14:textId="75C5B424" w:rsidR="001C6C1E" w:rsidRDefault="00742092">
      <w:pPr>
        <w:pStyle w:val="Verzeichnis2"/>
        <w:rPr>
          <w:rFonts w:asciiTheme="minorHAnsi" w:eastAsiaTheme="minorEastAsia" w:hAnsiTheme="minorHAnsi" w:cstheme="minorBidi"/>
          <w:noProof/>
          <w:szCs w:val="22"/>
          <w:lang w:eastAsia="en-GB"/>
        </w:rPr>
      </w:pPr>
      <w:hyperlink w:anchor="_Toc83997408" w:history="1">
        <w:r w:rsidR="001C6C1E" w:rsidRPr="00C22CCB">
          <w:rPr>
            <w:rStyle w:val="Hyperlink"/>
            <w:i/>
            <w:iCs/>
            <w:noProof/>
          </w:rPr>
          <w:t>9.2.2</w:t>
        </w:r>
        <w:r w:rsidR="001C6C1E">
          <w:rPr>
            <w:rFonts w:asciiTheme="minorHAnsi" w:eastAsiaTheme="minorEastAsia" w:hAnsiTheme="minorHAnsi" w:cstheme="minorBidi"/>
            <w:noProof/>
            <w:szCs w:val="22"/>
            <w:lang w:eastAsia="en-GB"/>
          </w:rPr>
          <w:tab/>
        </w:r>
        <w:r w:rsidR="001C6C1E" w:rsidRPr="00C22CCB">
          <w:rPr>
            <w:rStyle w:val="Hyperlink"/>
            <w:i/>
            <w:iCs/>
            <w:noProof/>
          </w:rPr>
          <w:t>Computation based on land use data from cadastres or aerial pictures</w:t>
        </w:r>
        <w:r w:rsidR="001C6C1E">
          <w:rPr>
            <w:noProof/>
            <w:webHidden/>
          </w:rPr>
          <w:tab/>
        </w:r>
        <w:r w:rsidR="001C6C1E">
          <w:rPr>
            <w:noProof/>
            <w:webHidden/>
          </w:rPr>
          <w:fldChar w:fldCharType="begin"/>
        </w:r>
        <w:r w:rsidR="001C6C1E">
          <w:rPr>
            <w:noProof/>
            <w:webHidden/>
          </w:rPr>
          <w:instrText xml:space="preserve"> PAGEREF _Toc83997408 \h </w:instrText>
        </w:r>
        <w:r w:rsidR="001C6C1E">
          <w:rPr>
            <w:noProof/>
            <w:webHidden/>
          </w:rPr>
        </w:r>
        <w:r w:rsidR="001C6C1E">
          <w:rPr>
            <w:noProof/>
            <w:webHidden/>
          </w:rPr>
          <w:fldChar w:fldCharType="separate"/>
        </w:r>
        <w:r w:rsidR="0067767C">
          <w:rPr>
            <w:noProof/>
            <w:webHidden/>
          </w:rPr>
          <w:t>103</w:t>
        </w:r>
        <w:r w:rsidR="001C6C1E">
          <w:rPr>
            <w:noProof/>
            <w:webHidden/>
          </w:rPr>
          <w:fldChar w:fldCharType="end"/>
        </w:r>
      </w:hyperlink>
    </w:p>
    <w:p w14:paraId="74C5490F" w14:textId="66C2D6D0" w:rsidR="001C6C1E" w:rsidRDefault="00742092">
      <w:pPr>
        <w:pStyle w:val="Verzeichnis2"/>
        <w:rPr>
          <w:rFonts w:asciiTheme="minorHAnsi" w:eastAsiaTheme="minorEastAsia" w:hAnsiTheme="minorHAnsi" w:cstheme="minorBidi"/>
          <w:noProof/>
          <w:szCs w:val="22"/>
          <w:lang w:eastAsia="en-GB"/>
        </w:rPr>
      </w:pPr>
      <w:hyperlink w:anchor="_Toc83997409" w:history="1">
        <w:r w:rsidR="001C6C1E" w:rsidRPr="00C22CCB">
          <w:rPr>
            <w:rStyle w:val="Hyperlink"/>
            <w:i/>
            <w:iCs/>
            <w:noProof/>
          </w:rPr>
          <w:t>9.2.3</w:t>
        </w:r>
        <w:r w:rsidR="001C6C1E">
          <w:rPr>
            <w:rFonts w:asciiTheme="minorHAnsi" w:eastAsiaTheme="minorEastAsia" w:hAnsiTheme="minorHAnsi" w:cstheme="minorBidi"/>
            <w:noProof/>
            <w:szCs w:val="22"/>
            <w:lang w:eastAsia="en-GB"/>
          </w:rPr>
          <w:tab/>
        </w:r>
        <w:r w:rsidR="001C6C1E" w:rsidRPr="00C22CCB">
          <w:rPr>
            <w:rStyle w:val="Hyperlink"/>
            <w:i/>
            <w:iCs/>
            <w:noProof/>
          </w:rPr>
          <w:t>Comparison of national and European monitoring of soil sealing</w:t>
        </w:r>
        <w:r w:rsidR="001C6C1E">
          <w:rPr>
            <w:noProof/>
            <w:webHidden/>
          </w:rPr>
          <w:tab/>
        </w:r>
        <w:r w:rsidR="001C6C1E">
          <w:rPr>
            <w:noProof/>
            <w:webHidden/>
          </w:rPr>
          <w:fldChar w:fldCharType="begin"/>
        </w:r>
        <w:r w:rsidR="001C6C1E">
          <w:rPr>
            <w:noProof/>
            <w:webHidden/>
          </w:rPr>
          <w:instrText xml:space="preserve"> PAGEREF _Toc83997409 \h </w:instrText>
        </w:r>
        <w:r w:rsidR="001C6C1E">
          <w:rPr>
            <w:noProof/>
            <w:webHidden/>
          </w:rPr>
        </w:r>
        <w:r w:rsidR="001C6C1E">
          <w:rPr>
            <w:noProof/>
            <w:webHidden/>
          </w:rPr>
          <w:fldChar w:fldCharType="separate"/>
        </w:r>
        <w:r w:rsidR="0067767C">
          <w:rPr>
            <w:noProof/>
            <w:webHidden/>
          </w:rPr>
          <w:t>104</w:t>
        </w:r>
        <w:r w:rsidR="001C6C1E">
          <w:rPr>
            <w:noProof/>
            <w:webHidden/>
          </w:rPr>
          <w:fldChar w:fldCharType="end"/>
        </w:r>
      </w:hyperlink>
    </w:p>
    <w:p w14:paraId="4F90ABC6" w14:textId="385C43B7" w:rsidR="001C6C1E" w:rsidRDefault="00742092">
      <w:pPr>
        <w:pStyle w:val="Verzeichnis2"/>
        <w:rPr>
          <w:rFonts w:asciiTheme="minorHAnsi" w:eastAsiaTheme="minorEastAsia" w:hAnsiTheme="minorHAnsi" w:cstheme="minorBidi"/>
          <w:noProof/>
          <w:szCs w:val="22"/>
          <w:lang w:eastAsia="en-GB"/>
        </w:rPr>
      </w:pPr>
      <w:hyperlink w:anchor="_Toc83997410" w:history="1">
        <w:r w:rsidR="001C6C1E" w:rsidRPr="00C22CCB">
          <w:rPr>
            <w:rStyle w:val="Hyperlink"/>
            <w:noProof/>
          </w:rPr>
          <w:t>9.3</w:t>
        </w:r>
        <w:r w:rsidR="001C6C1E">
          <w:rPr>
            <w:rFonts w:asciiTheme="minorHAnsi" w:eastAsiaTheme="minorEastAsia" w:hAnsiTheme="minorHAnsi" w:cstheme="minorBidi"/>
            <w:noProof/>
            <w:szCs w:val="22"/>
            <w:lang w:eastAsia="en-GB"/>
          </w:rPr>
          <w:tab/>
        </w:r>
        <w:r w:rsidR="001C6C1E" w:rsidRPr="00C22CCB">
          <w:rPr>
            <w:rStyle w:val="Hyperlink"/>
            <w:noProof/>
          </w:rPr>
          <w:t>Baselines and target values</w:t>
        </w:r>
        <w:r w:rsidR="001C6C1E">
          <w:rPr>
            <w:noProof/>
            <w:webHidden/>
          </w:rPr>
          <w:tab/>
        </w:r>
        <w:r w:rsidR="001C6C1E">
          <w:rPr>
            <w:noProof/>
            <w:webHidden/>
          </w:rPr>
          <w:fldChar w:fldCharType="begin"/>
        </w:r>
        <w:r w:rsidR="001C6C1E">
          <w:rPr>
            <w:noProof/>
            <w:webHidden/>
          </w:rPr>
          <w:instrText xml:space="preserve"> PAGEREF _Toc83997410 \h </w:instrText>
        </w:r>
        <w:r w:rsidR="001C6C1E">
          <w:rPr>
            <w:noProof/>
            <w:webHidden/>
          </w:rPr>
        </w:r>
        <w:r w:rsidR="001C6C1E">
          <w:rPr>
            <w:noProof/>
            <w:webHidden/>
          </w:rPr>
          <w:fldChar w:fldCharType="separate"/>
        </w:r>
        <w:r w:rsidR="0067767C">
          <w:rPr>
            <w:noProof/>
            <w:webHidden/>
          </w:rPr>
          <w:t>105</w:t>
        </w:r>
        <w:r w:rsidR="001C6C1E">
          <w:rPr>
            <w:noProof/>
            <w:webHidden/>
          </w:rPr>
          <w:fldChar w:fldCharType="end"/>
        </w:r>
      </w:hyperlink>
    </w:p>
    <w:p w14:paraId="7C1AB759" w14:textId="4B0C66BB" w:rsidR="001C6C1E" w:rsidRDefault="00742092">
      <w:pPr>
        <w:pStyle w:val="Verzeichnis1"/>
        <w:rPr>
          <w:rFonts w:asciiTheme="minorHAnsi" w:eastAsiaTheme="minorEastAsia" w:hAnsiTheme="minorHAnsi" w:cstheme="minorBidi"/>
          <w:noProof/>
          <w:szCs w:val="22"/>
          <w:lang w:eastAsia="en-GB"/>
        </w:rPr>
      </w:pPr>
      <w:hyperlink w:anchor="_Toc83997411" w:history="1">
        <w:r w:rsidR="001C6C1E" w:rsidRPr="00C22CCB">
          <w:rPr>
            <w:rStyle w:val="Hyperlink"/>
            <w:noProof/>
          </w:rPr>
          <w:t>10</w:t>
        </w:r>
        <w:r w:rsidR="001C6C1E">
          <w:rPr>
            <w:rFonts w:asciiTheme="minorHAnsi" w:eastAsiaTheme="minorEastAsia" w:hAnsiTheme="minorHAnsi" w:cstheme="minorBidi"/>
            <w:noProof/>
            <w:szCs w:val="22"/>
            <w:lang w:eastAsia="en-GB"/>
          </w:rPr>
          <w:tab/>
        </w:r>
        <w:r w:rsidR="001C6C1E" w:rsidRPr="00C22CCB">
          <w:rPr>
            <w:rStyle w:val="Hyperlink"/>
            <w:noProof/>
          </w:rPr>
          <w:t>Multi-domain indicator system for soil observation</w:t>
        </w:r>
        <w:r w:rsidR="001C6C1E">
          <w:rPr>
            <w:noProof/>
            <w:webHidden/>
          </w:rPr>
          <w:tab/>
        </w:r>
        <w:r w:rsidR="001C6C1E">
          <w:rPr>
            <w:noProof/>
            <w:webHidden/>
          </w:rPr>
          <w:fldChar w:fldCharType="begin"/>
        </w:r>
        <w:r w:rsidR="001C6C1E">
          <w:rPr>
            <w:noProof/>
            <w:webHidden/>
          </w:rPr>
          <w:instrText xml:space="preserve"> PAGEREF _Toc83997411 \h </w:instrText>
        </w:r>
        <w:r w:rsidR="001C6C1E">
          <w:rPr>
            <w:noProof/>
            <w:webHidden/>
          </w:rPr>
        </w:r>
        <w:r w:rsidR="001C6C1E">
          <w:rPr>
            <w:noProof/>
            <w:webHidden/>
          </w:rPr>
          <w:fldChar w:fldCharType="separate"/>
        </w:r>
        <w:r w:rsidR="0067767C">
          <w:rPr>
            <w:noProof/>
            <w:webHidden/>
          </w:rPr>
          <w:t>107</w:t>
        </w:r>
        <w:r w:rsidR="001C6C1E">
          <w:rPr>
            <w:noProof/>
            <w:webHidden/>
          </w:rPr>
          <w:fldChar w:fldCharType="end"/>
        </w:r>
      </w:hyperlink>
    </w:p>
    <w:p w14:paraId="27F8CB2B" w14:textId="3AC55878" w:rsidR="001C6C1E" w:rsidRDefault="00742092">
      <w:pPr>
        <w:pStyle w:val="Verzeichnis2"/>
        <w:rPr>
          <w:rFonts w:asciiTheme="minorHAnsi" w:eastAsiaTheme="minorEastAsia" w:hAnsiTheme="minorHAnsi" w:cstheme="minorBidi"/>
          <w:noProof/>
          <w:szCs w:val="22"/>
          <w:lang w:eastAsia="en-GB"/>
        </w:rPr>
      </w:pPr>
      <w:hyperlink w:anchor="_Toc83997412" w:history="1">
        <w:r w:rsidR="001C6C1E" w:rsidRPr="00C22CCB">
          <w:rPr>
            <w:rStyle w:val="Hyperlink"/>
            <w:noProof/>
          </w:rPr>
          <w:t>10.1</w:t>
        </w:r>
        <w:r w:rsidR="001C6C1E">
          <w:rPr>
            <w:rFonts w:asciiTheme="minorHAnsi" w:eastAsiaTheme="minorEastAsia" w:hAnsiTheme="minorHAnsi" w:cstheme="minorBidi"/>
            <w:noProof/>
            <w:szCs w:val="22"/>
            <w:lang w:eastAsia="en-GB"/>
          </w:rPr>
          <w:tab/>
        </w:r>
        <w:r w:rsidR="001C6C1E" w:rsidRPr="00C22CCB">
          <w:rPr>
            <w:rStyle w:val="Hyperlink"/>
            <w:noProof/>
          </w:rPr>
          <w:t>Indicators and soil monitoring</w:t>
        </w:r>
        <w:r w:rsidR="001C6C1E">
          <w:rPr>
            <w:noProof/>
            <w:webHidden/>
          </w:rPr>
          <w:tab/>
        </w:r>
        <w:r w:rsidR="001C6C1E">
          <w:rPr>
            <w:noProof/>
            <w:webHidden/>
          </w:rPr>
          <w:fldChar w:fldCharType="begin"/>
        </w:r>
        <w:r w:rsidR="001C6C1E">
          <w:rPr>
            <w:noProof/>
            <w:webHidden/>
          </w:rPr>
          <w:instrText xml:space="preserve"> PAGEREF _Toc83997412 \h </w:instrText>
        </w:r>
        <w:r w:rsidR="001C6C1E">
          <w:rPr>
            <w:noProof/>
            <w:webHidden/>
          </w:rPr>
        </w:r>
        <w:r w:rsidR="001C6C1E">
          <w:rPr>
            <w:noProof/>
            <w:webHidden/>
          </w:rPr>
          <w:fldChar w:fldCharType="separate"/>
        </w:r>
        <w:r w:rsidR="0067767C">
          <w:rPr>
            <w:noProof/>
            <w:webHidden/>
          </w:rPr>
          <w:t>107</w:t>
        </w:r>
        <w:r w:rsidR="001C6C1E">
          <w:rPr>
            <w:noProof/>
            <w:webHidden/>
          </w:rPr>
          <w:fldChar w:fldCharType="end"/>
        </w:r>
      </w:hyperlink>
    </w:p>
    <w:p w14:paraId="0E96F196" w14:textId="079C8FB7" w:rsidR="001C6C1E" w:rsidRDefault="00742092">
      <w:pPr>
        <w:pStyle w:val="Verzeichnis2"/>
        <w:rPr>
          <w:rFonts w:asciiTheme="minorHAnsi" w:eastAsiaTheme="minorEastAsia" w:hAnsiTheme="minorHAnsi" w:cstheme="minorBidi"/>
          <w:noProof/>
          <w:szCs w:val="22"/>
          <w:lang w:eastAsia="en-GB"/>
        </w:rPr>
      </w:pPr>
      <w:hyperlink w:anchor="_Toc83997413" w:history="1">
        <w:r w:rsidR="001C6C1E" w:rsidRPr="00C22CCB">
          <w:rPr>
            <w:rStyle w:val="Hyperlink"/>
            <w:noProof/>
          </w:rPr>
          <w:t>10.2</w:t>
        </w:r>
        <w:r w:rsidR="001C6C1E">
          <w:rPr>
            <w:rFonts w:asciiTheme="minorHAnsi" w:eastAsiaTheme="minorEastAsia" w:hAnsiTheme="minorHAnsi" w:cstheme="minorBidi"/>
            <w:noProof/>
            <w:szCs w:val="22"/>
            <w:lang w:eastAsia="en-GB"/>
          </w:rPr>
          <w:tab/>
        </w:r>
        <w:r w:rsidR="001C6C1E" w:rsidRPr="00C22CCB">
          <w:rPr>
            <w:rStyle w:val="Hyperlink"/>
            <w:noProof/>
          </w:rPr>
          <w:t>Overview of indicators and thresholds</w:t>
        </w:r>
        <w:r w:rsidR="001C6C1E">
          <w:rPr>
            <w:noProof/>
            <w:webHidden/>
          </w:rPr>
          <w:tab/>
        </w:r>
        <w:r w:rsidR="001C6C1E">
          <w:rPr>
            <w:noProof/>
            <w:webHidden/>
          </w:rPr>
          <w:fldChar w:fldCharType="begin"/>
        </w:r>
        <w:r w:rsidR="001C6C1E">
          <w:rPr>
            <w:noProof/>
            <w:webHidden/>
          </w:rPr>
          <w:instrText xml:space="preserve"> PAGEREF _Toc83997413 \h </w:instrText>
        </w:r>
        <w:r w:rsidR="001C6C1E">
          <w:rPr>
            <w:noProof/>
            <w:webHidden/>
          </w:rPr>
        </w:r>
        <w:r w:rsidR="001C6C1E">
          <w:rPr>
            <w:noProof/>
            <w:webHidden/>
          </w:rPr>
          <w:fldChar w:fldCharType="separate"/>
        </w:r>
        <w:r w:rsidR="0067767C">
          <w:rPr>
            <w:noProof/>
            <w:webHidden/>
          </w:rPr>
          <w:t>109</w:t>
        </w:r>
        <w:r w:rsidR="001C6C1E">
          <w:rPr>
            <w:noProof/>
            <w:webHidden/>
          </w:rPr>
          <w:fldChar w:fldCharType="end"/>
        </w:r>
      </w:hyperlink>
    </w:p>
    <w:p w14:paraId="4FBECD79" w14:textId="2F456283" w:rsidR="001C6C1E" w:rsidRDefault="00742092">
      <w:pPr>
        <w:pStyle w:val="Verzeichnis2"/>
        <w:rPr>
          <w:rFonts w:asciiTheme="minorHAnsi" w:eastAsiaTheme="minorEastAsia" w:hAnsiTheme="minorHAnsi" w:cstheme="minorBidi"/>
          <w:noProof/>
          <w:szCs w:val="22"/>
          <w:lang w:eastAsia="en-GB"/>
        </w:rPr>
      </w:pPr>
      <w:hyperlink w:anchor="_Toc83997414" w:history="1">
        <w:r w:rsidR="001C6C1E" w:rsidRPr="00C22CCB">
          <w:rPr>
            <w:rStyle w:val="Hyperlink"/>
            <w:noProof/>
          </w:rPr>
          <w:t>10.3</w:t>
        </w:r>
        <w:r w:rsidR="001C6C1E">
          <w:rPr>
            <w:rFonts w:asciiTheme="minorHAnsi" w:eastAsiaTheme="minorEastAsia" w:hAnsiTheme="minorHAnsi" w:cstheme="minorBidi"/>
            <w:noProof/>
            <w:szCs w:val="22"/>
            <w:lang w:eastAsia="en-GB"/>
          </w:rPr>
          <w:tab/>
        </w:r>
        <w:r w:rsidR="001C6C1E" w:rsidRPr="00C22CCB">
          <w:rPr>
            <w:rStyle w:val="Hyperlink"/>
            <w:noProof/>
          </w:rPr>
          <w:t>Recommendations for soil monitoring and policy application of soil-related indicators</w:t>
        </w:r>
        <w:r w:rsidR="001C6C1E">
          <w:rPr>
            <w:noProof/>
            <w:webHidden/>
          </w:rPr>
          <w:tab/>
        </w:r>
        <w:r w:rsidR="001C6C1E">
          <w:rPr>
            <w:noProof/>
            <w:webHidden/>
          </w:rPr>
          <w:fldChar w:fldCharType="begin"/>
        </w:r>
        <w:r w:rsidR="001C6C1E">
          <w:rPr>
            <w:noProof/>
            <w:webHidden/>
          </w:rPr>
          <w:instrText xml:space="preserve"> PAGEREF _Toc83997414 \h </w:instrText>
        </w:r>
        <w:r w:rsidR="001C6C1E">
          <w:rPr>
            <w:noProof/>
            <w:webHidden/>
          </w:rPr>
        </w:r>
        <w:r w:rsidR="001C6C1E">
          <w:rPr>
            <w:noProof/>
            <w:webHidden/>
          </w:rPr>
          <w:fldChar w:fldCharType="separate"/>
        </w:r>
        <w:r w:rsidR="0067767C">
          <w:rPr>
            <w:noProof/>
            <w:webHidden/>
          </w:rPr>
          <w:t>112</w:t>
        </w:r>
        <w:r w:rsidR="001C6C1E">
          <w:rPr>
            <w:noProof/>
            <w:webHidden/>
          </w:rPr>
          <w:fldChar w:fldCharType="end"/>
        </w:r>
      </w:hyperlink>
    </w:p>
    <w:p w14:paraId="65DD8DD2" w14:textId="3A792BBB" w:rsidR="001C6C1E" w:rsidRDefault="00742092">
      <w:pPr>
        <w:pStyle w:val="Verzeichnis1"/>
        <w:rPr>
          <w:rFonts w:asciiTheme="minorHAnsi" w:eastAsiaTheme="minorEastAsia" w:hAnsiTheme="minorHAnsi" w:cstheme="minorBidi"/>
          <w:noProof/>
          <w:szCs w:val="22"/>
          <w:lang w:eastAsia="en-GB"/>
        </w:rPr>
      </w:pPr>
      <w:hyperlink w:anchor="_Toc83997415" w:history="1">
        <w:r w:rsidR="001C6C1E" w:rsidRPr="00C22CCB">
          <w:rPr>
            <w:rStyle w:val="Hyperlink"/>
            <w:noProof/>
          </w:rPr>
          <w:t>11</w:t>
        </w:r>
        <w:r w:rsidR="001C6C1E">
          <w:rPr>
            <w:rFonts w:asciiTheme="minorHAnsi" w:eastAsiaTheme="minorEastAsia" w:hAnsiTheme="minorHAnsi" w:cstheme="minorBidi"/>
            <w:noProof/>
            <w:szCs w:val="22"/>
            <w:lang w:eastAsia="en-GB"/>
          </w:rPr>
          <w:tab/>
        </w:r>
        <w:r w:rsidR="001C6C1E" w:rsidRPr="00C22CCB">
          <w:rPr>
            <w:rStyle w:val="Hyperlink"/>
            <w:noProof/>
          </w:rPr>
          <w:t>References</w:t>
        </w:r>
        <w:r w:rsidR="001C6C1E">
          <w:rPr>
            <w:noProof/>
            <w:webHidden/>
          </w:rPr>
          <w:tab/>
        </w:r>
        <w:r w:rsidR="001C6C1E">
          <w:rPr>
            <w:noProof/>
            <w:webHidden/>
          </w:rPr>
          <w:fldChar w:fldCharType="begin"/>
        </w:r>
        <w:r w:rsidR="001C6C1E">
          <w:rPr>
            <w:noProof/>
            <w:webHidden/>
          </w:rPr>
          <w:instrText xml:space="preserve"> PAGEREF _Toc83997415 \h </w:instrText>
        </w:r>
        <w:r w:rsidR="001C6C1E">
          <w:rPr>
            <w:noProof/>
            <w:webHidden/>
          </w:rPr>
        </w:r>
        <w:r w:rsidR="001C6C1E">
          <w:rPr>
            <w:noProof/>
            <w:webHidden/>
          </w:rPr>
          <w:fldChar w:fldCharType="separate"/>
        </w:r>
        <w:r w:rsidR="0067767C">
          <w:rPr>
            <w:noProof/>
            <w:webHidden/>
          </w:rPr>
          <w:t>114</w:t>
        </w:r>
        <w:r w:rsidR="001C6C1E">
          <w:rPr>
            <w:noProof/>
            <w:webHidden/>
          </w:rPr>
          <w:fldChar w:fldCharType="end"/>
        </w:r>
      </w:hyperlink>
    </w:p>
    <w:p w14:paraId="7F969C95" w14:textId="7DE8191F" w:rsidR="001C6C1E" w:rsidRDefault="00742092">
      <w:pPr>
        <w:pStyle w:val="Verzeichnis2"/>
        <w:rPr>
          <w:rFonts w:asciiTheme="minorHAnsi" w:eastAsiaTheme="minorEastAsia" w:hAnsiTheme="minorHAnsi" w:cstheme="minorBidi"/>
          <w:noProof/>
          <w:szCs w:val="22"/>
          <w:lang w:eastAsia="en-GB"/>
        </w:rPr>
      </w:pPr>
      <w:hyperlink w:anchor="_Toc83997416" w:history="1">
        <w:r w:rsidR="001C6C1E" w:rsidRPr="00C22CCB">
          <w:rPr>
            <w:rStyle w:val="Hyperlink"/>
            <w:noProof/>
          </w:rPr>
          <w:t>11.1</w:t>
        </w:r>
        <w:r w:rsidR="001C6C1E">
          <w:rPr>
            <w:rFonts w:asciiTheme="minorHAnsi" w:eastAsiaTheme="minorEastAsia" w:hAnsiTheme="minorHAnsi" w:cstheme="minorBidi"/>
            <w:noProof/>
            <w:szCs w:val="22"/>
            <w:lang w:eastAsia="en-GB"/>
          </w:rPr>
          <w:tab/>
        </w:r>
        <w:r w:rsidR="001C6C1E" w:rsidRPr="00C22CCB">
          <w:rPr>
            <w:rStyle w:val="Hyperlink"/>
            <w:noProof/>
          </w:rPr>
          <w:t>Policy documents</w:t>
        </w:r>
        <w:r w:rsidR="001C6C1E">
          <w:rPr>
            <w:noProof/>
            <w:webHidden/>
          </w:rPr>
          <w:tab/>
        </w:r>
        <w:r w:rsidR="001C6C1E">
          <w:rPr>
            <w:noProof/>
            <w:webHidden/>
          </w:rPr>
          <w:fldChar w:fldCharType="begin"/>
        </w:r>
        <w:r w:rsidR="001C6C1E">
          <w:rPr>
            <w:noProof/>
            <w:webHidden/>
          </w:rPr>
          <w:instrText xml:space="preserve"> PAGEREF _Toc83997416 \h </w:instrText>
        </w:r>
        <w:r w:rsidR="001C6C1E">
          <w:rPr>
            <w:noProof/>
            <w:webHidden/>
          </w:rPr>
        </w:r>
        <w:r w:rsidR="001C6C1E">
          <w:rPr>
            <w:noProof/>
            <w:webHidden/>
          </w:rPr>
          <w:fldChar w:fldCharType="separate"/>
        </w:r>
        <w:r w:rsidR="0067767C">
          <w:rPr>
            <w:noProof/>
            <w:webHidden/>
          </w:rPr>
          <w:t>114</w:t>
        </w:r>
        <w:r w:rsidR="001C6C1E">
          <w:rPr>
            <w:noProof/>
            <w:webHidden/>
          </w:rPr>
          <w:fldChar w:fldCharType="end"/>
        </w:r>
      </w:hyperlink>
    </w:p>
    <w:p w14:paraId="50020487" w14:textId="6D5CC60A" w:rsidR="001C6C1E" w:rsidRDefault="00742092">
      <w:pPr>
        <w:pStyle w:val="Verzeichnis2"/>
        <w:rPr>
          <w:rFonts w:asciiTheme="minorHAnsi" w:eastAsiaTheme="minorEastAsia" w:hAnsiTheme="minorHAnsi" w:cstheme="minorBidi"/>
          <w:noProof/>
          <w:szCs w:val="22"/>
          <w:lang w:eastAsia="en-GB"/>
        </w:rPr>
      </w:pPr>
      <w:hyperlink w:anchor="_Toc83997417" w:history="1">
        <w:r w:rsidR="001C6C1E" w:rsidRPr="00C22CCB">
          <w:rPr>
            <w:rStyle w:val="Hyperlink"/>
            <w:noProof/>
          </w:rPr>
          <w:t>11.2</w:t>
        </w:r>
        <w:r w:rsidR="001C6C1E">
          <w:rPr>
            <w:rFonts w:asciiTheme="minorHAnsi" w:eastAsiaTheme="minorEastAsia" w:hAnsiTheme="minorHAnsi" w:cstheme="minorBidi"/>
            <w:noProof/>
            <w:szCs w:val="22"/>
            <w:lang w:eastAsia="en-GB"/>
          </w:rPr>
          <w:tab/>
        </w:r>
        <w:r w:rsidR="001C6C1E" w:rsidRPr="00C22CCB">
          <w:rPr>
            <w:rStyle w:val="Hyperlink"/>
            <w:noProof/>
          </w:rPr>
          <w:t>Soil organic carbon</w:t>
        </w:r>
        <w:r w:rsidR="001C6C1E">
          <w:rPr>
            <w:noProof/>
            <w:webHidden/>
          </w:rPr>
          <w:tab/>
        </w:r>
        <w:r w:rsidR="001C6C1E">
          <w:rPr>
            <w:noProof/>
            <w:webHidden/>
          </w:rPr>
          <w:fldChar w:fldCharType="begin"/>
        </w:r>
        <w:r w:rsidR="001C6C1E">
          <w:rPr>
            <w:noProof/>
            <w:webHidden/>
          </w:rPr>
          <w:instrText xml:space="preserve"> PAGEREF _Toc83997417 \h </w:instrText>
        </w:r>
        <w:r w:rsidR="001C6C1E">
          <w:rPr>
            <w:noProof/>
            <w:webHidden/>
          </w:rPr>
        </w:r>
        <w:r w:rsidR="001C6C1E">
          <w:rPr>
            <w:noProof/>
            <w:webHidden/>
          </w:rPr>
          <w:fldChar w:fldCharType="separate"/>
        </w:r>
        <w:r w:rsidR="0067767C">
          <w:rPr>
            <w:noProof/>
            <w:webHidden/>
          </w:rPr>
          <w:t>115</w:t>
        </w:r>
        <w:r w:rsidR="001C6C1E">
          <w:rPr>
            <w:noProof/>
            <w:webHidden/>
          </w:rPr>
          <w:fldChar w:fldCharType="end"/>
        </w:r>
      </w:hyperlink>
    </w:p>
    <w:p w14:paraId="78748761" w14:textId="29C9B9AA" w:rsidR="001C6C1E" w:rsidRDefault="00742092">
      <w:pPr>
        <w:pStyle w:val="Verzeichnis2"/>
        <w:rPr>
          <w:rFonts w:asciiTheme="minorHAnsi" w:eastAsiaTheme="minorEastAsia" w:hAnsiTheme="minorHAnsi" w:cstheme="minorBidi"/>
          <w:noProof/>
          <w:szCs w:val="22"/>
          <w:lang w:eastAsia="en-GB"/>
        </w:rPr>
      </w:pPr>
      <w:hyperlink w:anchor="_Toc83997418" w:history="1">
        <w:r w:rsidR="001C6C1E" w:rsidRPr="00C22CCB">
          <w:rPr>
            <w:rStyle w:val="Hyperlink"/>
            <w:noProof/>
          </w:rPr>
          <w:t>11.3</w:t>
        </w:r>
        <w:r w:rsidR="001C6C1E">
          <w:rPr>
            <w:rFonts w:asciiTheme="minorHAnsi" w:eastAsiaTheme="minorEastAsia" w:hAnsiTheme="minorHAnsi" w:cstheme="minorBidi"/>
            <w:noProof/>
            <w:szCs w:val="22"/>
            <w:lang w:eastAsia="en-GB"/>
          </w:rPr>
          <w:tab/>
        </w:r>
        <w:r w:rsidR="001C6C1E" w:rsidRPr="00C22CCB">
          <w:rPr>
            <w:rStyle w:val="Hyperlink"/>
            <w:noProof/>
          </w:rPr>
          <w:t>Soil nutrient status</w:t>
        </w:r>
        <w:r w:rsidR="001C6C1E">
          <w:rPr>
            <w:noProof/>
            <w:webHidden/>
          </w:rPr>
          <w:tab/>
        </w:r>
        <w:r w:rsidR="001C6C1E">
          <w:rPr>
            <w:noProof/>
            <w:webHidden/>
          </w:rPr>
          <w:fldChar w:fldCharType="begin"/>
        </w:r>
        <w:r w:rsidR="001C6C1E">
          <w:rPr>
            <w:noProof/>
            <w:webHidden/>
          </w:rPr>
          <w:instrText xml:space="preserve"> PAGEREF _Toc83997418 \h </w:instrText>
        </w:r>
        <w:r w:rsidR="001C6C1E">
          <w:rPr>
            <w:noProof/>
            <w:webHidden/>
          </w:rPr>
        </w:r>
        <w:r w:rsidR="001C6C1E">
          <w:rPr>
            <w:noProof/>
            <w:webHidden/>
          </w:rPr>
          <w:fldChar w:fldCharType="separate"/>
        </w:r>
        <w:r w:rsidR="0067767C">
          <w:rPr>
            <w:noProof/>
            <w:webHidden/>
          </w:rPr>
          <w:t>119</w:t>
        </w:r>
        <w:r w:rsidR="001C6C1E">
          <w:rPr>
            <w:noProof/>
            <w:webHidden/>
          </w:rPr>
          <w:fldChar w:fldCharType="end"/>
        </w:r>
      </w:hyperlink>
    </w:p>
    <w:p w14:paraId="297A9A5D" w14:textId="6998E6F0" w:rsidR="001C6C1E" w:rsidRDefault="00742092">
      <w:pPr>
        <w:pStyle w:val="Verzeichnis2"/>
        <w:rPr>
          <w:rFonts w:asciiTheme="minorHAnsi" w:eastAsiaTheme="minorEastAsia" w:hAnsiTheme="minorHAnsi" w:cstheme="minorBidi"/>
          <w:noProof/>
          <w:szCs w:val="22"/>
          <w:lang w:eastAsia="en-GB"/>
        </w:rPr>
      </w:pPr>
      <w:hyperlink w:anchor="_Toc83997419" w:history="1">
        <w:r w:rsidR="001C6C1E" w:rsidRPr="00C22CCB">
          <w:rPr>
            <w:rStyle w:val="Hyperlink"/>
            <w:noProof/>
          </w:rPr>
          <w:t>11.4</w:t>
        </w:r>
        <w:r w:rsidR="001C6C1E">
          <w:rPr>
            <w:rFonts w:asciiTheme="minorHAnsi" w:eastAsiaTheme="minorEastAsia" w:hAnsiTheme="minorHAnsi" w:cstheme="minorBidi"/>
            <w:noProof/>
            <w:szCs w:val="22"/>
            <w:lang w:eastAsia="en-GB"/>
          </w:rPr>
          <w:tab/>
        </w:r>
        <w:r w:rsidR="001C6C1E" w:rsidRPr="00C22CCB">
          <w:rPr>
            <w:rStyle w:val="Hyperlink"/>
            <w:noProof/>
          </w:rPr>
          <w:t>Soil acidification</w:t>
        </w:r>
        <w:r w:rsidR="001C6C1E">
          <w:rPr>
            <w:noProof/>
            <w:webHidden/>
          </w:rPr>
          <w:tab/>
        </w:r>
        <w:r w:rsidR="001C6C1E">
          <w:rPr>
            <w:noProof/>
            <w:webHidden/>
          </w:rPr>
          <w:fldChar w:fldCharType="begin"/>
        </w:r>
        <w:r w:rsidR="001C6C1E">
          <w:rPr>
            <w:noProof/>
            <w:webHidden/>
          </w:rPr>
          <w:instrText xml:space="preserve"> PAGEREF _Toc83997419 \h </w:instrText>
        </w:r>
        <w:r w:rsidR="001C6C1E">
          <w:rPr>
            <w:noProof/>
            <w:webHidden/>
          </w:rPr>
        </w:r>
        <w:r w:rsidR="001C6C1E">
          <w:rPr>
            <w:noProof/>
            <w:webHidden/>
          </w:rPr>
          <w:fldChar w:fldCharType="separate"/>
        </w:r>
        <w:r w:rsidR="0067767C">
          <w:rPr>
            <w:noProof/>
            <w:webHidden/>
          </w:rPr>
          <w:t>122</w:t>
        </w:r>
        <w:r w:rsidR="001C6C1E">
          <w:rPr>
            <w:noProof/>
            <w:webHidden/>
          </w:rPr>
          <w:fldChar w:fldCharType="end"/>
        </w:r>
      </w:hyperlink>
    </w:p>
    <w:p w14:paraId="5F809AA7" w14:textId="216DACEA" w:rsidR="001C6C1E" w:rsidRDefault="00742092">
      <w:pPr>
        <w:pStyle w:val="Verzeichnis2"/>
        <w:rPr>
          <w:rFonts w:asciiTheme="minorHAnsi" w:eastAsiaTheme="minorEastAsia" w:hAnsiTheme="minorHAnsi" w:cstheme="minorBidi"/>
          <w:noProof/>
          <w:szCs w:val="22"/>
          <w:lang w:eastAsia="en-GB"/>
        </w:rPr>
      </w:pPr>
      <w:hyperlink w:anchor="_Toc83997420" w:history="1">
        <w:r w:rsidR="001C6C1E" w:rsidRPr="00C22CCB">
          <w:rPr>
            <w:rStyle w:val="Hyperlink"/>
            <w:noProof/>
          </w:rPr>
          <w:t>11.5</w:t>
        </w:r>
        <w:r w:rsidR="001C6C1E">
          <w:rPr>
            <w:rFonts w:asciiTheme="minorHAnsi" w:eastAsiaTheme="minorEastAsia" w:hAnsiTheme="minorHAnsi" w:cstheme="minorBidi"/>
            <w:noProof/>
            <w:szCs w:val="22"/>
            <w:lang w:eastAsia="en-GB"/>
          </w:rPr>
          <w:tab/>
        </w:r>
        <w:r w:rsidR="001C6C1E" w:rsidRPr="00C22CCB">
          <w:rPr>
            <w:rStyle w:val="Hyperlink"/>
            <w:noProof/>
          </w:rPr>
          <w:t>Soil pollution</w:t>
        </w:r>
        <w:r w:rsidR="001C6C1E">
          <w:rPr>
            <w:noProof/>
            <w:webHidden/>
          </w:rPr>
          <w:tab/>
        </w:r>
        <w:r w:rsidR="001C6C1E">
          <w:rPr>
            <w:noProof/>
            <w:webHidden/>
          </w:rPr>
          <w:fldChar w:fldCharType="begin"/>
        </w:r>
        <w:r w:rsidR="001C6C1E">
          <w:rPr>
            <w:noProof/>
            <w:webHidden/>
          </w:rPr>
          <w:instrText xml:space="preserve"> PAGEREF _Toc83997420 \h </w:instrText>
        </w:r>
        <w:r w:rsidR="001C6C1E">
          <w:rPr>
            <w:noProof/>
            <w:webHidden/>
          </w:rPr>
        </w:r>
        <w:r w:rsidR="001C6C1E">
          <w:rPr>
            <w:noProof/>
            <w:webHidden/>
          </w:rPr>
          <w:fldChar w:fldCharType="separate"/>
        </w:r>
        <w:r w:rsidR="0067767C">
          <w:rPr>
            <w:noProof/>
            <w:webHidden/>
          </w:rPr>
          <w:t>124</w:t>
        </w:r>
        <w:r w:rsidR="001C6C1E">
          <w:rPr>
            <w:noProof/>
            <w:webHidden/>
          </w:rPr>
          <w:fldChar w:fldCharType="end"/>
        </w:r>
      </w:hyperlink>
    </w:p>
    <w:p w14:paraId="63B9F3B3" w14:textId="1E5EBE93" w:rsidR="001C6C1E" w:rsidRDefault="00742092">
      <w:pPr>
        <w:pStyle w:val="Verzeichnis2"/>
        <w:rPr>
          <w:rFonts w:asciiTheme="minorHAnsi" w:eastAsiaTheme="minorEastAsia" w:hAnsiTheme="minorHAnsi" w:cstheme="minorBidi"/>
          <w:noProof/>
          <w:szCs w:val="22"/>
          <w:lang w:eastAsia="en-GB"/>
        </w:rPr>
      </w:pPr>
      <w:hyperlink w:anchor="_Toc83997421" w:history="1">
        <w:r w:rsidR="001C6C1E" w:rsidRPr="00C22CCB">
          <w:rPr>
            <w:rStyle w:val="Hyperlink"/>
            <w:noProof/>
          </w:rPr>
          <w:t>11.6</w:t>
        </w:r>
        <w:r w:rsidR="001C6C1E">
          <w:rPr>
            <w:rFonts w:asciiTheme="minorHAnsi" w:eastAsiaTheme="minorEastAsia" w:hAnsiTheme="minorHAnsi" w:cstheme="minorBidi"/>
            <w:noProof/>
            <w:szCs w:val="22"/>
            <w:lang w:eastAsia="en-GB"/>
          </w:rPr>
          <w:tab/>
        </w:r>
        <w:r w:rsidR="001C6C1E" w:rsidRPr="00C22CCB">
          <w:rPr>
            <w:rStyle w:val="Hyperlink"/>
            <w:noProof/>
          </w:rPr>
          <w:t>Soil biodiversity</w:t>
        </w:r>
        <w:r w:rsidR="001C6C1E">
          <w:rPr>
            <w:noProof/>
            <w:webHidden/>
          </w:rPr>
          <w:tab/>
        </w:r>
        <w:r w:rsidR="001C6C1E">
          <w:rPr>
            <w:noProof/>
            <w:webHidden/>
          </w:rPr>
          <w:fldChar w:fldCharType="begin"/>
        </w:r>
        <w:r w:rsidR="001C6C1E">
          <w:rPr>
            <w:noProof/>
            <w:webHidden/>
          </w:rPr>
          <w:instrText xml:space="preserve"> PAGEREF _Toc83997421 \h </w:instrText>
        </w:r>
        <w:r w:rsidR="001C6C1E">
          <w:rPr>
            <w:noProof/>
            <w:webHidden/>
          </w:rPr>
        </w:r>
        <w:r w:rsidR="001C6C1E">
          <w:rPr>
            <w:noProof/>
            <w:webHidden/>
          </w:rPr>
          <w:fldChar w:fldCharType="separate"/>
        </w:r>
        <w:r w:rsidR="0067767C">
          <w:rPr>
            <w:noProof/>
            <w:webHidden/>
          </w:rPr>
          <w:t>127</w:t>
        </w:r>
        <w:r w:rsidR="001C6C1E">
          <w:rPr>
            <w:noProof/>
            <w:webHidden/>
          </w:rPr>
          <w:fldChar w:fldCharType="end"/>
        </w:r>
      </w:hyperlink>
    </w:p>
    <w:p w14:paraId="6FC6FD9B" w14:textId="2C561ACC" w:rsidR="001C6C1E" w:rsidRDefault="00742092">
      <w:pPr>
        <w:pStyle w:val="Verzeichnis2"/>
        <w:rPr>
          <w:rFonts w:asciiTheme="minorHAnsi" w:eastAsiaTheme="minorEastAsia" w:hAnsiTheme="minorHAnsi" w:cstheme="minorBidi"/>
          <w:noProof/>
          <w:szCs w:val="22"/>
          <w:lang w:eastAsia="en-GB"/>
        </w:rPr>
      </w:pPr>
      <w:hyperlink w:anchor="_Toc83997422" w:history="1">
        <w:r w:rsidR="001C6C1E" w:rsidRPr="00C22CCB">
          <w:rPr>
            <w:rStyle w:val="Hyperlink"/>
            <w:noProof/>
          </w:rPr>
          <w:t>11.7</w:t>
        </w:r>
        <w:r w:rsidR="001C6C1E">
          <w:rPr>
            <w:rFonts w:asciiTheme="minorHAnsi" w:eastAsiaTheme="minorEastAsia" w:hAnsiTheme="minorHAnsi" w:cstheme="minorBidi"/>
            <w:noProof/>
            <w:szCs w:val="22"/>
            <w:lang w:eastAsia="en-GB"/>
          </w:rPr>
          <w:tab/>
        </w:r>
        <w:r w:rsidR="001C6C1E" w:rsidRPr="00C22CCB">
          <w:rPr>
            <w:rStyle w:val="Hyperlink"/>
            <w:noProof/>
          </w:rPr>
          <w:t>Soil erosion</w:t>
        </w:r>
        <w:r w:rsidR="001C6C1E">
          <w:rPr>
            <w:noProof/>
            <w:webHidden/>
          </w:rPr>
          <w:tab/>
        </w:r>
        <w:r w:rsidR="001C6C1E">
          <w:rPr>
            <w:noProof/>
            <w:webHidden/>
          </w:rPr>
          <w:fldChar w:fldCharType="begin"/>
        </w:r>
        <w:r w:rsidR="001C6C1E">
          <w:rPr>
            <w:noProof/>
            <w:webHidden/>
          </w:rPr>
          <w:instrText xml:space="preserve"> PAGEREF _Toc83997422 \h </w:instrText>
        </w:r>
        <w:r w:rsidR="001C6C1E">
          <w:rPr>
            <w:noProof/>
            <w:webHidden/>
          </w:rPr>
        </w:r>
        <w:r w:rsidR="001C6C1E">
          <w:rPr>
            <w:noProof/>
            <w:webHidden/>
          </w:rPr>
          <w:fldChar w:fldCharType="separate"/>
        </w:r>
        <w:r w:rsidR="0067767C">
          <w:rPr>
            <w:noProof/>
            <w:webHidden/>
          </w:rPr>
          <w:t>130</w:t>
        </w:r>
        <w:r w:rsidR="001C6C1E">
          <w:rPr>
            <w:noProof/>
            <w:webHidden/>
          </w:rPr>
          <w:fldChar w:fldCharType="end"/>
        </w:r>
      </w:hyperlink>
    </w:p>
    <w:p w14:paraId="3FFC0C82" w14:textId="31C82EE9" w:rsidR="001C6C1E" w:rsidRDefault="00742092">
      <w:pPr>
        <w:pStyle w:val="Verzeichnis2"/>
        <w:rPr>
          <w:rFonts w:asciiTheme="minorHAnsi" w:eastAsiaTheme="minorEastAsia" w:hAnsiTheme="minorHAnsi" w:cstheme="minorBidi"/>
          <w:noProof/>
          <w:szCs w:val="22"/>
          <w:lang w:eastAsia="en-GB"/>
        </w:rPr>
      </w:pPr>
      <w:hyperlink w:anchor="_Toc83997423" w:history="1">
        <w:r w:rsidR="001C6C1E" w:rsidRPr="00C22CCB">
          <w:rPr>
            <w:rStyle w:val="Hyperlink"/>
            <w:noProof/>
          </w:rPr>
          <w:t>11.8</w:t>
        </w:r>
        <w:r w:rsidR="001C6C1E">
          <w:rPr>
            <w:rFonts w:asciiTheme="minorHAnsi" w:eastAsiaTheme="minorEastAsia" w:hAnsiTheme="minorHAnsi" w:cstheme="minorBidi"/>
            <w:noProof/>
            <w:szCs w:val="22"/>
            <w:lang w:eastAsia="en-GB"/>
          </w:rPr>
          <w:tab/>
        </w:r>
        <w:r w:rsidR="001C6C1E" w:rsidRPr="00C22CCB">
          <w:rPr>
            <w:rStyle w:val="Hyperlink"/>
            <w:noProof/>
          </w:rPr>
          <w:t>Soil compaction</w:t>
        </w:r>
        <w:r w:rsidR="001C6C1E">
          <w:rPr>
            <w:noProof/>
            <w:webHidden/>
          </w:rPr>
          <w:tab/>
        </w:r>
        <w:r w:rsidR="001C6C1E">
          <w:rPr>
            <w:noProof/>
            <w:webHidden/>
          </w:rPr>
          <w:fldChar w:fldCharType="begin"/>
        </w:r>
        <w:r w:rsidR="001C6C1E">
          <w:rPr>
            <w:noProof/>
            <w:webHidden/>
          </w:rPr>
          <w:instrText xml:space="preserve"> PAGEREF _Toc83997423 \h </w:instrText>
        </w:r>
        <w:r w:rsidR="001C6C1E">
          <w:rPr>
            <w:noProof/>
            <w:webHidden/>
          </w:rPr>
        </w:r>
        <w:r w:rsidR="001C6C1E">
          <w:rPr>
            <w:noProof/>
            <w:webHidden/>
          </w:rPr>
          <w:fldChar w:fldCharType="separate"/>
        </w:r>
        <w:r w:rsidR="0067767C">
          <w:rPr>
            <w:noProof/>
            <w:webHidden/>
          </w:rPr>
          <w:t>134</w:t>
        </w:r>
        <w:r w:rsidR="001C6C1E">
          <w:rPr>
            <w:noProof/>
            <w:webHidden/>
          </w:rPr>
          <w:fldChar w:fldCharType="end"/>
        </w:r>
      </w:hyperlink>
    </w:p>
    <w:p w14:paraId="4378B1F7" w14:textId="4075299B" w:rsidR="001C6C1E" w:rsidRDefault="00742092">
      <w:pPr>
        <w:pStyle w:val="Verzeichnis2"/>
        <w:rPr>
          <w:rFonts w:asciiTheme="minorHAnsi" w:eastAsiaTheme="minorEastAsia" w:hAnsiTheme="minorHAnsi" w:cstheme="minorBidi"/>
          <w:noProof/>
          <w:szCs w:val="22"/>
          <w:lang w:eastAsia="en-GB"/>
        </w:rPr>
      </w:pPr>
      <w:hyperlink w:anchor="_Toc83997424" w:history="1">
        <w:r w:rsidR="001C6C1E" w:rsidRPr="00C22CCB">
          <w:rPr>
            <w:rStyle w:val="Hyperlink"/>
            <w:noProof/>
          </w:rPr>
          <w:t>11.9</w:t>
        </w:r>
        <w:r w:rsidR="001C6C1E">
          <w:rPr>
            <w:rFonts w:asciiTheme="minorHAnsi" w:eastAsiaTheme="minorEastAsia" w:hAnsiTheme="minorHAnsi" w:cstheme="minorBidi"/>
            <w:noProof/>
            <w:szCs w:val="22"/>
            <w:lang w:eastAsia="en-GB"/>
          </w:rPr>
          <w:tab/>
        </w:r>
        <w:r w:rsidR="001C6C1E" w:rsidRPr="00C22CCB">
          <w:rPr>
            <w:rStyle w:val="Hyperlink"/>
            <w:noProof/>
          </w:rPr>
          <w:t>Soil sealing</w:t>
        </w:r>
        <w:r w:rsidR="001C6C1E">
          <w:rPr>
            <w:noProof/>
            <w:webHidden/>
          </w:rPr>
          <w:tab/>
        </w:r>
        <w:r w:rsidR="001C6C1E">
          <w:rPr>
            <w:noProof/>
            <w:webHidden/>
          </w:rPr>
          <w:fldChar w:fldCharType="begin"/>
        </w:r>
        <w:r w:rsidR="001C6C1E">
          <w:rPr>
            <w:noProof/>
            <w:webHidden/>
          </w:rPr>
          <w:instrText xml:space="preserve"> PAGEREF _Toc83997424 \h </w:instrText>
        </w:r>
        <w:r w:rsidR="001C6C1E">
          <w:rPr>
            <w:noProof/>
            <w:webHidden/>
          </w:rPr>
        </w:r>
        <w:r w:rsidR="001C6C1E">
          <w:rPr>
            <w:noProof/>
            <w:webHidden/>
          </w:rPr>
          <w:fldChar w:fldCharType="separate"/>
        </w:r>
        <w:r w:rsidR="0067767C">
          <w:rPr>
            <w:noProof/>
            <w:webHidden/>
          </w:rPr>
          <w:t>136</w:t>
        </w:r>
        <w:r w:rsidR="001C6C1E">
          <w:rPr>
            <w:noProof/>
            <w:webHidden/>
          </w:rPr>
          <w:fldChar w:fldCharType="end"/>
        </w:r>
      </w:hyperlink>
    </w:p>
    <w:p w14:paraId="0850294D" w14:textId="02121361" w:rsidR="001C6C1E" w:rsidRDefault="00742092">
      <w:pPr>
        <w:pStyle w:val="Verzeichnis2"/>
        <w:rPr>
          <w:rFonts w:asciiTheme="minorHAnsi" w:eastAsiaTheme="minorEastAsia" w:hAnsiTheme="minorHAnsi" w:cstheme="minorBidi"/>
          <w:noProof/>
          <w:szCs w:val="22"/>
          <w:lang w:eastAsia="en-GB"/>
        </w:rPr>
      </w:pPr>
      <w:hyperlink w:anchor="_Toc83997425" w:history="1">
        <w:r w:rsidR="001C6C1E" w:rsidRPr="00C22CCB">
          <w:rPr>
            <w:rStyle w:val="Hyperlink"/>
            <w:noProof/>
          </w:rPr>
          <w:t>11.10</w:t>
        </w:r>
        <w:r w:rsidR="001C6C1E">
          <w:rPr>
            <w:rFonts w:asciiTheme="minorHAnsi" w:eastAsiaTheme="minorEastAsia" w:hAnsiTheme="minorHAnsi" w:cstheme="minorBidi"/>
            <w:noProof/>
            <w:szCs w:val="22"/>
            <w:lang w:eastAsia="en-GB"/>
          </w:rPr>
          <w:tab/>
        </w:r>
        <w:r w:rsidR="001C6C1E" w:rsidRPr="00C22CCB">
          <w:rPr>
            <w:rStyle w:val="Hyperlink"/>
            <w:noProof/>
          </w:rPr>
          <w:t>Multi-domain indicator system</w:t>
        </w:r>
        <w:r w:rsidR="001C6C1E">
          <w:rPr>
            <w:noProof/>
            <w:webHidden/>
          </w:rPr>
          <w:tab/>
        </w:r>
        <w:r w:rsidR="001C6C1E">
          <w:rPr>
            <w:noProof/>
            <w:webHidden/>
          </w:rPr>
          <w:fldChar w:fldCharType="begin"/>
        </w:r>
        <w:r w:rsidR="001C6C1E">
          <w:rPr>
            <w:noProof/>
            <w:webHidden/>
          </w:rPr>
          <w:instrText xml:space="preserve"> PAGEREF _Toc83997425 \h </w:instrText>
        </w:r>
        <w:r w:rsidR="001C6C1E">
          <w:rPr>
            <w:noProof/>
            <w:webHidden/>
          </w:rPr>
        </w:r>
        <w:r w:rsidR="001C6C1E">
          <w:rPr>
            <w:noProof/>
            <w:webHidden/>
          </w:rPr>
          <w:fldChar w:fldCharType="separate"/>
        </w:r>
        <w:r w:rsidR="0067767C">
          <w:rPr>
            <w:noProof/>
            <w:webHidden/>
          </w:rPr>
          <w:t>137</w:t>
        </w:r>
        <w:r w:rsidR="001C6C1E">
          <w:rPr>
            <w:noProof/>
            <w:webHidden/>
          </w:rPr>
          <w:fldChar w:fldCharType="end"/>
        </w:r>
      </w:hyperlink>
    </w:p>
    <w:p w14:paraId="0EAC2CCD" w14:textId="55D13C40" w:rsidR="00B652AB" w:rsidRDefault="009F083B" w:rsidP="00137E29">
      <w:pPr>
        <w:rPr>
          <w:lang w:val="pt-PT"/>
        </w:rPr>
      </w:pPr>
      <w:r>
        <w:rPr>
          <w:lang w:val="pt-PT"/>
        </w:rPr>
        <w:fldChar w:fldCharType="end"/>
      </w:r>
    </w:p>
    <w:p w14:paraId="47A33BD9" w14:textId="77777777" w:rsidR="00B652AB" w:rsidRDefault="00B652AB">
      <w:pPr>
        <w:suppressAutoHyphens w:val="0"/>
        <w:jc w:val="left"/>
        <w:rPr>
          <w:lang w:val="pt-PT"/>
        </w:rPr>
      </w:pPr>
      <w:r>
        <w:rPr>
          <w:lang w:val="pt-PT"/>
        </w:rPr>
        <w:br w:type="page"/>
      </w:r>
    </w:p>
    <w:p w14:paraId="7E3F61E0" w14:textId="2C6BC3CD" w:rsidR="00F150EA" w:rsidRPr="00DA039D" w:rsidRDefault="0090303E" w:rsidP="00F150EA">
      <w:pPr>
        <w:pStyle w:val="berschrift1"/>
        <w:numPr>
          <w:ilvl w:val="0"/>
          <w:numId w:val="0"/>
        </w:numPr>
        <w:ind w:left="432" w:hanging="432"/>
        <w:rPr>
          <w:lang w:val="pt-PT"/>
        </w:rPr>
      </w:pPr>
      <w:bookmarkStart w:id="1" w:name="_Toc83997311"/>
      <w:r>
        <w:rPr>
          <w:lang w:val="pt-PT"/>
        </w:rPr>
        <w:lastRenderedPageBreak/>
        <w:t>Boxes</w:t>
      </w:r>
      <w:bookmarkEnd w:id="1"/>
      <w:r w:rsidR="00F150EA">
        <w:rPr>
          <w:lang w:val="pt-PT"/>
        </w:rPr>
        <w:t xml:space="preserve"> </w:t>
      </w:r>
    </w:p>
    <w:p w14:paraId="75BAAFF6" w14:textId="398B4904" w:rsidR="001C6C1E" w:rsidRDefault="0090303E">
      <w:pPr>
        <w:pStyle w:val="Abbildungsverzeichnis"/>
        <w:rPr>
          <w:rFonts w:asciiTheme="minorHAnsi" w:eastAsiaTheme="minorEastAsia" w:hAnsiTheme="minorHAnsi" w:cstheme="minorBidi"/>
          <w:noProof/>
          <w:szCs w:val="22"/>
          <w:lang w:eastAsia="en-GB"/>
        </w:rPr>
      </w:pPr>
      <w:r>
        <w:rPr>
          <w:lang w:eastAsia="pt-PT"/>
        </w:rPr>
        <w:fldChar w:fldCharType="begin"/>
      </w:r>
      <w:r>
        <w:rPr>
          <w:lang w:eastAsia="pt-PT"/>
        </w:rPr>
        <w:instrText xml:space="preserve"> TOC \h \z \c "Box" </w:instrText>
      </w:r>
      <w:r>
        <w:rPr>
          <w:lang w:eastAsia="pt-PT"/>
        </w:rPr>
        <w:fldChar w:fldCharType="separate"/>
      </w:r>
      <w:hyperlink r:id="rId19" w:anchor="_Toc83997426" w:history="1">
        <w:r w:rsidR="001C6C1E" w:rsidRPr="00326BD0">
          <w:rPr>
            <w:rStyle w:val="Hyperlink"/>
            <w:noProof/>
          </w:rPr>
          <w:t>Box 5</w:t>
        </w:r>
        <w:r w:rsidR="001C6C1E" w:rsidRPr="00326BD0">
          <w:rPr>
            <w:rStyle w:val="Hyperlink"/>
            <w:noProof/>
          </w:rPr>
          <w:noBreakHyphen/>
          <w:t>1</w:t>
        </w:r>
        <w:r w:rsidR="001C6C1E">
          <w:rPr>
            <w:rFonts w:asciiTheme="minorHAnsi" w:eastAsiaTheme="minorEastAsia" w:hAnsiTheme="minorHAnsi" w:cstheme="minorBidi"/>
            <w:noProof/>
            <w:szCs w:val="22"/>
            <w:lang w:eastAsia="en-GB"/>
          </w:rPr>
          <w:tab/>
        </w:r>
        <w:r w:rsidR="001C6C1E" w:rsidRPr="00326BD0">
          <w:rPr>
            <w:rStyle w:val="Hyperlink"/>
            <w:bCs/>
            <w:noProof/>
          </w:rPr>
          <w:t>Key principles of RBLM and related screening values</w:t>
        </w:r>
        <w:r w:rsidR="001C6C1E">
          <w:rPr>
            <w:noProof/>
            <w:webHidden/>
          </w:rPr>
          <w:tab/>
        </w:r>
        <w:r w:rsidR="001C6C1E">
          <w:rPr>
            <w:noProof/>
            <w:webHidden/>
          </w:rPr>
          <w:fldChar w:fldCharType="begin"/>
        </w:r>
        <w:r w:rsidR="001C6C1E">
          <w:rPr>
            <w:noProof/>
            <w:webHidden/>
          </w:rPr>
          <w:instrText xml:space="preserve"> PAGEREF _Toc83997426 \h </w:instrText>
        </w:r>
        <w:r w:rsidR="001C6C1E">
          <w:rPr>
            <w:noProof/>
            <w:webHidden/>
          </w:rPr>
        </w:r>
        <w:r w:rsidR="001C6C1E">
          <w:rPr>
            <w:noProof/>
            <w:webHidden/>
          </w:rPr>
          <w:fldChar w:fldCharType="separate"/>
        </w:r>
        <w:r w:rsidR="0067767C">
          <w:rPr>
            <w:noProof/>
            <w:webHidden/>
          </w:rPr>
          <w:t>59</w:t>
        </w:r>
        <w:r w:rsidR="001C6C1E">
          <w:rPr>
            <w:noProof/>
            <w:webHidden/>
          </w:rPr>
          <w:fldChar w:fldCharType="end"/>
        </w:r>
      </w:hyperlink>
    </w:p>
    <w:p w14:paraId="15FD6E66" w14:textId="67C42D20" w:rsidR="001C6C1E" w:rsidRDefault="00742092">
      <w:pPr>
        <w:pStyle w:val="Abbildungsverzeichnis"/>
        <w:rPr>
          <w:rFonts w:asciiTheme="minorHAnsi" w:eastAsiaTheme="minorEastAsia" w:hAnsiTheme="minorHAnsi" w:cstheme="minorBidi"/>
          <w:noProof/>
          <w:szCs w:val="22"/>
          <w:lang w:eastAsia="en-GB"/>
        </w:rPr>
      </w:pPr>
      <w:hyperlink r:id="rId20" w:anchor="_Toc83997427" w:history="1">
        <w:r w:rsidR="001C6C1E" w:rsidRPr="00326BD0">
          <w:rPr>
            <w:rStyle w:val="Hyperlink"/>
            <w:noProof/>
          </w:rPr>
          <w:t>Box 6</w:t>
        </w:r>
        <w:r w:rsidR="001C6C1E" w:rsidRPr="00326BD0">
          <w:rPr>
            <w:rStyle w:val="Hyperlink"/>
            <w:noProof/>
          </w:rPr>
          <w:noBreakHyphen/>
          <w:t>1</w:t>
        </w:r>
        <w:r w:rsidR="001C6C1E">
          <w:rPr>
            <w:rFonts w:asciiTheme="minorHAnsi" w:eastAsiaTheme="minorEastAsia" w:hAnsiTheme="minorHAnsi" w:cstheme="minorBidi"/>
            <w:noProof/>
            <w:szCs w:val="22"/>
            <w:lang w:eastAsia="en-GB"/>
          </w:rPr>
          <w:tab/>
        </w:r>
        <w:r w:rsidR="001C6C1E" w:rsidRPr="00326BD0">
          <w:rPr>
            <w:rStyle w:val="Hyperlink"/>
            <w:noProof/>
          </w:rPr>
          <w:t>DNA-based methods</w:t>
        </w:r>
        <w:r w:rsidR="001C6C1E">
          <w:rPr>
            <w:noProof/>
            <w:webHidden/>
          </w:rPr>
          <w:tab/>
        </w:r>
        <w:r w:rsidR="001C6C1E">
          <w:rPr>
            <w:noProof/>
            <w:webHidden/>
          </w:rPr>
          <w:fldChar w:fldCharType="begin"/>
        </w:r>
        <w:r w:rsidR="001C6C1E">
          <w:rPr>
            <w:noProof/>
            <w:webHidden/>
          </w:rPr>
          <w:instrText xml:space="preserve"> PAGEREF _Toc83997427 \h </w:instrText>
        </w:r>
        <w:r w:rsidR="001C6C1E">
          <w:rPr>
            <w:noProof/>
            <w:webHidden/>
          </w:rPr>
        </w:r>
        <w:r w:rsidR="001C6C1E">
          <w:rPr>
            <w:noProof/>
            <w:webHidden/>
          </w:rPr>
          <w:fldChar w:fldCharType="separate"/>
        </w:r>
        <w:r w:rsidR="0067767C">
          <w:rPr>
            <w:noProof/>
            <w:webHidden/>
          </w:rPr>
          <w:t>70</w:t>
        </w:r>
        <w:r w:rsidR="001C6C1E">
          <w:rPr>
            <w:noProof/>
            <w:webHidden/>
          </w:rPr>
          <w:fldChar w:fldCharType="end"/>
        </w:r>
      </w:hyperlink>
    </w:p>
    <w:p w14:paraId="084DC4EF" w14:textId="6972D74E" w:rsidR="003D5273" w:rsidRDefault="0090303E" w:rsidP="00F150EA">
      <w:pPr>
        <w:rPr>
          <w:lang w:eastAsia="pt-PT"/>
        </w:rPr>
      </w:pPr>
      <w:r>
        <w:rPr>
          <w:lang w:eastAsia="pt-PT"/>
        </w:rPr>
        <w:fldChar w:fldCharType="end"/>
      </w:r>
    </w:p>
    <w:p w14:paraId="6B9EBD13" w14:textId="0F0787B2" w:rsidR="0090303E" w:rsidRPr="00DA039D" w:rsidRDefault="0090303E" w:rsidP="0090303E">
      <w:pPr>
        <w:pStyle w:val="berschrift1"/>
        <w:numPr>
          <w:ilvl w:val="0"/>
          <w:numId w:val="0"/>
        </w:numPr>
        <w:ind w:left="432" w:hanging="432"/>
        <w:rPr>
          <w:lang w:val="pt-PT"/>
        </w:rPr>
      </w:pPr>
      <w:bookmarkStart w:id="2" w:name="_Toc83997312"/>
      <w:r>
        <w:rPr>
          <w:lang w:val="pt-PT"/>
        </w:rPr>
        <w:t>Figures</w:t>
      </w:r>
      <w:bookmarkEnd w:id="2"/>
      <w:r>
        <w:rPr>
          <w:lang w:val="pt-PT"/>
        </w:rPr>
        <w:t xml:space="preserve"> </w:t>
      </w:r>
    </w:p>
    <w:p w14:paraId="3B2957D9" w14:textId="711AA354" w:rsidR="001C6C1E" w:rsidRDefault="00AF3399">
      <w:pPr>
        <w:pStyle w:val="Abbildungsverzeichnis"/>
        <w:rPr>
          <w:rFonts w:asciiTheme="minorHAnsi" w:eastAsiaTheme="minorEastAsia" w:hAnsiTheme="minorHAnsi" w:cstheme="minorBidi"/>
          <w:noProof/>
          <w:szCs w:val="22"/>
          <w:lang w:eastAsia="en-GB"/>
        </w:rPr>
      </w:pPr>
      <w:r>
        <w:rPr>
          <w:lang w:eastAsia="pt-PT"/>
        </w:rPr>
        <w:fldChar w:fldCharType="begin"/>
      </w:r>
      <w:r>
        <w:rPr>
          <w:lang w:eastAsia="pt-PT"/>
        </w:rPr>
        <w:instrText xml:space="preserve"> TOC \h \z \c "Figure" </w:instrText>
      </w:r>
      <w:r>
        <w:rPr>
          <w:lang w:eastAsia="pt-PT"/>
        </w:rPr>
        <w:fldChar w:fldCharType="separate"/>
      </w:r>
      <w:hyperlink w:anchor="_Toc83997428" w:history="1">
        <w:r w:rsidR="001C6C1E" w:rsidRPr="006635C6">
          <w:rPr>
            <w:rStyle w:val="Hyperlink"/>
            <w:noProof/>
          </w:rPr>
          <w:t>Figure 1</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Conceptual framework for soil degradation assessment</w:t>
        </w:r>
        <w:r w:rsidR="001C6C1E">
          <w:rPr>
            <w:noProof/>
            <w:webHidden/>
          </w:rPr>
          <w:tab/>
        </w:r>
        <w:r w:rsidR="001C6C1E">
          <w:rPr>
            <w:noProof/>
            <w:webHidden/>
          </w:rPr>
          <w:fldChar w:fldCharType="begin"/>
        </w:r>
        <w:r w:rsidR="001C6C1E">
          <w:rPr>
            <w:noProof/>
            <w:webHidden/>
          </w:rPr>
          <w:instrText xml:space="preserve"> PAGEREF _Toc83997428 \h </w:instrText>
        </w:r>
        <w:r w:rsidR="001C6C1E">
          <w:rPr>
            <w:noProof/>
            <w:webHidden/>
          </w:rPr>
        </w:r>
        <w:r w:rsidR="001C6C1E">
          <w:rPr>
            <w:noProof/>
            <w:webHidden/>
          </w:rPr>
          <w:fldChar w:fldCharType="separate"/>
        </w:r>
        <w:r w:rsidR="0067767C">
          <w:rPr>
            <w:noProof/>
            <w:webHidden/>
          </w:rPr>
          <w:t>5</w:t>
        </w:r>
        <w:r w:rsidR="001C6C1E">
          <w:rPr>
            <w:noProof/>
            <w:webHidden/>
          </w:rPr>
          <w:fldChar w:fldCharType="end"/>
        </w:r>
      </w:hyperlink>
    </w:p>
    <w:p w14:paraId="3C1BEFA2" w14:textId="55325B01" w:rsidR="001C6C1E" w:rsidRDefault="00742092">
      <w:pPr>
        <w:pStyle w:val="Abbildungsverzeichnis"/>
        <w:rPr>
          <w:rFonts w:asciiTheme="minorHAnsi" w:eastAsiaTheme="minorEastAsia" w:hAnsiTheme="minorHAnsi" w:cstheme="minorBidi"/>
          <w:noProof/>
          <w:szCs w:val="22"/>
          <w:lang w:eastAsia="en-GB"/>
        </w:rPr>
      </w:pPr>
      <w:hyperlink w:anchor="_Toc83997429" w:history="1">
        <w:r w:rsidR="001C6C1E" w:rsidRPr="006635C6">
          <w:rPr>
            <w:rStyle w:val="Hyperlink"/>
            <w:noProof/>
          </w:rPr>
          <w:t>Figure 1</w:t>
        </w:r>
        <w:r w:rsidR="001C6C1E" w:rsidRPr="006635C6">
          <w:rPr>
            <w:rStyle w:val="Hyperlink"/>
            <w:noProof/>
          </w:rPr>
          <w:noBreakHyphen/>
          <w:t>2:</w:t>
        </w:r>
        <w:r w:rsidR="001C6C1E">
          <w:rPr>
            <w:rFonts w:asciiTheme="minorHAnsi" w:eastAsiaTheme="minorEastAsia" w:hAnsiTheme="minorHAnsi" w:cstheme="minorBidi"/>
            <w:noProof/>
            <w:szCs w:val="22"/>
            <w:lang w:eastAsia="en-GB"/>
          </w:rPr>
          <w:tab/>
        </w:r>
        <w:r w:rsidR="001C6C1E" w:rsidRPr="006635C6">
          <w:rPr>
            <w:rStyle w:val="Hyperlink"/>
            <w:noProof/>
          </w:rPr>
          <w:t>Dynamic assessment of soil degradation (4 scenarios)</w:t>
        </w:r>
        <w:r w:rsidR="001C6C1E">
          <w:rPr>
            <w:noProof/>
            <w:webHidden/>
          </w:rPr>
          <w:tab/>
        </w:r>
        <w:r w:rsidR="001C6C1E">
          <w:rPr>
            <w:noProof/>
            <w:webHidden/>
          </w:rPr>
          <w:fldChar w:fldCharType="begin"/>
        </w:r>
        <w:r w:rsidR="001C6C1E">
          <w:rPr>
            <w:noProof/>
            <w:webHidden/>
          </w:rPr>
          <w:instrText xml:space="preserve"> PAGEREF _Toc83997429 \h </w:instrText>
        </w:r>
        <w:r w:rsidR="001C6C1E">
          <w:rPr>
            <w:noProof/>
            <w:webHidden/>
          </w:rPr>
        </w:r>
        <w:r w:rsidR="001C6C1E">
          <w:rPr>
            <w:noProof/>
            <w:webHidden/>
          </w:rPr>
          <w:fldChar w:fldCharType="separate"/>
        </w:r>
        <w:r w:rsidR="0067767C">
          <w:rPr>
            <w:noProof/>
            <w:webHidden/>
          </w:rPr>
          <w:t>6</w:t>
        </w:r>
        <w:r w:rsidR="001C6C1E">
          <w:rPr>
            <w:noProof/>
            <w:webHidden/>
          </w:rPr>
          <w:fldChar w:fldCharType="end"/>
        </w:r>
      </w:hyperlink>
    </w:p>
    <w:p w14:paraId="16C4DE7D" w14:textId="53A5AE24" w:rsidR="001C6C1E" w:rsidRDefault="00742092">
      <w:pPr>
        <w:pStyle w:val="Abbildungsverzeichnis"/>
        <w:rPr>
          <w:rFonts w:asciiTheme="minorHAnsi" w:eastAsiaTheme="minorEastAsia" w:hAnsiTheme="minorHAnsi" w:cstheme="minorBidi"/>
          <w:noProof/>
          <w:szCs w:val="22"/>
          <w:lang w:eastAsia="en-GB"/>
        </w:rPr>
      </w:pPr>
      <w:hyperlink w:anchor="_Toc83997430" w:history="1">
        <w:r w:rsidR="001C6C1E" w:rsidRPr="006635C6">
          <w:rPr>
            <w:rStyle w:val="Hyperlink"/>
            <w:noProof/>
          </w:rPr>
          <w:t>Figure 1</w:t>
        </w:r>
        <w:r w:rsidR="001C6C1E" w:rsidRPr="006635C6">
          <w:rPr>
            <w:rStyle w:val="Hyperlink"/>
            <w:noProof/>
          </w:rPr>
          <w:noBreakHyphen/>
          <w:t>3:</w:t>
        </w:r>
        <w:r w:rsidR="001C6C1E">
          <w:rPr>
            <w:rFonts w:asciiTheme="minorHAnsi" w:eastAsiaTheme="minorEastAsia" w:hAnsiTheme="minorHAnsi" w:cstheme="minorBidi"/>
            <w:noProof/>
            <w:szCs w:val="22"/>
            <w:lang w:eastAsia="en-GB"/>
          </w:rPr>
          <w:tab/>
        </w:r>
        <w:r w:rsidR="001C6C1E" w:rsidRPr="006635C6">
          <w:rPr>
            <w:rStyle w:val="Hyperlink"/>
            <w:noProof/>
          </w:rPr>
          <w:t>Operational definition of land degradation and linkage with sub-indicators</w:t>
        </w:r>
        <w:r w:rsidR="001C6C1E">
          <w:rPr>
            <w:noProof/>
            <w:webHidden/>
          </w:rPr>
          <w:tab/>
        </w:r>
        <w:r w:rsidR="001C6C1E">
          <w:rPr>
            <w:noProof/>
            <w:webHidden/>
          </w:rPr>
          <w:fldChar w:fldCharType="begin"/>
        </w:r>
        <w:r w:rsidR="001C6C1E">
          <w:rPr>
            <w:noProof/>
            <w:webHidden/>
          </w:rPr>
          <w:instrText xml:space="preserve"> PAGEREF _Toc83997430 \h </w:instrText>
        </w:r>
        <w:r w:rsidR="001C6C1E">
          <w:rPr>
            <w:noProof/>
            <w:webHidden/>
          </w:rPr>
        </w:r>
        <w:r w:rsidR="001C6C1E">
          <w:rPr>
            <w:noProof/>
            <w:webHidden/>
          </w:rPr>
          <w:fldChar w:fldCharType="separate"/>
        </w:r>
        <w:r w:rsidR="0067767C">
          <w:rPr>
            <w:noProof/>
            <w:webHidden/>
          </w:rPr>
          <w:t>11</w:t>
        </w:r>
        <w:r w:rsidR="001C6C1E">
          <w:rPr>
            <w:noProof/>
            <w:webHidden/>
          </w:rPr>
          <w:fldChar w:fldCharType="end"/>
        </w:r>
      </w:hyperlink>
    </w:p>
    <w:p w14:paraId="19982393" w14:textId="757399D8" w:rsidR="001C6C1E" w:rsidRDefault="00742092">
      <w:pPr>
        <w:pStyle w:val="Abbildungsverzeichnis"/>
        <w:rPr>
          <w:rFonts w:asciiTheme="minorHAnsi" w:eastAsiaTheme="minorEastAsia" w:hAnsiTheme="minorHAnsi" w:cstheme="minorBidi"/>
          <w:noProof/>
          <w:szCs w:val="22"/>
          <w:lang w:eastAsia="en-GB"/>
        </w:rPr>
      </w:pPr>
      <w:hyperlink w:anchor="_Toc83997431" w:history="1">
        <w:r w:rsidR="001C6C1E" w:rsidRPr="006635C6">
          <w:rPr>
            <w:rStyle w:val="Hyperlink"/>
            <w:noProof/>
          </w:rPr>
          <w:t>Figure 2</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Conceptual overview of SOC thresholds and carbon sequestration</w:t>
        </w:r>
        <w:r w:rsidR="001C6C1E">
          <w:rPr>
            <w:noProof/>
            <w:webHidden/>
          </w:rPr>
          <w:tab/>
        </w:r>
        <w:r w:rsidR="001C6C1E">
          <w:rPr>
            <w:noProof/>
            <w:webHidden/>
          </w:rPr>
          <w:fldChar w:fldCharType="begin"/>
        </w:r>
        <w:r w:rsidR="001C6C1E">
          <w:rPr>
            <w:noProof/>
            <w:webHidden/>
          </w:rPr>
          <w:instrText xml:space="preserve"> PAGEREF _Toc83997431 \h </w:instrText>
        </w:r>
        <w:r w:rsidR="001C6C1E">
          <w:rPr>
            <w:noProof/>
            <w:webHidden/>
          </w:rPr>
        </w:r>
        <w:r w:rsidR="001C6C1E">
          <w:rPr>
            <w:noProof/>
            <w:webHidden/>
          </w:rPr>
          <w:fldChar w:fldCharType="separate"/>
        </w:r>
        <w:r w:rsidR="0067767C">
          <w:rPr>
            <w:noProof/>
            <w:webHidden/>
          </w:rPr>
          <w:t>27</w:t>
        </w:r>
        <w:r w:rsidR="001C6C1E">
          <w:rPr>
            <w:noProof/>
            <w:webHidden/>
          </w:rPr>
          <w:fldChar w:fldCharType="end"/>
        </w:r>
      </w:hyperlink>
    </w:p>
    <w:p w14:paraId="7C9980C9" w14:textId="6B231843" w:rsidR="001C6C1E" w:rsidRDefault="00742092">
      <w:pPr>
        <w:pStyle w:val="Abbildungsverzeichnis"/>
        <w:rPr>
          <w:rFonts w:asciiTheme="minorHAnsi" w:eastAsiaTheme="minorEastAsia" w:hAnsiTheme="minorHAnsi" w:cstheme="minorBidi"/>
          <w:noProof/>
          <w:szCs w:val="22"/>
          <w:lang w:eastAsia="en-GB"/>
        </w:rPr>
      </w:pPr>
      <w:hyperlink w:anchor="_Toc83997432" w:history="1">
        <w:r w:rsidR="001C6C1E" w:rsidRPr="006635C6">
          <w:rPr>
            <w:rStyle w:val="Hyperlink"/>
            <w:noProof/>
          </w:rPr>
          <w:t>Figure 3</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Link between nutrient inputs and soil nutrient pools and nutrient outputs to air, vegetation and water</w:t>
        </w:r>
        <w:r w:rsidR="001C6C1E">
          <w:rPr>
            <w:noProof/>
            <w:webHidden/>
          </w:rPr>
          <w:tab/>
        </w:r>
        <w:r w:rsidR="001C6C1E">
          <w:rPr>
            <w:noProof/>
            <w:webHidden/>
          </w:rPr>
          <w:fldChar w:fldCharType="begin"/>
        </w:r>
        <w:r w:rsidR="001C6C1E">
          <w:rPr>
            <w:noProof/>
            <w:webHidden/>
          </w:rPr>
          <w:instrText xml:space="preserve"> PAGEREF _Toc83997432 \h </w:instrText>
        </w:r>
        <w:r w:rsidR="001C6C1E">
          <w:rPr>
            <w:noProof/>
            <w:webHidden/>
          </w:rPr>
        </w:r>
        <w:r w:rsidR="001C6C1E">
          <w:rPr>
            <w:noProof/>
            <w:webHidden/>
          </w:rPr>
          <w:fldChar w:fldCharType="separate"/>
        </w:r>
        <w:r w:rsidR="0067767C">
          <w:rPr>
            <w:noProof/>
            <w:webHidden/>
          </w:rPr>
          <w:t>33</w:t>
        </w:r>
        <w:r w:rsidR="001C6C1E">
          <w:rPr>
            <w:noProof/>
            <w:webHidden/>
          </w:rPr>
          <w:fldChar w:fldCharType="end"/>
        </w:r>
      </w:hyperlink>
    </w:p>
    <w:p w14:paraId="27EE9CAD" w14:textId="4DC09A8D" w:rsidR="001C6C1E" w:rsidRDefault="00742092">
      <w:pPr>
        <w:pStyle w:val="Abbildungsverzeichnis"/>
        <w:rPr>
          <w:rFonts w:asciiTheme="minorHAnsi" w:eastAsiaTheme="minorEastAsia" w:hAnsiTheme="minorHAnsi" w:cstheme="minorBidi"/>
          <w:noProof/>
          <w:szCs w:val="22"/>
          <w:lang w:eastAsia="en-GB"/>
        </w:rPr>
      </w:pPr>
      <w:hyperlink w:anchor="_Toc83997433" w:history="1">
        <w:r w:rsidR="001C6C1E" w:rsidRPr="006635C6">
          <w:rPr>
            <w:rStyle w:val="Hyperlink"/>
            <w:noProof/>
          </w:rPr>
          <w:t>Figure 3</w:t>
        </w:r>
        <w:r w:rsidR="001C6C1E" w:rsidRPr="006635C6">
          <w:rPr>
            <w:rStyle w:val="Hyperlink"/>
            <w:noProof/>
          </w:rPr>
          <w:noBreakHyphen/>
          <w:t>2:</w:t>
        </w:r>
        <w:r w:rsidR="001C6C1E">
          <w:rPr>
            <w:rFonts w:asciiTheme="minorHAnsi" w:eastAsiaTheme="minorEastAsia" w:hAnsiTheme="minorHAnsi" w:cstheme="minorBidi"/>
            <w:noProof/>
            <w:szCs w:val="22"/>
            <w:lang w:eastAsia="en-GB"/>
          </w:rPr>
          <w:tab/>
        </w:r>
        <w:r w:rsidR="001C6C1E" w:rsidRPr="006635C6">
          <w:rPr>
            <w:rStyle w:val="Hyperlink"/>
            <w:noProof/>
          </w:rPr>
          <w:t>Relationships between crop yield (left y-axis) and P leaching risk (right y-axis) and available soil P fertility status</w:t>
        </w:r>
        <w:r w:rsidR="001C6C1E">
          <w:rPr>
            <w:noProof/>
            <w:webHidden/>
          </w:rPr>
          <w:tab/>
        </w:r>
        <w:r w:rsidR="001C6C1E">
          <w:rPr>
            <w:noProof/>
            <w:webHidden/>
          </w:rPr>
          <w:fldChar w:fldCharType="begin"/>
        </w:r>
        <w:r w:rsidR="001C6C1E">
          <w:rPr>
            <w:noProof/>
            <w:webHidden/>
          </w:rPr>
          <w:instrText xml:space="preserve"> PAGEREF _Toc83997433 \h </w:instrText>
        </w:r>
        <w:r w:rsidR="001C6C1E">
          <w:rPr>
            <w:noProof/>
            <w:webHidden/>
          </w:rPr>
        </w:r>
        <w:r w:rsidR="001C6C1E">
          <w:rPr>
            <w:noProof/>
            <w:webHidden/>
          </w:rPr>
          <w:fldChar w:fldCharType="separate"/>
        </w:r>
        <w:r w:rsidR="0067767C">
          <w:rPr>
            <w:noProof/>
            <w:webHidden/>
          </w:rPr>
          <w:t>40</w:t>
        </w:r>
        <w:r w:rsidR="001C6C1E">
          <w:rPr>
            <w:noProof/>
            <w:webHidden/>
          </w:rPr>
          <w:fldChar w:fldCharType="end"/>
        </w:r>
      </w:hyperlink>
    </w:p>
    <w:p w14:paraId="07FD63DB" w14:textId="2820D321" w:rsidR="001C6C1E" w:rsidRDefault="00742092">
      <w:pPr>
        <w:pStyle w:val="Abbildungsverzeichnis"/>
        <w:rPr>
          <w:rFonts w:asciiTheme="minorHAnsi" w:eastAsiaTheme="minorEastAsia" w:hAnsiTheme="minorHAnsi" w:cstheme="minorBidi"/>
          <w:noProof/>
          <w:szCs w:val="22"/>
          <w:lang w:eastAsia="en-GB"/>
        </w:rPr>
      </w:pPr>
      <w:hyperlink w:anchor="_Toc83997434" w:history="1">
        <w:r w:rsidR="001C6C1E" w:rsidRPr="006635C6">
          <w:rPr>
            <w:rStyle w:val="Hyperlink"/>
            <w:noProof/>
          </w:rPr>
          <w:t>Figure 3</w:t>
        </w:r>
        <w:r w:rsidR="001C6C1E" w:rsidRPr="006635C6">
          <w:rPr>
            <w:rStyle w:val="Hyperlink"/>
            <w:noProof/>
          </w:rPr>
          <w:noBreakHyphen/>
          <w:t>3:</w:t>
        </w:r>
        <w:r w:rsidR="001C6C1E">
          <w:rPr>
            <w:rFonts w:asciiTheme="minorHAnsi" w:eastAsiaTheme="minorEastAsia" w:hAnsiTheme="minorHAnsi" w:cstheme="minorBidi"/>
            <w:noProof/>
            <w:szCs w:val="22"/>
            <w:lang w:eastAsia="en-GB"/>
          </w:rPr>
          <w:tab/>
        </w:r>
        <w:r w:rsidR="001C6C1E" w:rsidRPr="006635C6">
          <w:rPr>
            <w:rStyle w:val="Hyperlink"/>
            <w:noProof/>
          </w:rPr>
          <w:t>Principle of building-up and maintenance approach</w:t>
        </w:r>
        <w:r w:rsidR="001C6C1E">
          <w:rPr>
            <w:noProof/>
            <w:webHidden/>
          </w:rPr>
          <w:tab/>
        </w:r>
        <w:r w:rsidR="001C6C1E">
          <w:rPr>
            <w:noProof/>
            <w:webHidden/>
          </w:rPr>
          <w:fldChar w:fldCharType="begin"/>
        </w:r>
        <w:r w:rsidR="001C6C1E">
          <w:rPr>
            <w:noProof/>
            <w:webHidden/>
          </w:rPr>
          <w:instrText xml:space="preserve"> PAGEREF _Toc83997434 \h </w:instrText>
        </w:r>
        <w:r w:rsidR="001C6C1E">
          <w:rPr>
            <w:noProof/>
            <w:webHidden/>
          </w:rPr>
        </w:r>
        <w:r w:rsidR="001C6C1E">
          <w:rPr>
            <w:noProof/>
            <w:webHidden/>
          </w:rPr>
          <w:fldChar w:fldCharType="separate"/>
        </w:r>
        <w:r w:rsidR="0067767C">
          <w:rPr>
            <w:noProof/>
            <w:webHidden/>
          </w:rPr>
          <w:t>41</w:t>
        </w:r>
        <w:r w:rsidR="001C6C1E">
          <w:rPr>
            <w:noProof/>
            <w:webHidden/>
          </w:rPr>
          <w:fldChar w:fldCharType="end"/>
        </w:r>
      </w:hyperlink>
    </w:p>
    <w:p w14:paraId="1EEC7538" w14:textId="3D0D5AD0" w:rsidR="001C6C1E" w:rsidRDefault="00742092">
      <w:pPr>
        <w:pStyle w:val="Abbildungsverzeichnis"/>
        <w:rPr>
          <w:rFonts w:asciiTheme="minorHAnsi" w:eastAsiaTheme="minorEastAsia" w:hAnsiTheme="minorHAnsi" w:cstheme="minorBidi"/>
          <w:noProof/>
          <w:szCs w:val="22"/>
          <w:lang w:eastAsia="en-GB"/>
        </w:rPr>
      </w:pPr>
      <w:hyperlink w:anchor="_Toc83997435" w:history="1">
        <w:r w:rsidR="001C6C1E" w:rsidRPr="006635C6">
          <w:rPr>
            <w:rStyle w:val="Hyperlink"/>
            <w:noProof/>
          </w:rPr>
          <w:t>Figure 3</w:t>
        </w:r>
        <w:r w:rsidR="001C6C1E" w:rsidRPr="006635C6">
          <w:rPr>
            <w:rStyle w:val="Hyperlink"/>
            <w:noProof/>
          </w:rPr>
          <w:noBreakHyphen/>
          <w:t>4:</w:t>
        </w:r>
        <w:r w:rsidR="001C6C1E">
          <w:rPr>
            <w:rFonts w:asciiTheme="minorHAnsi" w:eastAsiaTheme="minorEastAsia" w:hAnsiTheme="minorHAnsi" w:cstheme="minorBidi"/>
            <w:noProof/>
            <w:szCs w:val="22"/>
            <w:lang w:eastAsia="en-GB"/>
          </w:rPr>
          <w:tab/>
        </w:r>
        <w:r w:rsidR="001C6C1E" w:rsidRPr="006635C6">
          <w:rPr>
            <w:rStyle w:val="Hyperlink"/>
            <w:noProof/>
          </w:rPr>
          <w:t>Left: relationships between relative crop yield and soil Olsen-P levels. Right: soil fertility class and extraction method</w:t>
        </w:r>
        <w:r w:rsidR="001C6C1E">
          <w:rPr>
            <w:noProof/>
            <w:webHidden/>
          </w:rPr>
          <w:tab/>
        </w:r>
        <w:r w:rsidR="001C6C1E">
          <w:rPr>
            <w:noProof/>
            <w:webHidden/>
          </w:rPr>
          <w:fldChar w:fldCharType="begin"/>
        </w:r>
        <w:r w:rsidR="001C6C1E">
          <w:rPr>
            <w:noProof/>
            <w:webHidden/>
          </w:rPr>
          <w:instrText xml:space="preserve"> PAGEREF _Toc83997435 \h </w:instrText>
        </w:r>
        <w:r w:rsidR="001C6C1E">
          <w:rPr>
            <w:noProof/>
            <w:webHidden/>
          </w:rPr>
        </w:r>
        <w:r w:rsidR="001C6C1E">
          <w:rPr>
            <w:noProof/>
            <w:webHidden/>
          </w:rPr>
          <w:fldChar w:fldCharType="separate"/>
        </w:r>
        <w:r w:rsidR="0067767C">
          <w:rPr>
            <w:noProof/>
            <w:webHidden/>
          </w:rPr>
          <w:t>41</w:t>
        </w:r>
        <w:r w:rsidR="001C6C1E">
          <w:rPr>
            <w:noProof/>
            <w:webHidden/>
          </w:rPr>
          <w:fldChar w:fldCharType="end"/>
        </w:r>
      </w:hyperlink>
    </w:p>
    <w:p w14:paraId="7059A2B5" w14:textId="71F9D0C7" w:rsidR="001C6C1E" w:rsidRDefault="00742092">
      <w:pPr>
        <w:pStyle w:val="Abbildungsverzeichnis"/>
        <w:rPr>
          <w:rFonts w:asciiTheme="minorHAnsi" w:eastAsiaTheme="minorEastAsia" w:hAnsiTheme="minorHAnsi" w:cstheme="minorBidi"/>
          <w:noProof/>
          <w:szCs w:val="22"/>
          <w:lang w:eastAsia="en-GB"/>
        </w:rPr>
      </w:pPr>
      <w:hyperlink w:anchor="_Toc83997436" w:history="1">
        <w:r w:rsidR="001C6C1E" w:rsidRPr="006635C6">
          <w:rPr>
            <w:rStyle w:val="Hyperlink"/>
            <w:noProof/>
          </w:rPr>
          <w:t>Figure 4</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S-functional relationships of soil pH impacts on the relative yield of wheat (a), maize (b) and rice (c) using combined short-term pH manipulation experiments and long-term observations</w:t>
        </w:r>
        <w:r w:rsidR="001C6C1E">
          <w:rPr>
            <w:noProof/>
            <w:webHidden/>
          </w:rPr>
          <w:tab/>
        </w:r>
        <w:r w:rsidR="001C6C1E">
          <w:rPr>
            <w:noProof/>
            <w:webHidden/>
          </w:rPr>
          <w:fldChar w:fldCharType="begin"/>
        </w:r>
        <w:r w:rsidR="001C6C1E">
          <w:rPr>
            <w:noProof/>
            <w:webHidden/>
          </w:rPr>
          <w:instrText xml:space="preserve"> PAGEREF _Toc83997436 \h </w:instrText>
        </w:r>
        <w:r w:rsidR="001C6C1E">
          <w:rPr>
            <w:noProof/>
            <w:webHidden/>
          </w:rPr>
        </w:r>
        <w:r w:rsidR="001C6C1E">
          <w:rPr>
            <w:noProof/>
            <w:webHidden/>
          </w:rPr>
          <w:fldChar w:fldCharType="separate"/>
        </w:r>
        <w:r w:rsidR="0067767C">
          <w:rPr>
            <w:noProof/>
            <w:webHidden/>
          </w:rPr>
          <w:t>45</w:t>
        </w:r>
        <w:r w:rsidR="001C6C1E">
          <w:rPr>
            <w:noProof/>
            <w:webHidden/>
          </w:rPr>
          <w:fldChar w:fldCharType="end"/>
        </w:r>
      </w:hyperlink>
    </w:p>
    <w:p w14:paraId="39C3F0E4" w14:textId="7191283E" w:rsidR="001C6C1E" w:rsidRDefault="00742092">
      <w:pPr>
        <w:pStyle w:val="Abbildungsverzeichnis"/>
        <w:rPr>
          <w:rFonts w:asciiTheme="minorHAnsi" w:eastAsiaTheme="minorEastAsia" w:hAnsiTheme="minorHAnsi" w:cstheme="minorBidi"/>
          <w:noProof/>
          <w:szCs w:val="22"/>
          <w:lang w:eastAsia="en-GB"/>
        </w:rPr>
      </w:pPr>
      <w:hyperlink w:anchor="_Toc83997437" w:history="1">
        <w:r w:rsidR="001C6C1E" w:rsidRPr="006635C6">
          <w:rPr>
            <w:rStyle w:val="Hyperlink"/>
            <w:noProof/>
          </w:rPr>
          <w:t>Figure 5</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Forms of pollution and its impact on the environment</w:t>
        </w:r>
        <w:r w:rsidR="001C6C1E">
          <w:rPr>
            <w:noProof/>
            <w:webHidden/>
          </w:rPr>
          <w:tab/>
        </w:r>
        <w:r w:rsidR="001C6C1E">
          <w:rPr>
            <w:noProof/>
            <w:webHidden/>
          </w:rPr>
          <w:fldChar w:fldCharType="begin"/>
        </w:r>
        <w:r w:rsidR="001C6C1E">
          <w:rPr>
            <w:noProof/>
            <w:webHidden/>
          </w:rPr>
          <w:instrText xml:space="preserve"> PAGEREF _Toc83997437 \h </w:instrText>
        </w:r>
        <w:r w:rsidR="001C6C1E">
          <w:rPr>
            <w:noProof/>
            <w:webHidden/>
          </w:rPr>
        </w:r>
        <w:r w:rsidR="001C6C1E">
          <w:rPr>
            <w:noProof/>
            <w:webHidden/>
          </w:rPr>
          <w:fldChar w:fldCharType="separate"/>
        </w:r>
        <w:r w:rsidR="0067767C">
          <w:rPr>
            <w:noProof/>
            <w:webHidden/>
          </w:rPr>
          <w:t>51</w:t>
        </w:r>
        <w:r w:rsidR="001C6C1E">
          <w:rPr>
            <w:noProof/>
            <w:webHidden/>
          </w:rPr>
          <w:fldChar w:fldCharType="end"/>
        </w:r>
      </w:hyperlink>
    </w:p>
    <w:p w14:paraId="2CFD2D7A" w14:textId="6BE0FC38" w:rsidR="001C6C1E" w:rsidRDefault="00742092">
      <w:pPr>
        <w:pStyle w:val="Abbildungsverzeichnis"/>
        <w:rPr>
          <w:rFonts w:asciiTheme="minorHAnsi" w:eastAsiaTheme="minorEastAsia" w:hAnsiTheme="minorHAnsi" w:cstheme="minorBidi"/>
          <w:noProof/>
          <w:szCs w:val="22"/>
          <w:lang w:eastAsia="en-GB"/>
        </w:rPr>
      </w:pPr>
      <w:hyperlink w:anchor="_Toc83997438" w:history="1">
        <w:r w:rsidR="001C6C1E" w:rsidRPr="006635C6">
          <w:rPr>
            <w:rStyle w:val="Hyperlink"/>
            <w:noProof/>
          </w:rPr>
          <w:t>Figure 5</w:t>
        </w:r>
        <w:r w:rsidR="001C6C1E" w:rsidRPr="006635C6">
          <w:rPr>
            <w:rStyle w:val="Hyperlink"/>
            <w:noProof/>
          </w:rPr>
          <w:noBreakHyphen/>
          <w:t>2:</w:t>
        </w:r>
        <w:r w:rsidR="001C6C1E">
          <w:rPr>
            <w:rFonts w:asciiTheme="minorHAnsi" w:eastAsiaTheme="minorEastAsia" w:hAnsiTheme="minorHAnsi" w:cstheme="minorBidi"/>
            <w:noProof/>
            <w:szCs w:val="22"/>
            <w:lang w:eastAsia="en-GB"/>
          </w:rPr>
          <w:tab/>
        </w:r>
        <w:r w:rsidR="001C6C1E" w:rsidRPr="006635C6">
          <w:rPr>
            <w:rStyle w:val="Hyperlink"/>
            <w:noProof/>
          </w:rPr>
          <w:t>Schematic representation of thresholds</w:t>
        </w:r>
        <w:r w:rsidR="001C6C1E">
          <w:rPr>
            <w:noProof/>
            <w:webHidden/>
          </w:rPr>
          <w:tab/>
        </w:r>
        <w:r w:rsidR="001C6C1E">
          <w:rPr>
            <w:noProof/>
            <w:webHidden/>
          </w:rPr>
          <w:fldChar w:fldCharType="begin"/>
        </w:r>
        <w:r w:rsidR="001C6C1E">
          <w:rPr>
            <w:noProof/>
            <w:webHidden/>
          </w:rPr>
          <w:instrText xml:space="preserve"> PAGEREF _Toc83997438 \h </w:instrText>
        </w:r>
        <w:r w:rsidR="001C6C1E">
          <w:rPr>
            <w:noProof/>
            <w:webHidden/>
          </w:rPr>
        </w:r>
        <w:r w:rsidR="001C6C1E">
          <w:rPr>
            <w:noProof/>
            <w:webHidden/>
          </w:rPr>
          <w:fldChar w:fldCharType="separate"/>
        </w:r>
        <w:r w:rsidR="0067767C">
          <w:rPr>
            <w:noProof/>
            <w:webHidden/>
          </w:rPr>
          <w:t>61</w:t>
        </w:r>
        <w:r w:rsidR="001C6C1E">
          <w:rPr>
            <w:noProof/>
            <w:webHidden/>
          </w:rPr>
          <w:fldChar w:fldCharType="end"/>
        </w:r>
      </w:hyperlink>
    </w:p>
    <w:p w14:paraId="07C66236" w14:textId="6CE1C5AD" w:rsidR="001C6C1E" w:rsidRDefault="00742092">
      <w:pPr>
        <w:pStyle w:val="Abbildungsverzeichnis"/>
        <w:rPr>
          <w:rFonts w:asciiTheme="minorHAnsi" w:eastAsiaTheme="minorEastAsia" w:hAnsiTheme="minorHAnsi" w:cstheme="minorBidi"/>
          <w:noProof/>
          <w:szCs w:val="22"/>
          <w:lang w:eastAsia="en-GB"/>
        </w:rPr>
      </w:pPr>
      <w:hyperlink w:anchor="_Toc83997439" w:history="1">
        <w:r w:rsidR="001C6C1E" w:rsidRPr="006635C6">
          <w:rPr>
            <w:rStyle w:val="Hyperlink"/>
            <w:noProof/>
          </w:rPr>
          <w:t>Figure 6</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Baseline and threshold approach for soil biodiversity monitoring</w:t>
        </w:r>
        <w:r w:rsidR="001C6C1E">
          <w:rPr>
            <w:noProof/>
            <w:webHidden/>
          </w:rPr>
          <w:tab/>
        </w:r>
        <w:r w:rsidR="001C6C1E">
          <w:rPr>
            <w:noProof/>
            <w:webHidden/>
          </w:rPr>
          <w:fldChar w:fldCharType="begin"/>
        </w:r>
        <w:r w:rsidR="001C6C1E">
          <w:rPr>
            <w:noProof/>
            <w:webHidden/>
          </w:rPr>
          <w:instrText xml:space="preserve"> PAGEREF _Toc83997439 \h </w:instrText>
        </w:r>
        <w:r w:rsidR="001C6C1E">
          <w:rPr>
            <w:noProof/>
            <w:webHidden/>
          </w:rPr>
        </w:r>
        <w:r w:rsidR="001C6C1E">
          <w:rPr>
            <w:noProof/>
            <w:webHidden/>
          </w:rPr>
          <w:fldChar w:fldCharType="separate"/>
        </w:r>
        <w:r w:rsidR="0067767C">
          <w:rPr>
            <w:noProof/>
            <w:webHidden/>
          </w:rPr>
          <w:t>74</w:t>
        </w:r>
        <w:r w:rsidR="001C6C1E">
          <w:rPr>
            <w:noProof/>
            <w:webHidden/>
          </w:rPr>
          <w:fldChar w:fldCharType="end"/>
        </w:r>
      </w:hyperlink>
    </w:p>
    <w:p w14:paraId="60B270A1" w14:textId="62A8D1FD" w:rsidR="001C6C1E" w:rsidRDefault="00742092">
      <w:pPr>
        <w:pStyle w:val="Abbildungsverzeichnis"/>
        <w:rPr>
          <w:rFonts w:asciiTheme="minorHAnsi" w:eastAsiaTheme="minorEastAsia" w:hAnsiTheme="minorHAnsi" w:cstheme="minorBidi"/>
          <w:noProof/>
          <w:szCs w:val="22"/>
          <w:lang w:eastAsia="en-GB"/>
        </w:rPr>
      </w:pPr>
      <w:hyperlink w:anchor="_Toc83997440" w:history="1">
        <w:r w:rsidR="001C6C1E" w:rsidRPr="006635C6">
          <w:rPr>
            <w:rStyle w:val="Hyperlink"/>
            <w:noProof/>
          </w:rPr>
          <w:t>Figure 8</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Soil compaction processes, parameters and indicators</w:t>
        </w:r>
        <w:r w:rsidR="001C6C1E">
          <w:rPr>
            <w:noProof/>
            <w:webHidden/>
          </w:rPr>
          <w:tab/>
        </w:r>
        <w:r w:rsidR="001C6C1E">
          <w:rPr>
            <w:noProof/>
            <w:webHidden/>
          </w:rPr>
          <w:fldChar w:fldCharType="begin"/>
        </w:r>
        <w:r w:rsidR="001C6C1E">
          <w:rPr>
            <w:noProof/>
            <w:webHidden/>
          </w:rPr>
          <w:instrText xml:space="preserve"> PAGEREF _Toc83997440 \h </w:instrText>
        </w:r>
        <w:r w:rsidR="001C6C1E">
          <w:rPr>
            <w:noProof/>
            <w:webHidden/>
          </w:rPr>
        </w:r>
        <w:r w:rsidR="001C6C1E">
          <w:rPr>
            <w:noProof/>
            <w:webHidden/>
          </w:rPr>
          <w:fldChar w:fldCharType="separate"/>
        </w:r>
        <w:r w:rsidR="0067767C">
          <w:rPr>
            <w:noProof/>
            <w:webHidden/>
          </w:rPr>
          <w:t>90</w:t>
        </w:r>
        <w:r w:rsidR="001C6C1E">
          <w:rPr>
            <w:noProof/>
            <w:webHidden/>
          </w:rPr>
          <w:fldChar w:fldCharType="end"/>
        </w:r>
      </w:hyperlink>
    </w:p>
    <w:p w14:paraId="3897C77A" w14:textId="0E0F1FCC" w:rsidR="001C6C1E" w:rsidRDefault="00742092">
      <w:pPr>
        <w:pStyle w:val="Abbildungsverzeichnis"/>
        <w:rPr>
          <w:rFonts w:asciiTheme="minorHAnsi" w:eastAsiaTheme="minorEastAsia" w:hAnsiTheme="minorHAnsi" w:cstheme="minorBidi"/>
          <w:noProof/>
          <w:szCs w:val="22"/>
          <w:lang w:eastAsia="en-GB"/>
        </w:rPr>
      </w:pPr>
      <w:hyperlink w:anchor="_Toc83997441" w:history="1">
        <w:r w:rsidR="001C6C1E" w:rsidRPr="006635C6">
          <w:rPr>
            <w:rStyle w:val="Hyperlink"/>
            <w:noProof/>
          </w:rPr>
          <w:t>Figure 8</w:t>
        </w:r>
        <w:r w:rsidR="001C6C1E" w:rsidRPr="006635C6">
          <w:rPr>
            <w:rStyle w:val="Hyperlink"/>
            <w:noProof/>
          </w:rPr>
          <w:noBreakHyphen/>
          <w:t>2:</w:t>
        </w:r>
        <w:r w:rsidR="001C6C1E">
          <w:rPr>
            <w:rFonts w:asciiTheme="minorHAnsi" w:eastAsiaTheme="minorEastAsia" w:hAnsiTheme="minorHAnsi" w:cstheme="minorBidi"/>
            <w:noProof/>
            <w:szCs w:val="22"/>
            <w:lang w:eastAsia="en-GB"/>
          </w:rPr>
          <w:tab/>
        </w:r>
        <w:r w:rsidR="001C6C1E" w:rsidRPr="006635C6">
          <w:rPr>
            <w:rStyle w:val="Hyperlink"/>
            <w:noProof/>
          </w:rPr>
          <w:t>Diagnosis of soil compaction based on threshold exceedance</w:t>
        </w:r>
        <w:r w:rsidR="001C6C1E">
          <w:rPr>
            <w:noProof/>
            <w:webHidden/>
          </w:rPr>
          <w:tab/>
        </w:r>
        <w:r w:rsidR="001C6C1E">
          <w:rPr>
            <w:noProof/>
            <w:webHidden/>
          </w:rPr>
          <w:fldChar w:fldCharType="begin"/>
        </w:r>
        <w:r w:rsidR="001C6C1E">
          <w:rPr>
            <w:noProof/>
            <w:webHidden/>
          </w:rPr>
          <w:instrText xml:space="preserve"> PAGEREF _Toc83997441 \h </w:instrText>
        </w:r>
        <w:r w:rsidR="001C6C1E">
          <w:rPr>
            <w:noProof/>
            <w:webHidden/>
          </w:rPr>
        </w:r>
        <w:r w:rsidR="001C6C1E">
          <w:rPr>
            <w:noProof/>
            <w:webHidden/>
          </w:rPr>
          <w:fldChar w:fldCharType="separate"/>
        </w:r>
        <w:r w:rsidR="0067767C">
          <w:rPr>
            <w:noProof/>
            <w:webHidden/>
          </w:rPr>
          <w:t>99</w:t>
        </w:r>
        <w:r w:rsidR="001C6C1E">
          <w:rPr>
            <w:noProof/>
            <w:webHidden/>
          </w:rPr>
          <w:fldChar w:fldCharType="end"/>
        </w:r>
      </w:hyperlink>
    </w:p>
    <w:p w14:paraId="31CC57E2" w14:textId="38D936D1" w:rsidR="001C6C1E" w:rsidRDefault="00742092">
      <w:pPr>
        <w:pStyle w:val="Abbildungsverzeichnis"/>
        <w:rPr>
          <w:rFonts w:asciiTheme="minorHAnsi" w:eastAsiaTheme="minorEastAsia" w:hAnsiTheme="minorHAnsi" w:cstheme="minorBidi"/>
          <w:noProof/>
          <w:szCs w:val="22"/>
          <w:lang w:eastAsia="en-GB"/>
        </w:rPr>
      </w:pPr>
      <w:hyperlink w:anchor="_Toc83997442" w:history="1">
        <w:r w:rsidR="001C6C1E" w:rsidRPr="006635C6">
          <w:rPr>
            <w:rStyle w:val="Hyperlink"/>
            <w:noProof/>
          </w:rPr>
          <w:t>Figure 9</w:t>
        </w:r>
        <w:r w:rsidR="001C6C1E" w:rsidRPr="006635C6">
          <w:rPr>
            <w:rStyle w:val="Hyperlink"/>
            <w:noProof/>
          </w:rPr>
          <w:noBreakHyphen/>
          <w:t>1:</w:t>
        </w:r>
        <w:r w:rsidR="001C6C1E">
          <w:rPr>
            <w:rFonts w:asciiTheme="minorHAnsi" w:eastAsiaTheme="minorEastAsia" w:hAnsiTheme="minorHAnsi" w:cstheme="minorBidi"/>
            <w:noProof/>
            <w:szCs w:val="22"/>
            <w:lang w:eastAsia="en-GB"/>
          </w:rPr>
          <w:tab/>
        </w:r>
        <w:r w:rsidR="001C6C1E" w:rsidRPr="006635C6">
          <w:rPr>
            <w:rStyle w:val="Hyperlink"/>
            <w:noProof/>
          </w:rPr>
          <w:t>The relationship between land take (left) and soil sealing (right. hatched surfaces)</w:t>
        </w:r>
        <w:r w:rsidR="001C6C1E">
          <w:rPr>
            <w:noProof/>
            <w:webHidden/>
          </w:rPr>
          <w:tab/>
        </w:r>
        <w:r w:rsidR="001C6C1E">
          <w:rPr>
            <w:noProof/>
            <w:webHidden/>
          </w:rPr>
          <w:fldChar w:fldCharType="begin"/>
        </w:r>
        <w:r w:rsidR="001C6C1E">
          <w:rPr>
            <w:noProof/>
            <w:webHidden/>
          </w:rPr>
          <w:instrText xml:space="preserve"> PAGEREF _Toc83997442 \h </w:instrText>
        </w:r>
        <w:r w:rsidR="001C6C1E">
          <w:rPr>
            <w:noProof/>
            <w:webHidden/>
          </w:rPr>
        </w:r>
        <w:r w:rsidR="001C6C1E">
          <w:rPr>
            <w:noProof/>
            <w:webHidden/>
          </w:rPr>
          <w:fldChar w:fldCharType="separate"/>
        </w:r>
        <w:r w:rsidR="0067767C">
          <w:rPr>
            <w:noProof/>
            <w:webHidden/>
          </w:rPr>
          <w:t>102</w:t>
        </w:r>
        <w:r w:rsidR="001C6C1E">
          <w:rPr>
            <w:noProof/>
            <w:webHidden/>
          </w:rPr>
          <w:fldChar w:fldCharType="end"/>
        </w:r>
      </w:hyperlink>
    </w:p>
    <w:p w14:paraId="0754344C" w14:textId="4FB6D042" w:rsidR="001C6C1E" w:rsidRDefault="00742092">
      <w:pPr>
        <w:pStyle w:val="Abbildungsverzeichnis"/>
        <w:rPr>
          <w:rFonts w:asciiTheme="minorHAnsi" w:eastAsiaTheme="minorEastAsia" w:hAnsiTheme="minorHAnsi" w:cstheme="minorBidi"/>
          <w:noProof/>
          <w:szCs w:val="22"/>
          <w:lang w:eastAsia="en-GB"/>
        </w:rPr>
      </w:pPr>
      <w:hyperlink w:anchor="_Toc83997443" w:history="1">
        <w:r w:rsidR="001C6C1E" w:rsidRPr="006635C6">
          <w:rPr>
            <w:rStyle w:val="Hyperlink"/>
            <w:noProof/>
          </w:rPr>
          <w:t>Figure 9</w:t>
        </w:r>
        <w:r w:rsidR="001C6C1E" w:rsidRPr="006635C6">
          <w:rPr>
            <w:rStyle w:val="Hyperlink"/>
            <w:noProof/>
          </w:rPr>
          <w:noBreakHyphen/>
          <w:t>2:</w:t>
        </w:r>
        <w:r w:rsidR="001C6C1E">
          <w:rPr>
            <w:rFonts w:asciiTheme="minorHAnsi" w:eastAsiaTheme="minorEastAsia" w:hAnsiTheme="minorHAnsi" w:cstheme="minorBidi"/>
            <w:noProof/>
            <w:szCs w:val="22"/>
            <w:lang w:eastAsia="en-GB"/>
          </w:rPr>
          <w:tab/>
        </w:r>
        <w:r w:rsidR="001C6C1E" w:rsidRPr="006635C6">
          <w:rPr>
            <w:rStyle w:val="Hyperlink"/>
            <w:noProof/>
          </w:rPr>
          <w:t>Example from the interactive data platform showing accounts of land surface sealing status and change in Europe (EEA39 and EU28) for every 3 years between 2006 and 2015.</w:t>
        </w:r>
        <w:r w:rsidR="001C6C1E">
          <w:rPr>
            <w:noProof/>
            <w:webHidden/>
          </w:rPr>
          <w:tab/>
        </w:r>
        <w:r w:rsidR="001C6C1E">
          <w:rPr>
            <w:noProof/>
            <w:webHidden/>
          </w:rPr>
          <w:fldChar w:fldCharType="begin"/>
        </w:r>
        <w:r w:rsidR="001C6C1E">
          <w:rPr>
            <w:noProof/>
            <w:webHidden/>
          </w:rPr>
          <w:instrText xml:space="preserve"> PAGEREF _Toc83997443 \h </w:instrText>
        </w:r>
        <w:r w:rsidR="001C6C1E">
          <w:rPr>
            <w:noProof/>
            <w:webHidden/>
          </w:rPr>
        </w:r>
        <w:r w:rsidR="001C6C1E">
          <w:rPr>
            <w:noProof/>
            <w:webHidden/>
          </w:rPr>
          <w:fldChar w:fldCharType="separate"/>
        </w:r>
        <w:r w:rsidR="0067767C">
          <w:rPr>
            <w:noProof/>
            <w:webHidden/>
          </w:rPr>
          <w:t>103</w:t>
        </w:r>
        <w:r w:rsidR="001C6C1E">
          <w:rPr>
            <w:noProof/>
            <w:webHidden/>
          </w:rPr>
          <w:fldChar w:fldCharType="end"/>
        </w:r>
      </w:hyperlink>
    </w:p>
    <w:p w14:paraId="44670E1E" w14:textId="100670B4" w:rsidR="001C6C1E" w:rsidRDefault="00742092">
      <w:pPr>
        <w:pStyle w:val="Abbildungsverzeichnis"/>
        <w:rPr>
          <w:rFonts w:asciiTheme="minorHAnsi" w:eastAsiaTheme="minorEastAsia" w:hAnsiTheme="minorHAnsi" w:cstheme="minorBidi"/>
          <w:noProof/>
          <w:szCs w:val="22"/>
          <w:lang w:eastAsia="en-GB"/>
        </w:rPr>
      </w:pPr>
      <w:hyperlink w:anchor="_Toc83997444" w:history="1">
        <w:r w:rsidR="001C6C1E" w:rsidRPr="006635C6">
          <w:rPr>
            <w:rStyle w:val="Hyperlink"/>
            <w:noProof/>
          </w:rPr>
          <w:t>Figure 9</w:t>
        </w:r>
        <w:r w:rsidR="001C6C1E" w:rsidRPr="006635C6">
          <w:rPr>
            <w:rStyle w:val="Hyperlink"/>
            <w:noProof/>
          </w:rPr>
          <w:noBreakHyphen/>
          <w:t>3:</w:t>
        </w:r>
        <w:r w:rsidR="001C6C1E">
          <w:rPr>
            <w:rFonts w:asciiTheme="minorHAnsi" w:eastAsiaTheme="minorEastAsia" w:hAnsiTheme="minorHAnsi" w:cstheme="minorBidi"/>
            <w:noProof/>
            <w:szCs w:val="22"/>
            <w:lang w:eastAsia="en-GB"/>
          </w:rPr>
          <w:tab/>
        </w:r>
        <w:r w:rsidR="001C6C1E" w:rsidRPr="006635C6">
          <w:rPr>
            <w:rStyle w:val="Hyperlink"/>
            <w:noProof/>
          </w:rPr>
          <w:t>Documentation errors of EEA-Copernicus high resolution layer “Degree of Imperviousness 2015”</w:t>
        </w:r>
        <w:r w:rsidR="001C6C1E">
          <w:rPr>
            <w:noProof/>
            <w:webHidden/>
          </w:rPr>
          <w:tab/>
        </w:r>
        <w:r w:rsidR="001C6C1E">
          <w:rPr>
            <w:noProof/>
            <w:webHidden/>
          </w:rPr>
          <w:fldChar w:fldCharType="begin"/>
        </w:r>
        <w:r w:rsidR="001C6C1E">
          <w:rPr>
            <w:noProof/>
            <w:webHidden/>
          </w:rPr>
          <w:instrText xml:space="preserve"> PAGEREF _Toc83997444 \h </w:instrText>
        </w:r>
        <w:r w:rsidR="001C6C1E">
          <w:rPr>
            <w:noProof/>
            <w:webHidden/>
          </w:rPr>
        </w:r>
        <w:r w:rsidR="001C6C1E">
          <w:rPr>
            <w:noProof/>
            <w:webHidden/>
          </w:rPr>
          <w:fldChar w:fldCharType="separate"/>
        </w:r>
        <w:r w:rsidR="0067767C">
          <w:rPr>
            <w:noProof/>
            <w:webHidden/>
          </w:rPr>
          <w:t>105</w:t>
        </w:r>
        <w:r w:rsidR="001C6C1E">
          <w:rPr>
            <w:noProof/>
            <w:webHidden/>
          </w:rPr>
          <w:fldChar w:fldCharType="end"/>
        </w:r>
      </w:hyperlink>
    </w:p>
    <w:p w14:paraId="41207FBE" w14:textId="245BDC50" w:rsidR="0090303E" w:rsidRDefault="00AF3399" w:rsidP="0090303E">
      <w:pPr>
        <w:rPr>
          <w:lang w:eastAsia="pt-PT"/>
        </w:rPr>
      </w:pPr>
      <w:r>
        <w:rPr>
          <w:lang w:eastAsia="pt-PT"/>
        </w:rPr>
        <w:fldChar w:fldCharType="end"/>
      </w:r>
    </w:p>
    <w:p w14:paraId="2A88C198" w14:textId="4D8EAC0A" w:rsidR="00F150EA" w:rsidRPr="00DA039D" w:rsidRDefault="00F150EA" w:rsidP="00F150EA">
      <w:pPr>
        <w:pStyle w:val="berschrift1"/>
        <w:numPr>
          <w:ilvl w:val="0"/>
          <w:numId w:val="0"/>
        </w:numPr>
        <w:ind w:left="432" w:hanging="432"/>
        <w:rPr>
          <w:lang w:val="pt-PT"/>
        </w:rPr>
      </w:pPr>
      <w:bookmarkStart w:id="3" w:name="_Toc83997313"/>
      <w:r>
        <w:rPr>
          <w:lang w:val="pt-PT"/>
        </w:rPr>
        <w:t>Tables</w:t>
      </w:r>
      <w:bookmarkEnd w:id="3"/>
      <w:r>
        <w:rPr>
          <w:lang w:val="pt-PT"/>
        </w:rPr>
        <w:t xml:space="preserve"> </w:t>
      </w:r>
    </w:p>
    <w:p w14:paraId="54B082DE" w14:textId="4444A6A5" w:rsidR="001C6C1E" w:rsidRDefault="004E2ADF">
      <w:pPr>
        <w:pStyle w:val="Abbildungsverzeichnis"/>
        <w:rPr>
          <w:rFonts w:asciiTheme="minorHAnsi" w:eastAsiaTheme="minorEastAsia" w:hAnsiTheme="minorHAnsi" w:cstheme="minorBidi"/>
          <w:noProof/>
          <w:szCs w:val="22"/>
          <w:lang w:eastAsia="en-GB"/>
        </w:rPr>
      </w:pPr>
      <w:r>
        <w:rPr>
          <w:lang w:eastAsia="pt-PT"/>
        </w:rPr>
        <w:fldChar w:fldCharType="begin"/>
      </w:r>
      <w:r>
        <w:rPr>
          <w:lang w:eastAsia="pt-PT"/>
        </w:rPr>
        <w:instrText xml:space="preserve"> TOC \h \z \c "Table" </w:instrText>
      </w:r>
      <w:r>
        <w:rPr>
          <w:lang w:eastAsia="pt-PT"/>
        </w:rPr>
        <w:fldChar w:fldCharType="separate"/>
      </w:r>
      <w:hyperlink w:anchor="_Toc83997495" w:history="1">
        <w:r w:rsidR="001C6C1E" w:rsidRPr="003D1BD6">
          <w:rPr>
            <w:rStyle w:val="Hyperlink"/>
            <w:noProof/>
          </w:rPr>
          <w:t>Table 1</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noProof/>
          </w:rPr>
          <w:t>Soil degradation types, corresponding soil threats and affected soil services</w:t>
        </w:r>
        <w:r w:rsidR="001C6C1E">
          <w:rPr>
            <w:noProof/>
            <w:webHidden/>
          </w:rPr>
          <w:tab/>
        </w:r>
        <w:r w:rsidR="001C6C1E">
          <w:rPr>
            <w:noProof/>
            <w:webHidden/>
          </w:rPr>
          <w:fldChar w:fldCharType="begin"/>
        </w:r>
        <w:r w:rsidR="001C6C1E">
          <w:rPr>
            <w:noProof/>
            <w:webHidden/>
          </w:rPr>
          <w:instrText xml:space="preserve"> PAGEREF _Toc83997495 \h </w:instrText>
        </w:r>
        <w:r w:rsidR="001C6C1E">
          <w:rPr>
            <w:noProof/>
            <w:webHidden/>
          </w:rPr>
        </w:r>
        <w:r w:rsidR="001C6C1E">
          <w:rPr>
            <w:noProof/>
            <w:webHidden/>
          </w:rPr>
          <w:fldChar w:fldCharType="separate"/>
        </w:r>
        <w:r w:rsidR="0067767C">
          <w:rPr>
            <w:noProof/>
            <w:webHidden/>
          </w:rPr>
          <w:t>7</w:t>
        </w:r>
        <w:r w:rsidR="001C6C1E">
          <w:rPr>
            <w:noProof/>
            <w:webHidden/>
          </w:rPr>
          <w:fldChar w:fldCharType="end"/>
        </w:r>
      </w:hyperlink>
    </w:p>
    <w:p w14:paraId="129971E4" w14:textId="2E178754" w:rsidR="001C6C1E" w:rsidRDefault="00742092">
      <w:pPr>
        <w:pStyle w:val="Abbildungsverzeichnis"/>
        <w:rPr>
          <w:rFonts w:asciiTheme="minorHAnsi" w:eastAsiaTheme="minorEastAsia" w:hAnsiTheme="minorHAnsi" w:cstheme="minorBidi"/>
          <w:noProof/>
          <w:szCs w:val="22"/>
          <w:lang w:eastAsia="en-GB"/>
        </w:rPr>
      </w:pPr>
      <w:hyperlink w:anchor="_Toc83997496" w:history="1">
        <w:r w:rsidR="001C6C1E" w:rsidRPr="003D1BD6">
          <w:rPr>
            <w:rStyle w:val="Hyperlink"/>
            <w:noProof/>
          </w:rPr>
          <w:t>Table 1</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noProof/>
          </w:rPr>
          <w:t>Soil threats and their linkage to soil services and key societal needs</w:t>
        </w:r>
        <w:r w:rsidR="001C6C1E">
          <w:rPr>
            <w:noProof/>
            <w:webHidden/>
          </w:rPr>
          <w:tab/>
        </w:r>
        <w:r w:rsidR="001C6C1E">
          <w:rPr>
            <w:noProof/>
            <w:webHidden/>
          </w:rPr>
          <w:fldChar w:fldCharType="begin"/>
        </w:r>
        <w:r w:rsidR="001C6C1E">
          <w:rPr>
            <w:noProof/>
            <w:webHidden/>
          </w:rPr>
          <w:instrText xml:space="preserve"> PAGEREF _Toc83997496 \h </w:instrText>
        </w:r>
        <w:r w:rsidR="001C6C1E">
          <w:rPr>
            <w:noProof/>
            <w:webHidden/>
          </w:rPr>
        </w:r>
        <w:r w:rsidR="001C6C1E">
          <w:rPr>
            <w:noProof/>
            <w:webHidden/>
          </w:rPr>
          <w:fldChar w:fldCharType="separate"/>
        </w:r>
        <w:r w:rsidR="0067767C">
          <w:rPr>
            <w:noProof/>
            <w:webHidden/>
          </w:rPr>
          <w:t>8</w:t>
        </w:r>
        <w:r w:rsidR="001C6C1E">
          <w:rPr>
            <w:noProof/>
            <w:webHidden/>
          </w:rPr>
          <w:fldChar w:fldCharType="end"/>
        </w:r>
      </w:hyperlink>
    </w:p>
    <w:p w14:paraId="23B2F93E" w14:textId="020AE483" w:rsidR="001C6C1E" w:rsidRDefault="00742092">
      <w:pPr>
        <w:pStyle w:val="Abbildungsverzeichnis"/>
        <w:rPr>
          <w:rFonts w:asciiTheme="minorHAnsi" w:eastAsiaTheme="minorEastAsia" w:hAnsiTheme="minorHAnsi" w:cstheme="minorBidi"/>
          <w:noProof/>
          <w:szCs w:val="22"/>
          <w:lang w:eastAsia="en-GB"/>
        </w:rPr>
      </w:pPr>
      <w:hyperlink w:anchor="_Toc83997497" w:history="1">
        <w:r w:rsidR="001C6C1E" w:rsidRPr="003D1BD6">
          <w:rPr>
            <w:rStyle w:val="Hyperlink"/>
            <w:noProof/>
          </w:rPr>
          <w:t>Table 1</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noProof/>
          </w:rPr>
          <w:t>Overview of broadly discussed soil indicators</w:t>
        </w:r>
        <w:r w:rsidR="001C6C1E">
          <w:rPr>
            <w:noProof/>
            <w:webHidden/>
          </w:rPr>
          <w:tab/>
        </w:r>
        <w:r w:rsidR="001C6C1E">
          <w:rPr>
            <w:noProof/>
            <w:webHidden/>
          </w:rPr>
          <w:fldChar w:fldCharType="begin"/>
        </w:r>
        <w:r w:rsidR="001C6C1E">
          <w:rPr>
            <w:noProof/>
            <w:webHidden/>
          </w:rPr>
          <w:instrText xml:space="preserve"> PAGEREF _Toc83997497 \h </w:instrText>
        </w:r>
        <w:r w:rsidR="001C6C1E">
          <w:rPr>
            <w:noProof/>
            <w:webHidden/>
          </w:rPr>
        </w:r>
        <w:r w:rsidR="001C6C1E">
          <w:rPr>
            <w:noProof/>
            <w:webHidden/>
          </w:rPr>
          <w:fldChar w:fldCharType="separate"/>
        </w:r>
        <w:r w:rsidR="0067767C">
          <w:rPr>
            <w:noProof/>
            <w:webHidden/>
          </w:rPr>
          <w:t>9</w:t>
        </w:r>
        <w:r w:rsidR="001C6C1E">
          <w:rPr>
            <w:noProof/>
            <w:webHidden/>
          </w:rPr>
          <w:fldChar w:fldCharType="end"/>
        </w:r>
      </w:hyperlink>
    </w:p>
    <w:p w14:paraId="241088F5" w14:textId="0130DB2B" w:rsidR="001C6C1E" w:rsidRDefault="00742092">
      <w:pPr>
        <w:pStyle w:val="Abbildungsverzeichnis"/>
        <w:rPr>
          <w:rFonts w:asciiTheme="minorHAnsi" w:eastAsiaTheme="minorEastAsia" w:hAnsiTheme="minorHAnsi" w:cstheme="minorBidi"/>
          <w:noProof/>
          <w:szCs w:val="22"/>
          <w:lang w:eastAsia="en-GB"/>
        </w:rPr>
      </w:pPr>
      <w:hyperlink w:anchor="_Toc83997498" w:history="1">
        <w:r w:rsidR="001C6C1E" w:rsidRPr="003D1BD6">
          <w:rPr>
            <w:rStyle w:val="Hyperlink"/>
            <w:noProof/>
          </w:rPr>
          <w:t>Table 1</w:t>
        </w:r>
        <w:r w:rsidR="001C6C1E" w:rsidRPr="003D1BD6">
          <w:rPr>
            <w:rStyle w:val="Hyperlink"/>
            <w:noProof/>
          </w:rPr>
          <w:noBreakHyphen/>
          <w:t>4:</w:t>
        </w:r>
        <w:r w:rsidR="001C6C1E">
          <w:rPr>
            <w:rFonts w:asciiTheme="minorHAnsi" w:eastAsiaTheme="minorEastAsia" w:hAnsiTheme="minorHAnsi" w:cstheme="minorBidi"/>
            <w:noProof/>
            <w:szCs w:val="22"/>
            <w:lang w:eastAsia="en-GB"/>
          </w:rPr>
          <w:tab/>
        </w:r>
        <w:r w:rsidR="001C6C1E" w:rsidRPr="003D1BD6">
          <w:rPr>
            <w:rStyle w:val="Hyperlink"/>
            <w:noProof/>
          </w:rPr>
          <w:t>Proposal for MAES soil indicators (modified)</w:t>
        </w:r>
        <w:r w:rsidR="001C6C1E">
          <w:rPr>
            <w:noProof/>
            <w:webHidden/>
          </w:rPr>
          <w:tab/>
        </w:r>
        <w:r w:rsidR="001C6C1E">
          <w:rPr>
            <w:noProof/>
            <w:webHidden/>
          </w:rPr>
          <w:fldChar w:fldCharType="begin"/>
        </w:r>
        <w:r w:rsidR="001C6C1E">
          <w:rPr>
            <w:noProof/>
            <w:webHidden/>
          </w:rPr>
          <w:instrText xml:space="preserve"> PAGEREF _Toc83997498 \h </w:instrText>
        </w:r>
        <w:r w:rsidR="001C6C1E">
          <w:rPr>
            <w:noProof/>
            <w:webHidden/>
          </w:rPr>
        </w:r>
        <w:r w:rsidR="001C6C1E">
          <w:rPr>
            <w:noProof/>
            <w:webHidden/>
          </w:rPr>
          <w:fldChar w:fldCharType="separate"/>
        </w:r>
        <w:r w:rsidR="0067767C">
          <w:rPr>
            <w:noProof/>
            <w:webHidden/>
          </w:rPr>
          <w:t>10</w:t>
        </w:r>
        <w:r w:rsidR="001C6C1E">
          <w:rPr>
            <w:noProof/>
            <w:webHidden/>
          </w:rPr>
          <w:fldChar w:fldCharType="end"/>
        </w:r>
      </w:hyperlink>
    </w:p>
    <w:p w14:paraId="2962D2C8" w14:textId="2D51C2FB" w:rsidR="001C6C1E" w:rsidRDefault="00742092">
      <w:pPr>
        <w:pStyle w:val="Abbildungsverzeichnis"/>
        <w:rPr>
          <w:rFonts w:asciiTheme="minorHAnsi" w:eastAsiaTheme="minorEastAsia" w:hAnsiTheme="minorHAnsi" w:cstheme="minorBidi"/>
          <w:noProof/>
          <w:szCs w:val="22"/>
          <w:lang w:eastAsia="en-GB"/>
        </w:rPr>
      </w:pPr>
      <w:hyperlink w:anchor="_Toc83997499" w:history="1">
        <w:r w:rsidR="001C6C1E" w:rsidRPr="003D1BD6">
          <w:rPr>
            <w:rStyle w:val="Hyperlink"/>
            <w:noProof/>
          </w:rPr>
          <w:t>Table 1</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noProof/>
          </w:rPr>
          <w:t>Objectives, targets and recommended indicators of the EU's Soil Health and Food Mission Board</w:t>
        </w:r>
        <w:r w:rsidR="001C6C1E">
          <w:rPr>
            <w:noProof/>
            <w:webHidden/>
          </w:rPr>
          <w:tab/>
        </w:r>
        <w:r w:rsidR="001C6C1E">
          <w:rPr>
            <w:noProof/>
            <w:webHidden/>
          </w:rPr>
          <w:fldChar w:fldCharType="begin"/>
        </w:r>
        <w:r w:rsidR="001C6C1E">
          <w:rPr>
            <w:noProof/>
            <w:webHidden/>
          </w:rPr>
          <w:instrText xml:space="preserve"> PAGEREF _Toc83997499 \h </w:instrText>
        </w:r>
        <w:r w:rsidR="001C6C1E">
          <w:rPr>
            <w:noProof/>
            <w:webHidden/>
          </w:rPr>
        </w:r>
        <w:r w:rsidR="001C6C1E">
          <w:rPr>
            <w:noProof/>
            <w:webHidden/>
          </w:rPr>
          <w:fldChar w:fldCharType="separate"/>
        </w:r>
        <w:r w:rsidR="0067767C">
          <w:rPr>
            <w:noProof/>
            <w:webHidden/>
          </w:rPr>
          <w:t>14</w:t>
        </w:r>
        <w:r w:rsidR="001C6C1E">
          <w:rPr>
            <w:noProof/>
            <w:webHidden/>
          </w:rPr>
          <w:fldChar w:fldCharType="end"/>
        </w:r>
      </w:hyperlink>
    </w:p>
    <w:p w14:paraId="4F3D09D6" w14:textId="2A109E00" w:rsidR="001C6C1E" w:rsidRDefault="00742092">
      <w:pPr>
        <w:pStyle w:val="Abbildungsverzeichnis"/>
        <w:rPr>
          <w:rFonts w:asciiTheme="minorHAnsi" w:eastAsiaTheme="minorEastAsia" w:hAnsiTheme="minorHAnsi" w:cstheme="minorBidi"/>
          <w:noProof/>
          <w:szCs w:val="22"/>
          <w:lang w:eastAsia="en-GB"/>
        </w:rPr>
      </w:pPr>
      <w:hyperlink w:anchor="_Toc83997500" w:history="1">
        <w:r w:rsidR="001C6C1E" w:rsidRPr="003D1BD6">
          <w:rPr>
            <w:rStyle w:val="Hyperlink"/>
            <w:noProof/>
          </w:rPr>
          <w:t>Table 1</w:t>
        </w:r>
        <w:r w:rsidR="001C6C1E" w:rsidRPr="003D1BD6">
          <w:rPr>
            <w:rStyle w:val="Hyperlink"/>
            <w:noProof/>
          </w:rPr>
          <w:noBreakHyphen/>
          <w:t>6:</w:t>
        </w:r>
        <w:r w:rsidR="001C6C1E">
          <w:rPr>
            <w:rFonts w:asciiTheme="minorHAnsi" w:eastAsiaTheme="minorEastAsia" w:hAnsiTheme="minorHAnsi" w:cstheme="minorBidi"/>
            <w:noProof/>
            <w:szCs w:val="22"/>
            <w:lang w:eastAsia="en-GB"/>
          </w:rPr>
          <w:tab/>
        </w:r>
        <w:r w:rsidR="001C6C1E" w:rsidRPr="003D1BD6">
          <w:rPr>
            <w:rStyle w:val="Hyperlink"/>
            <w:noProof/>
          </w:rPr>
          <w:t>Soil-related policy objectives and targets at EU- and global level (binding as well as incentive-based non-binding policies and measures)</w:t>
        </w:r>
        <w:r w:rsidR="001C6C1E">
          <w:rPr>
            <w:noProof/>
            <w:webHidden/>
          </w:rPr>
          <w:tab/>
        </w:r>
        <w:r w:rsidR="001C6C1E">
          <w:rPr>
            <w:noProof/>
            <w:webHidden/>
          </w:rPr>
          <w:fldChar w:fldCharType="begin"/>
        </w:r>
        <w:r w:rsidR="001C6C1E">
          <w:rPr>
            <w:noProof/>
            <w:webHidden/>
          </w:rPr>
          <w:instrText xml:space="preserve"> PAGEREF _Toc83997500 \h </w:instrText>
        </w:r>
        <w:r w:rsidR="001C6C1E">
          <w:rPr>
            <w:noProof/>
            <w:webHidden/>
          </w:rPr>
        </w:r>
        <w:r w:rsidR="001C6C1E">
          <w:rPr>
            <w:noProof/>
            <w:webHidden/>
          </w:rPr>
          <w:fldChar w:fldCharType="separate"/>
        </w:r>
        <w:r w:rsidR="0067767C">
          <w:rPr>
            <w:noProof/>
            <w:webHidden/>
          </w:rPr>
          <w:t>17</w:t>
        </w:r>
        <w:r w:rsidR="001C6C1E">
          <w:rPr>
            <w:noProof/>
            <w:webHidden/>
          </w:rPr>
          <w:fldChar w:fldCharType="end"/>
        </w:r>
      </w:hyperlink>
    </w:p>
    <w:p w14:paraId="73AF4602" w14:textId="00B23B78" w:rsidR="001C6C1E" w:rsidRDefault="00742092">
      <w:pPr>
        <w:pStyle w:val="Abbildungsverzeichnis"/>
        <w:rPr>
          <w:rFonts w:asciiTheme="minorHAnsi" w:eastAsiaTheme="minorEastAsia" w:hAnsiTheme="minorHAnsi" w:cstheme="minorBidi"/>
          <w:noProof/>
          <w:szCs w:val="22"/>
          <w:lang w:eastAsia="en-GB"/>
        </w:rPr>
      </w:pPr>
      <w:hyperlink w:anchor="_Toc83997501" w:history="1">
        <w:r w:rsidR="001C6C1E" w:rsidRPr="003D1BD6">
          <w:rPr>
            <w:rStyle w:val="Hyperlink"/>
            <w:noProof/>
          </w:rPr>
          <w:t>Table 2</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noProof/>
          </w:rPr>
          <w:t>Relationship of soil organic carbon (SOC) to key societal needs and soil functions</w:t>
        </w:r>
        <w:r w:rsidR="001C6C1E">
          <w:rPr>
            <w:noProof/>
            <w:webHidden/>
          </w:rPr>
          <w:tab/>
        </w:r>
        <w:r w:rsidR="001C6C1E">
          <w:rPr>
            <w:noProof/>
            <w:webHidden/>
          </w:rPr>
          <w:fldChar w:fldCharType="begin"/>
        </w:r>
        <w:r w:rsidR="001C6C1E">
          <w:rPr>
            <w:noProof/>
            <w:webHidden/>
          </w:rPr>
          <w:instrText xml:space="preserve"> PAGEREF _Toc83997501 \h </w:instrText>
        </w:r>
        <w:r w:rsidR="001C6C1E">
          <w:rPr>
            <w:noProof/>
            <w:webHidden/>
          </w:rPr>
        </w:r>
        <w:r w:rsidR="001C6C1E">
          <w:rPr>
            <w:noProof/>
            <w:webHidden/>
          </w:rPr>
          <w:fldChar w:fldCharType="separate"/>
        </w:r>
        <w:r w:rsidR="0067767C">
          <w:rPr>
            <w:noProof/>
            <w:webHidden/>
          </w:rPr>
          <w:t>20</w:t>
        </w:r>
        <w:r w:rsidR="001C6C1E">
          <w:rPr>
            <w:noProof/>
            <w:webHidden/>
          </w:rPr>
          <w:fldChar w:fldCharType="end"/>
        </w:r>
      </w:hyperlink>
    </w:p>
    <w:p w14:paraId="261DB0D1" w14:textId="2858599B" w:rsidR="001C6C1E" w:rsidRDefault="00742092">
      <w:pPr>
        <w:pStyle w:val="Abbildungsverzeichnis"/>
        <w:rPr>
          <w:rFonts w:asciiTheme="minorHAnsi" w:eastAsiaTheme="minorEastAsia" w:hAnsiTheme="minorHAnsi" w:cstheme="minorBidi"/>
          <w:noProof/>
          <w:szCs w:val="22"/>
          <w:lang w:eastAsia="en-GB"/>
        </w:rPr>
      </w:pPr>
      <w:hyperlink w:anchor="_Toc83997502" w:history="1">
        <w:r w:rsidR="001C6C1E" w:rsidRPr="003D1BD6">
          <w:rPr>
            <w:rStyle w:val="Hyperlink"/>
            <w:noProof/>
          </w:rPr>
          <w:t>Table 2</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noProof/>
          </w:rPr>
          <w:t>SOM pools in soils</w:t>
        </w:r>
        <w:r w:rsidR="001C6C1E">
          <w:rPr>
            <w:noProof/>
            <w:webHidden/>
          </w:rPr>
          <w:tab/>
        </w:r>
        <w:r w:rsidR="001C6C1E">
          <w:rPr>
            <w:noProof/>
            <w:webHidden/>
          </w:rPr>
          <w:fldChar w:fldCharType="begin"/>
        </w:r>
        <w:r w:rsidR="001C6C1E">
          <w:rPr>
            <w:noProof/>
            <w:webHidden/>
          </w:rPr>
          <w:instrText xml:space="preserve"> PAGEREF _Toc83997502 \h </w:instrText>
        </w:r>
        <w:r w:rsidR="001C6C1E">
          <w:rPr>
            <w:noProof/>
            <w:webHidden/>
          </w:rPr>
        </w:r>
        <w:r w:rsidR="001C6C1E">
          <w:rPr>
            <w:noProof/>
            <w:webHidden/>
          </w:rPr>
          <w:fldChar w:fldCharType="separate"/>
        </w:r>
        <w:r w:rsidR="0067767C">
          <w:rPr>
            <w:noProof/>
            <w:webHidden/>
          </w:rPr>
          <w:t>22</w:t>
        </w:r>
        <w:r w:rsidR="001C6C1E">
          <w:rPr>
            <w:noProof/>
            <w:webHidden/>
          </w:rPr>
          <w:fldChar w:fldCharType="end"/>
        </w:r>
      </w:hyperlink>
    </w:p>
    <w:p w14:paraId="5C14FF97" w14:textId="1AE0660A" w:rsidR="001C6C1E" w:rsidRDefault="00742092">
      <w:pPr>
        <w:pStyle w:val="Abbildungsverzeichnis"/>
        <w:rPr>
          <w:rFonts w:asciiTheme="minorHAnsi" w:eastAsiaTheme="minorEastAsia" w:hAnsiTheme="minorHAnsi" w:cstheme="minorBidi"/>
          <w:noProof/>
          <w:szCs w:val="22"/>
          <w:lang w:eastAsia="en-GB"/>
        </w:rPr>
      </w:pPr>
      <w:hyperlink w:anchor="_Toc83997503" w:history="1">
        <w:r w:rsidR="001C6C1E" w:rsidRPr="003D1BD6">
          <w:rPr>
            <w:rStyle w:val="Hyperlink"/>
            <w:noProof/>
          </w:rPr>
          <w:t>Table 2</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noProof/>
          </w:rPr>
          <w:t>Overview of Chapter 2.3 on SOC thresholds</w:t>
        </w:r>
        <w:r w:rsidR="001C6C1E">
          <w:rPr>
            <w:noProof/>
            <w:webHidden/>
          </w:rPr>
          <w:tab/>
        </w:r>
        <w:r w:rsidR="001C6C1E">
          <w:rPr>
            <w:noProof/>
            <w:webHidden/>
          </w:rPr>
          <w:fldChar w:fldCharType="begin"/>
        </w:r>
        <w:r w:rsidR="001C6C1E">
          <w:rPr>
            <w:noProof/>
            <w:webHidden/>
          </w:rPr>
          <w:instrText xml:space="preserve"> PAGEREF _Toc83997503 \h </w:instrText>
        </w:r>
        <w:r w:rsidR="001C6C1E">
          <w:rPr>
            <w:noProof/>
            <w:webHidden/>
          </w:rPr>
        </w:r>
        <w:r w:rsidR="001C6C1E">
          <w:rPr>
            <w:noProof/>
            <w:webHidden/>
          </w:rPr>
          <w:fldChar w:fldCharType="separate"/>
        </w:r>
        <w:r w:rsidR="0067767C">
          <w:rPr>
            <w:noProof/>
            <w:webHidden/>
          </w:rPr>
          <w:t>24</w:t>
        </w:r>
        <w:r w:rsidR="001C6C1E">
          <w:rPr>
            <w:noProof/>
            <w:webHidden/>
          </w:rPr>
          <w:fldChar w:fldCharType="end"/>
        </w:r>
      </w:hyperlink>
    </w:p>
    <w:p w14:paraId="2C9E3081" w14:textId="6AFBD8D3" w:rsidR="001C6C1E" w:rsidRDefault="00742092">
      <w:pPr>
        <w:pStyle w:val="Abbildungsverzeichnis"/>
        <w:rPr>
          <w:rFonts w:asciiTheme="minorHAnsi" w:eastAsiaTheme="minorEastAsia" w:hAnsiTheme="minorHAnsi" w:cstheme="minorBidi"/>
          <w:noProof/>
          <w:szCs w:val="22"/>
          <w:lang w:eastAsia="en-GB"/>
        </w:rPr>
      </w:pPr>
      <w:hyperlink w:anchor="_Toc83997504" w:history="1">
        <w:r w:rsidR="001C6C1E" w:rsidRPr="003D1BD6">
          <w:rPr>
            <w:rStyle w:val="Hyperlink"/>
            <w:noProof/>
          </w:rPr>
          <w:t>Table 2</w:t>
        </w:r>
        <w:r w:rsidR="001C6C1E" w:rsidRPr="003D1BD6">
          <w:rPr>
            <w:rStyle w:val="Hyperlink"/>
            <w:noProof/>
          </w:rPr>
          <w:noBreakHyphen/>
          <w:t>4:</w:t>
        </w:r>
        <w:r w:rsidR="001C6C1E">
          <w:rPr>
            <w:rFonts w:asciiTheme="minorHAnsi" w:eastAsiaTheme="minorEastAsia" w:hAnsiTheme="minorHAnsi" w:cstheme="minorBidi"/>
            <w:noProof/>
            <w:szCs w:val="22"/>
            <w:lang w:eastAsia="en-GB"/>
          </w:rPr>
          <w:tab/>
        </w:r>
        <w:r w:rsidR="001C6C1E" w:rsidRPr="003D1BD6">
          <w:rPr>
            <w:rStyle w:val="Hyperlink"/>
            <w:noProof/>
          </w:rPr>
          <w:t>Matrix for optimal SOM values for different soils, management type and climate</w:t>
        </w:r>
        <w:r w:rsidR="001C6C1E">
          <w:rPr>
            <w:noProof/>
            <w:webHidden/>
          </w:rPr>
          <w:tab/>
        </w:r>
        <w:r w:rsidR="001C6C1E">
          <w:rPr>
            <w:noProof/>
            <w:webHidden/>
          </w:rPr>
          <w:fldChar w:fldCharType="begin"/>
        </w:r>
        <w:r w:rsidR="001C6C1E">
          <w:rPr>
            <w:noProof/>
            <w:webHidden/>
          </w:rPr>
          <w:instrText xml:space="preserve"> PAGEREF _Toc83997504 \h </w:instrText>
        </w:r>
        <w:r w:rsidR="001C6C1E">
          <w:rPr>
            <w:noProof/>
            <w:webHidden/>
          </w:rPr>
        </w:r>
        <w:r w:rsidR="001C6C1E">
          <w:rPr>
            <w:noProof/>
            <w:webHidden/>
          </w:rPr>
          <w:fldChar w:fldCharType="separate"/>
        </w:r>
        <w:r w:rsidR="0067767C">
          <w:rPr>
            <w:noProof/>
            <w:webHidden/>
          </w:rPr>
          <w:t>25</w:t>
        </w:r>
        <w:r w:rsidR="001C6C1E">
          <w:rPr>
            <w:noProof/>
            <w:webHidden/>
          </w:rPr>
          <w:fldChar w:fldCharType="end"/>
        </w:r>
      </w:hyperlink>
    </w:p>
    <w:p w14:paraId="4BB786E0" w14:textId="2C2ECDCC" w:rsidR="001C6C1E" w:rsidRDefault="00742092">
      <w:pPr>
        <w:pStyle w:val="Abbildungsverzeichnis"/>
        <w:rPr>
          <w:rFonts w:asciiTheme="minorHAnsi" w:eastAsiaTheme="minorEastAsia" w:hAnsiTheme="minorHAnsi" w:cstheme="minorBidi"/>
          <w:noProof/>
          <w:szCs w:val="22"/>
          <w:lang w:eastAsia="en-GB"/>
        </w:rPr>
      </w:pPr>
      <w:hyperlink w:anchor="_Toc83997505" w:history="1">
        <w:r w:rsidR="001C6C1E" w:rsidRPr="003D1BD6">
          <w:rPr>
            <w:rStyle w:val="Hyperlink"/>
            <w:noProof/>
          </w:rPr>
          <w:t>Table 2</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noProof/>
          </w:rPr>
          <w:t>Approximation for a matrix for lower SOM limits for extensive management</w:t>
        </w:r>
        <w:r w:rsidR="001C6C1E">
          <w:rPr>
            <w:noProof/>
            <w:webHidden/>
          </w:rPr>
          <w:tab/>
        </w:r>
        <w:r w:rsidR="001C6C1E">
          <w:rPr>
            <w:noProof/>
            <w:webHidden/>
          </w:rPr>
          <w:fldChar w:fldCharType="begin"/>
        </w:r>
        <w:r w:rsidR="001C6C1E">
          <w:rPr>
            <w:noProof/>
            <w:webHidden/>
          </w:rPr>
          <w:instrText xml:space="preserve"> PAGEREF _Toc83997505 \h </w:instrText>
        </w:r>
        <w:r w:rsidR="001C6C1E">
          <w:rPr>
            <w:noProof/>
            <w:webHidden/>
          </w:rPr>
        </w:r>
        <w:r w:rsidR="001C6C1E">
          <w:rPr>
            <w:noProof/>
            <w:webHidden/>
          </w:rPr>
          <w:fldChar w:fldCharType="separate"/>
        </w:r>
        <w:r w:rsidR="0067767C">
          <w:rPr>
            <w:noProof/>
            <w:webHidden/>
          </w:rPr>
          <w:t>26</w:t>
        </w:r>
        <w:r w:rsidR="001C6C1E">
          <w:rPr>
            <w:noProof/>
            <w:webHidden/>
          </w:rPr>
          <w:fldChar w:fldCharType="end"/>
        </w:r>
      </w:hyperlink>
    </w:p>
    <w:p w14:paraId="5ABE1A30" w14:textId="17E66A05" w:rsidR="001C6C1E" w:rsidRDefault="00742092">
      <w:pPr>
        <w:pStyle w:val="Abbildungsverzeichnis"/>
        <w:rPr>
          <w:rFonts w:asciiTheme="minorHAnsi" w:eastAsiaTheme="minorEastAsia" w:hAnsiTheme="minorHAnsi" w:cstheme="minorBidi"/>
          <w:noProof/>
          <w:szCs w:val="22"/>
          <w:lang w:eastAsia="en-GB"/>
        </w:rPr>
      </w:pPr>
      <w:hyperlink w:anchor="_Toc83997506" w:history="1">
        <w:r w:rsidR="001C6C1E" w:rsidRPr="003D1BD6">
          <w:rPr>
            <w:rStyle w:val="Hyperlink"/>
            <w:noProof/>
          </w:rPr>
          <w:t>Table 2</w:t>
        </w:r>
        <w:r w:rsidR="001C6C1E" w:rsidRPr="003D1BD6">
          <w:rPr>
            <w:rStyle w:val="Hyperlink"/>
            <w:noProof/>
          </w:rPr>
          <w:noBreakHyphen/>
          <w:t>6:</w:t>
        </w:r>
        <w:r w:rsidR="001C6C1E">
          <w:rPr>
            <w:rFonts w:asciiTheme="minorHAnsi" w:eastAsiaTheme="minorEastAsia" w:hAnsiTheme="minorHAnsi" w:cstheme="minorBidi"/>
            <w:noProof/>
            <w:szCs w:val="22"/>
            <w:lang w:eastAsia="en-GB"/>
          </w:rPr>
          <w:tab/>
        </w:r>
        <w:r w:rsidR="001C6C1E" w:rsidRPr="003D1BD6">
          <w:rPr>
            <w:rStyle w:val="Hyperlink"/>
            <w:noProof/>
          </w:rPr>
          <w:t>SOC/clay ratio as an index for good soil structure</w:t>
        </w:r>
        <w:r w:rsidR="001C6C1E">
          <w:rPr>
            <w:noProof/>
            <w:webHidden/>
          </w:rPr>
          <w:tab/>
        </w:r>
        <w:r w:rsidR="001C6C1E">
          <w:rPr>
            <w:noProof/>
            <w:webHidden/>
          </w:rPr>
          <w:fldChar w:fldCharType="begin"/>
        </w:r>
        <w:r w:rsidR="001C6C1E">
          <w:rPr>
            <w:noProof/>
            <w:webHidden/>
          </w:rPr>
          <w:instrText xml:space="preserve"> PAGEREF _Toc83997506 \h </w:instrText>
        </w:r>
        <w:r w:rsidR="001C6C1E">
          <w:rPr>
            <w:noProof/>
            <w:webHidden/>
          </w:rPr>
        </w:r>
        <w:r w:rsidR="001C6C1E">
          <w:rPr>
            <w:noProof/>
            <w:webHidden/>
          </w:rPr>
          <w:fldChar w:fldCharType="separate"/>
        </w:r>
        <w:r w:rsidR="0067767C">
          <w:rPr>
            <w:noProof/>
            <w:webHidden/>
          </w:rPr>
          <w:t>26</w:t>
        </w:r>
        <w:r w:rsidR="001C6C1E">
          <w:rPr>
            <w:noProof/>
            <w:webHidden/>
          </w:rPr>
          <w:fldChar w:fldCharType="end"/>
        </w:r>
      </w:hyperlink>
    </w:p>
    <w:p w14:paraId="49FF82F9" w14:textId="657CE14D" w:rsidR="001C6C1E" w:rsidRDefault="00742092">
      <w:pPr>
        <w:pStyle w:val="Abbildungsverzeichnis"/>
        <w:rPr>
          <w:rFonts w:asciiTheme="minorHAnsi" w:eastAsiaTheme="minorEastAsia" w:hAnsiTheme="minorHAnsi" w:cstheme="minorBidi"/>
          <w:noProof/>
          <w:szCs w:val="22"/>
          <w:lang w:eastAsia="en-GB"/>
        </w:rPr>
      </w:pPr>
      <w:hyperlink w:anchor="_Toc83997507" w:history="1">
        <w:r w:rsidR="001C6C1E" w:rsidRPr="003D1BD6">
          <w:rPr>
            <w:rStyle w:val="Hyperlink"/>
            <w:noProof/>
          </w:rPr>
          <w:t>Table 2</w:t>
        </w:r>
        <w:r w:rsidR="001C6C1E" w:rsidRPr="003D1BD6">
          <w:rPr>
            <w:rStyle w:val="Hyperlink"/>
            <w:noProof/>
          </w:rPr>
          <w:noBreakHyphen/>
          <w:t>7:</w:t>
        </w:r>
        <w:r w:rsidR="001C6C1E">
          <w:rPr>
            <w:rFonts w:asciiTheme="minorHAnsi" w:eastAsiaTheme="minorEastAsia" w:hAnsiTheme="minorHAnsi" w:cstheme="minorBidi"/>
            <w:noProof/>
            <w:szCs w:val="22"/>
            <w:lang w:eastAsia="en-GB"/>
          </w:rPr>
          <w:tab/>
        </w:r>
        <w:r w:rsidR="001C6C1E" w:rsidRPr="003D1BD6">
          <w:rPr>
            <w:rStyle w:val="Hyperlink"/>
            <w:noProof/>
          </w:rPr>
          <w:t>Guideline ranges for the SOM content of sandy and loamy soils without groundwater influence (% SOM in ploughing layer) depending on fine silt (&lt; 6.3 µm) and clay</w:t>
        </w:r>
        <w:r w:rsidR="001C6C1E">
          <w:rPr>
            <w:noProof/>
            <w:webHidden/>
          </w:rPr>
          <w:tab/>
        </w:r>
        <w:r w:rsidR="001C6C1E">
          <w:rPr>
            <w:noProof/>
            <w:webHidden/>
          </w:rPr>
          <w:fldChar w:fldCharType="begin"/>
        </w:r>
        <w:r w:rsidR="001C6C1E">
          <w:rPr>
            <w:noProof/>
            <w:webHidden/>
          </w:rPr>
          <w:instrText xml:space="preserve"> PAGEREF _Toc83997507 \h </w:instrText>
        </w:r>
        <w:r w:rsidR="001C6C1E">
          <w:rPr>
            <w:noProof/>
            <w:webHidden/>
          </w:rPr>
        </w:r>
        <w:r w:rsidR="001C6C1E">
          <w:rPr>
            <w:noProof/>
            <w:webHidden/>
          </w:rPr>
          <w:fldChar w:fldCharType="separate"/>
        </w:r>
        <w:r w:rsidR="0067767C">
          <w:rPr>
            <w:noProof/>
            <w:webHidden/>
          </w:rPr>
          <w:t>28</w:t>
        </w:r>
        <w:r w:rsidR="001C6C1E">
          <w:rPr>
            <w:noProof/>
            <w:webHidden/>
          </w:rPr>
          <w:fldChar w:fldCharType="end"/>
        </w:r>
      </w:hyperlink>
    </w:p>
    <w:p w14:paraId="6A5054A2" w14:textId="56C8E4D9" w:rsidR="001C6C1E" w:rsidRDefault="00742092">
      <w:pPr>
        <w:pStyle w:val="Abbildungsverzeichnis"/>
        <w:rPr>
          <w:rFonts w:asciiTheme="minorHAnsi" w:eastAsiaTheme="minorEastAsia" w:hAnsiTheme="minorHAnsi" w:cstheme="minorBidi"/>
          <w:noProof/>
          <w:szCs w:val="22"/>
          <w:lang w:eastAsia="en-GB"/>
        </w:rPr>
      </w:pPr>
      <w:hyperlink w:anchor="_Toc83997508" w:history="1">
        <w:r w:rsidR="001C6C1E" w:rsidRPr="003D1BD6">
          <w:rPr>
            <w:rStyle w:val="Hyperlink"/>
            <w:noProof/>
          </w:rPr>
          <w:t>Table 2</w:t>
        </w:r>
        <w:r w:rsidR="001C6C1E" w:rsidRPr="003D1BD6">
          <w:rPr>
            <w:rStyle w:val="Hyperlink"/>
            <w:noProof/>
          </w:rPr>
          <w:noBreakHyphen/>
          <w:t>8:</w:t>
        </w:r>
        <w:r w:rsidR="001C6C1E">
          <w:rPr>
            <w:rFonts w:asciiTheme="minorHAnsi" w:eastAsiaTheme="minorEastAsia" w:hAnsiTheme="minorHAnsi" w:cstheme="minorBidi"/>
            <w:noProof/>
            <w:szCs w:val="22"/>
            <w:lang w:eastAsia="en-GB"/>
          </w:rPr>
          <w:tab/>
        </w:r>
        <w:r w:rsidR="001C6C1E" w:rsidRPr="003D1BD6">
          <w:rPr>
            <w:rStyle w:val="Hyperlink"/>
            <w:noProof/>
          </w:rPr>
          <w:t>Aggregation of SOM thresholds for soil groups</w:t>
        </w:r>
        <w:r w:rsidR="001C6C1E">
          <w:rPr>
            <w:noProof/>
            <w:webHidden/>
          </w:rPr>
          <w:tab/>
        </w:r>
        <w:r w:rsidR="001C6C1E">
          <w:rPr>
            <w:noProof/>
            <w:webHidden/>
          </w:rPr>
          <w:fldChar w:fldCharType="begin"/>
        </w:r>
        <w:r w:rsidR="001C6C1E">
          <w:rPr>
            <w:noProof/>
            <w:webHidden/>
          </w:rPr>
          <w:instrText xml:space="preserve"> PAGEREF _Toc83997508 \h </w:instrText>
        </w:r>
        <w:r w:rsidR="001C6C1E">
          <w:rPr>
            <w:noProof/>
            <w:webHidden/>
          </w:rPr>
        </w:r>
        <w:r w:rsidR="001C6C1E">
          <w:rPr>
            <w:noProof/>
            <w:webHidden/>
          </w:rPr>
          <w:fldChar w:fldCharType="separate"/>
        </w:r>
        <w:r w:rsidR="0067767C">
          <w:rPr>
            <w:noProof/>
            <w:webHidden/>
          </w:rPr>
          <w:t>30</w:t>
        </w:r>
        <w:r w:rsidR="001C6C1E">
          <w:rPr>
            <w:noProof/>
            <w:webHidden/>
          </w:rPr>
          <w:fldChar w:fldCharType="end"/>
        </w:r>
      </w:hyperlink>
    </w:p>
    <w:p w14:paraId="26CBC450" w14:textId="47850F12" w:rsidR="001C6C1E" w:rsidRDefault="00742092">
      <w:pPr>
        <w:pStyle w:val="Abbildungsverzeichnis"/>
        <w:rPr>
          <w:rFonts w:asciiTheme="minorHAnsi" w:eastAsiaTheme="minorEastAsia" w:hAnsiTheme="minorHAnsi" w:cstheme="minorBidi"/>
          <w:noProof/>
          <w:szCs w:val="22"/>
          <w:lang w:eastAsia="en-GB"/>
        </w:rPr>
      </w:pPr>
      <w:hyperlink w:anchor="_Toc83997509" w:history="1">
        <w:r w:rsidR="001C6C1E" w:rsidRPr="003D1BD6">
          <w:rPr>
            <w:rStyle w:val="Hyperlink"/>
            <w:noProof/>
          </w:rPr>
          <w:t>Table 2</w:t>
        </w:r>
        <w:r w:rsidR="001C6C1E" w:rsidRPr="003D1BD6">
          <w:rPr>
            <w:rStyle w:val="Hyperlink"/>
            <w:noProof/>
          </w:rPr>
          <w:noBreakHyphen/>
          <w:t>9:</w:t>
        </w:r>
        <w:r w:rsidR="001C6C1E">
          <w:rPr>
            <w:rFonts w:asciiTheme="minorHAnsi" w:eastAsiaTheme="minorEastAsia" w:hAnsiTheme="minorHAnsi" w:cstheme="minorBidi"/>
            <w:noProof/>
            <w:szCs w:val="22"/>
            <w:lang w:eastAsia="en-GB"/>
          </w:rPr>
          <w:tab/>
        </w:r>
        <w:r w:rsidR="001C6C1E" w:rsidRPr="003D1BD6">
          <w:rPr>
            <w:rStyle w:val="Hyperlink"/>
            <w:noProof/>
          </w:rPr>
          <w:t>Definition of SOM Thresholds for values derived from a farmer’s questionnaire</w:t>
        </w:r>
        <w:r w:rsidR="001C6C1E">
          <w:rPr>
            <w:noProof/>
            <w:webHidden/>
          </w:rPr>
          <w:tab/>
        </w:r>
        <w:r w:rsidR="001C6C1E">
          <w:rPr>
            <w:noProof/>
            <w:webHidden/>
          </w:rPr>
          <w:fldChar w:fldCharType="begin"/>
        </w:r>
        <w:r w:rsidR="001C6C1E">
          <w:rPr>
            <w:noProof/>
            <w:webHidden/>
          </w:rPr>
          <w:instrText xml:space="preserve"> PAGEREF _Toc83997509 \h </w:instrText>
        </w:r>
        <w:r w:rsidR="001C6C1E">
          <w:rPr>
            <w:noProof/>
            <w:webHidden/>
          </w:rPr>
        </w:r>
        <w:r w:rsidR="001C6C1E">
          <w:rPr>
            <w:noProof/>
            <w:webHidden/>
          </w:rPr>
          <w:fldChar w:fldCharType="separate"/>
        </w:r>
        <w:r w:rsidR="0067767C">
          <w:rPr>
            <w:noProof/>
            <w:webHidden/>
          </w:rPr>
          <w:t>30</w:t>
        </w:r>
        <w:r w:rsidR="001C6C1E">
          <w:rPr>
            <w:noProof/>
            <w:webHidden/>
          </w:rPr>
          <w:fldChar w:fldCharType="end"/>
        </w:r>
      </w:hyperlink>
    </w:p>
    <w:p w14:paraId="7236F565" w14:textId="553CE514" w:rsidR="001C6C1E" w:rsidRDefault="00742092">
      <w:pPr>
        <w:pStyle w:val="Abbildungsverzeichnis"/>
        <w:rPr>
          <w:rFonts w:asciiTheme="minorHAnsi" w:eastAsiaTheme="minorEastAsia" w:hAnsiTheme="minorHAnsi" w:cstheme="minorBidi"/>
          <w:noProof/>
          <w:szCs w:val="22"/>
          <w:lang w:eastAsia="en-GB"/>
        </w:rPr>
      </w:pPr>
      <w:hyperlink w:anchor="_Toc83997510" w:history="1">
        <w:r w:rsidR="001C6C1E" w:rsidRPr="003D1BD6">
          <w:rPr>
            <w:rStyle w:val="Hyperlink"/>
            <w:noProof/>
          </w:rPr>
          <w:t>Table 2</w:t>
        </w:r>
        <w:r w:rsidR="001C6C1E" w:rsidRPr="003D1BD6">
          <w:rPr>
            <w:rStyle w:val="Hyperlink"/>
            <w:noProof/>
          </w:rPr>
          <w:noBreakHyphen/>
          <w:t>10:</w:t>
        </w:r>
        <w:r w:rsidR="001C6C1E">
          <w:rPr>
            <w:rFonts w:asciiTheme="minorHAnsi" w:eastAsiaTheme="minorEastAsia" w:hAnsiTheme="minorHAnsi" w:cstheme="minorBidi"/>
            <w:noProof/>
            <w:szCs w:val="22"/>
            <w:lang w:eastAsia="en-GB"/>
          </w:rPr>
          <w:tab/>
        </w:r>
        <w:r w:rsidR="001C6C1E" w:rsidRPr="003D1BD6">
          <w:rPr>
            <w:rStyle w:val="Hyperlink"/>
            <w:noProof/>
          </w:rPr>
          <w:t>SOM thresholds for cropland based on a farmer’s questionnaire</w:t>
        </w:r>
        <w:r w:rsidR="001C6C1E">
          <w:rPr>
            <w:noProof/>
            <w:webHidden/>
          </w:rPr>
          <w:tab/>
        </w:r>
        <w:r w:rsidR="001C6C1E">
          <w:rPr>
            <w:noProof/>
            <w:webHidden/>
          </w:rPr>
          <w:fldChar w:fldCharType="begin"/>
        </w:r>
        <w:r w:rsidR="001C6C1E">
          <w:rPr>
            <w:noProof/>
            <w:webHidden/>
          </w:rPr>
          <w:instrText xml:space="preserve"> PAGEREF _Toc83997510 \h </w:instrText>
        </w:r>
        <w:r w:rsidR="001C6C1E">
          <w:rPr>
            <w:noProof/>
            <w:webHidden/>
          </w:rPr>
        </w:r>
        <w:r w:rsidR="001C6C1E">
          <w:rPr>
            <w:noProof/>
            <w:webHidden/>
          </w:rPr>
          <w:fldChar w:fldCharType="separate"/>
        </w:r>
        <w:r w:rsidR="0067767C">
          <w:rPr>
            <w:noProof/>
            <w:webHidden/>
          </w:rPr>
          <w:t>31</w:t>
        </w:r>
        <w:r w:rsidR="001C6C1E">
          <w:rPr>
            <w:noProof/>
            <w:webHidden/>
          </w:rPr>
          <w:fldChar w:fldCharType="end"/>
        </w:r>
      </w:hyperlink>
    </w:p>
    <w:p w14:paraId="417116B5" w14:textId="0900276E" w:rsidR="001C6C1E" w:rsidRDefault="00742092">
      <w:pPr>
        <w:pStyle w:val="Abbildungsverzeichnis"/>
        <w:rPr>
          <w:rFonts w:asciiTheme="minorHAnsi" w:eastAsiaTheme="minorEastAsia" w:hAnsiTheme="minorHAnsi" w:cstheme="minorBidi"/>
          <w:noProof/>
          <w:szCs w:val="22"/>
          <w:lang w:eastAsia="en-GB"/>
        </w:rPr>
      </w:pPr>
      <w:hyperlink w:anchor="_Toc83997511" w:history="1">
        <w:r w:rsidR="001C6C1E" w:rsidRPr="003D1BD6">
          <w:rPr>
            <w:rStyle w:val="Hyperlink"/>
            <w:noProof/>
          </w:rPr>
          <w:t>Table 3</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Relationship of soil nutrient status to key societal needs and soil functions</w:t>
        </w:r>
        <w:r w:rsidR="001C6C1E">
          <w:rPr>
            <w:noProof/>
            <w:webHidden/>
          </w:rPr>
          <w:tab/>
        </w:r>
        <w:r w:rsidR="001C6C1E">
          <w:rPr>
            <w:noProof/>
            <w:webHidden/>
          </w:rPr>
          <w:fldChar w:fldCharType="begin"/>
        </w:r>
        <w:r w:rsidR="001C6C1E">
          <w:rPr>
            <w:noProof/>
            <w:webHidden/>
          </w:rPr>
          <w:instrText xml:space="preserve"> PAGEREF _Toc83997511 \h </w:instrText>
        </w:r>
        <w:r w:rsidR="001C6C1E">
          <w:rPr>
            <w:noProof/>
            <w:webHidden/>
          </w:rPr>
        </w:r>
        <w:r w:rsidR="001C6C1E">
          <w:rPr>
            <w:noProof/>
            <w:webHidden/>
          </w:rPr>
          <w:fldChar w:fldCharType="separate"/>
        </w:r>
        <w:r w:rsidR="0067767C">
          <w:rPr>
            <w:noProof/>
            <w:webHidden/>
          </w:rPr>
          <w:t>32</w:t>
        </w:r>
        <w:r w:rsidR="001C6C1E">
          <w:rPr>
            <w:noProof/>
            <w:webHidden/>
          </w:rPr>
          <w:fldChar w:fldCharType="end"/>
        </w:r>
      </w:hyperlink>
    </w:p>
    <w:p w14:paraId="2A80F0B3" w14:textId="10A6CBD8" w:rsidR="001C6C1E" w:rsidRDefault="00742092">
      <w:pPr>
        <w:pStyle w:val="Abbildungsverzeichnis"/>
        <w:rPr>
          <w:rFonts w:asciiTheme="minorHAnsi" w:eastAsiaTheme="minorEastAsia" w:hAnsiTheme="minorHAnsi" w:cstheme="minorBidi"/>
          <w:noProof/>
          <w:szCs w:val="22"/>
          <w:lang w:eastAsia="en-GB"/>
        </w:rPr>
      </w:pPr>
      <w:hyperlink w:anchor="_Toc83997512" w:history="1">
        <w:r w:rsidR="001C6C1E" w:rsidRPr="003D1BD6">
          <w:rPr>
            <w:rStyle w:val="Hyperlink"/>
            <w:noProof/>
          </w:rPr>
          <w:t>Table 3</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C/N ratio in the organic layer of forest soils</w:t>
        </w:r>
        <w:r w:rsidR="001C6C1E">
          <w:rPr>
            <w:noProof/>
            <w:webHidden/>
          </w:rPr>
          <w:tab/>
        </w:r>
        <w:r w:rsidR="001C6C1E">
          <w:rPr>
            <w:noProof/>
            <w:webHidden/>
          </w:rPr>
          <w:fldChar w:fldCharType="begin"/>
        </w:r>
        <w:r w:rsidR="001C6C1E">
          <w:rPr>
            <w:noProof/>
            <w:webHidden/>
          </w:rPr>
          <w:instrText xml:space="preserve"> PAGEREF _Toc83997512 \h </w:instrText>
        </w:r>
        <w:r w:rsidR="001C6C1E">
          <w:rPr>
            <w:noProof/>
            <w:webHidden/>
          </w:rPr>
        </w:r>
        <w:r w:rsidR="001C6C1E">
          <w:rPr>
            <w:noProof/>
            <w:webHidden/>
          </w:rPr>
          <w:fldChar w:fldCharType="separate"/>
        </w:r>
        <w:r w:rsidR="0067767C">
          <w:rPr>
            <w:noProof/>
            <w:webHidden/>
          </w:rPr>
          <w:t>38</w:t>
        </w:r>
        <w:r w:rsidR="001C6C1E">
          <w:rPr>
            <w:noProof/>
            <w:webHidden/>
          </w:rPr>
          <w:fldChar w:fldCharType="end"/>
        </w:r>
      </w:hyperlink>
    </w:p>
    <w:p w14:paraId="2F9EDFCA" w14:textId="5A20C099" w:rsidR="001C6C1E" w:rsidRDefault="00742092">
      <w:pPr>
        <w:pStyle w:val="Abbildungsverzeichnis"/>
        <w:rPr>
          <w:rFonts w:asciiTheme="minorHAnsi" w:eastAsiaTheme="minorEastAsia" w:hAnsiTheme="minorHAnsi" w:cstheme="minorBidi"/>
          <w:noProof/>
          <w:szCs w:val="22"/>
          <w:lang w:eastAsia="en-GB"/>
        </w:rPr>
      </w:pPr>
      <w:hyperlink w:anchor="_Toc83997513" w:history="1">
        <w:r w:rsidR="001C6C1E" w:rsidRPr="003D1BD6">
          <w:rPr>
            <w:rStyle w:val="Hyperlink"/>
            <w:noProof/>
          </w:rPr>
          <w:t>Table 4</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Relationship of soil acidification to key societal needs and soil functions</w:t>
        </w:r>
        <w:r w:rsidR="001C6C1E">
          <w:rPr>
            <w:noProof/>
            <w:webHidden/>
          </w:rPr>
          <w:tab/>
        </w:r>
        <w:r w:rsidR="001C6C1E">
          <w:rPr>
            <w:noProof/>
            <w:webHidden/>
          </w:rPr>
          <w:fldChar w:fldCharType="begin"/>
        </w:r>
        <w:r w:rsidR="001C6C1E">
          <w:rPr>
            <w:noProof/>
            <w:webHidden/>
          </w:rPr>
          <w:instrText xml:space="preserve"> PAGEREF _Toc83997513 \h </w:instrText>
        </w:r>
        <w:r w:rsidR="001C6C1E">
          <w:rPr>
            <w:noProof/>
            <w:webHidden/>
          </w:rPr>
        </w:r>
        <w:r w:rsidR="001C6C1E">
          <w:rPr>
            <w:noProof/>
            <w:webHidden/>
          </w:rPr>
          <w:fldChar w:fldCharType="separate"/>
        </w:r>
        <w:r w:rsidR="0067767C">
          <w:rPr>
            <w:noProof/>
            <w:webHidden/>
          </w:rPr>
          <w:t>43</w:t>
        </w:r>
        <w:r w:rsidR="001C6C1E">
          <w:rPr>
            <w:noProof/>
            <w:webHidden/>
          </w:rPr>
          <w:fldChar w:fldCharType="end"/>
        </w:r>
      </w:hyperlink>
    </w:p>
    <w:p w14:paraId="7CFC1D46" w14:textId="79A3FA51" w:rsidR="001C6C1E" w:rsidRDefault="00742092">
      <w:pPr>
        <w:pStyle w:val="Abbildungsverzeichnis"/>
        <w:rPr>
          <w:rFonts w:asciiTheme="minorHAnsi" w:eastAsiaTheme="minorEastAsia" w:hAnsiTheme="minorHAnsi" w:cstheme="minorBidi"/>
          <w:noProof/>
          <w:szCs w:val="22"/>
          <w:lang w:eastAsia="en-GB"/>
        </w:rPr>
      </w:pPr>
      <w:hyperlink w:anchor="_Toc83997514" w:history="1">
        <w:r w:rsidR="001C6C1E" w:rsidRPr="003D1BD6">
          <w:rPr>
            <w:rStyle w:val="Hyperlink"/>
            <w:noProof/>
          </w:rPr>
          <w:t>Table 4</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Summarized critical pH values of wheat, maize and rice derived from short-term manipulation experiments (STE) and long-term observations (LTE)</w:t>
        </w:r>
        <w:r w:rsidR="001C6C1E">
          <w:rPr>
            <w:noProof/>
            <w:webHidden/>
          </w:rPr>
          <w:tab/>
        </w:r>
        <w:r w:rsidR="001C6C1E">
          <w:rPr>
            <w:noProof/>
            <w:webHidden/>
          </w:rPr>
          <w:fldChar w:fldCharType="begin"/>
        </w:r>
        <w:r w:rsidR="001C6C1E">
          <w:rPr>
            <w:noProof/>
            <w:webHidden/>
          </w:rPr>
          <w:instrText xml:space="preserve"> PAGEREF _Toc83997514 \h </w:instrText>
        </w:r>
        <w:r w:rsidR="001C6C1E">
          <w:rPr>
            <w:noProof/>
            <w:webHidden/>
          </w:rPr>
        </w:r>
        <w:r w:rsidR="001C6C1E">
          <w:rPr>
            <w:noProof/>
            <w:webHidden/>
          </w:rPr>
          <w:fldChar w:fldCharType="separate"/>
        </w:r>
        <w:r w:rsidR="0067767C">
          <w:rPr>
            <w:noProof/>
            <w:webHidden/>
          </w:rPr>
          <w:t>46</w:t>
        </w:r>
        <w:r w:rsidR="001C6C1E">
          <w:rPr>
            <w:noProof/>
            <w:webHidden/>
          </w:rPr>
          <w:fldChar w:fldCharType="end"/>
        </w:r>
      </w:hyperlink>
    </w:p>
    <w:p w14:paraId="6EFBFEE9" w14:textId="4237DC5C" w:rsidR="001C6C1E" w:rsidRDefault="00742092">
      <w:pPr>
        <w:pStyle w:val="Abbildungsverzeichnis"/>
        <w:rPr>
          <w:rFonts w:asciiTheme="minorHAnsi" w:eastAsiaTheme="minorEastAsia" w:hAnsiTheme="minorHAnsi" w:cstheme="minorBidi"/>
          <w:noProof/>
          <w:szCs w:val="22"/>
          <w:lang w:eastAsia="en-GB"/>
        </w:rPr>
      </w:pPr>
      <w:hyperlink w:anchor="_Toc83997515" w:history="1">
        <w:r w:rsidR="001C6C1E" w:rsidRPr="003D1BD6">
          <w:rPr>
            <w:rStyle w:val="Hyperlink"/>
            <w:noProof/>
          </w:rPr>
          <w:t>Table 5</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 of soil pollution with other threats and main soil services affected by pollution</w:t>
        </w:r>
        <w:r w:rsidR="001C6C1E">
          <w:rPr>
            <w:noProof/>
            <w:webHidden/>
          </w:rPr>
          <w:tab/>
        </w:r>
        <w:r w:rsidR="001C6C1E">
          <w:rPr>
            <w:noProof/>
            <w:webHidden/>
          </w:rPr>
          <w:fldChar w:fldCharType="begin"/>
        </w:r>
        <w:r w:rsidR="001C6C1E">
          <w:rPr>
            <w:noProof/>
            <w:webHidden/>
          </w:rPr>
          <w:instrText xml:space="preserve"> PAGEREF _Toc83997515 \h </w:instrText>
        </w:r>
        <w:r w:rsidR="001C6C1E">
          <w:rPr>
            <w:noProof/>
            <w:webHidden/>
          </w:rPr>
        </w:r>
        <w:r w:rsidR="001C6C1E">
          <w:rPr>
            <w:noProof/>
            <w:webHidden/>
          </w:rPr>
          <w:fldChar w:fldCharType="separate"/>
        </w:r>
        <w:r w:rsidR="0067767C">
          <w:rPr>
            <w:noProof/>
            <w:webHidden/>
          </w:rPr>
          <w:t>48</w:t>
        </w:r>
        <w:r w:rsidR="001C6C1E">
          <w:rPr>
            <w:noProof/>
            <w:webHidden/>
          </w:rPr>
          <w:fldChar w:fldCharType="end"/>
        </w:r>
      </w:hyperlink>
    </w:p>
    <w:p w14:paraId="546F33D8" w14:textId="49239928" w:rsidR="001C6C1E" w:rsidRDefault="00742092">
      <w:pPr>
        <w:pStyle w:val="Abbildungsverzeichnis"/>
        <w:rPr>
          <w:rFonts w:asciiTheme="minorHAnsi" w:eastAsiaTheme="minorEastAsia" w:hAnsiTheme="minorHAnsi" w:cstheme="minorBidi"/>
          <w:noProof/>
          <w:szCs w:val="22"/>
          <w:lang w:eastAsia="en-GB"/>
        </w:rPr>
      </w:pPr>
      <w:hyperlink w:anchor="_Toc83997516" w:history="1">
        <w:r w:rsidR="001C6C1E" w:rsidRPr="003D1BD6">
          <w:rPr>
            <w:rStyle w:val="Hyperlink"/>
            <w:noProof/>
          </w:rPr>
          <w:t>Table 5</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Overview of relevant entities to be protected and critical limits in relevant endpoints</w:t>
        </w:r>
        <w:r w:rsidR="001C6C1E">
          <w:rPr>
            <w:noProof/>
            <w:webHidden/>
          </w:rPr>
          <w:tab/>
        </w:r>
        <w:r w:rsidR="001C6C1E">
          <w:rPr>
            <w:noProof/>
            <w:webHidden/>
          </w:rPr>
          <w:fldChar w:fldCharType="begin"/>
        </w:r>
        <w:r w:rsidR="001C6C1E">
          <w:rPr>
            <w:noProof/>
            <w:webHidden/>
          </w:rPr>
          <w:instrText xml:space="preserve"> PAGEREF _Toc83997516 \h </w:instrText>
        </w:r>
        <w:r w:rsidR="001C6C1E">
          <w:rPr>
            <w:noProof/>
            <w:webHidden/>
          </w:rPr>
        </w:r>
        <w:r w:rsidR="001C6C1E">
          <w:rPr>
            <w:noProof/>
            <w:webHidden/>
          </w:rPr>
          <w:fldChar w:fldCharType="separate"/>
        </w:r>
        <w:r w:rsidR="0067767C">
          <w:rPr>
            <w:noProof/>
            <w:webHidden/>
          </w:rPr>
          <w:t>49</w:t>
        </w:r>
        <w:r w:rsidR="001C6C1E">
          <w:rPr>
            <w:noProof/>
            <w:webHidden/>
          </w:rPr>
          <w:fldChar w:fldCharType="end"/>
        </w:r>
      </w:hyperlink>
    </w:p>
    <w:p w14:paraId="4924C168" w14:textId="17FA320D" w:rsidR="001C6C1E" w:rsidRDefault="00742092">
      <w:pPr>
        <w:pStyle w:val="Abbildungsverzeichnis"/>
        <w:rPr>
          <w:rFonts w:asciiTheme="minorHAnsi" w:eastAsiaTheme="minorEastAsia" w:hAnsiTheme="minorHAnsi" w:cstheme="minorBidi"/>
          <w:noProof/>
          <w:szCs w:val="22"/>
          <w:lang w:eastAsia="en-GB"/>
        </w:rPr>
      </w:pPr>
      <w:hyperlink w:anchor="_Toc83997517" w:history="1">
        <w:r w:rsidR="001C6C1E" w:rsidRPr="003D1BD6">
          <w:rPr>
            <w:rStyle w:val="Hyperlink"/>
            <w:noProof/>
          </w:rPr>
          <w:t>Table 5</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Terminology important for soil pollution</w:t>
        </w:r>
        <w:r w:rsidR="001C6C1E">
          <w:rPr>
            <w:noProof/>
            <w:webHidden/>
          </w:rPr>
          <w:tab/>
        </w:r>
        <w:r w:rsidR="001C6C1E">
          <w:rPr>
            <w:noProof/>
            <w:webHidden/>
          </w:rPr>
          <w:fldChar w:fldCharType="begin"/>
        </w:r>
        <w:r w:rsidR="001C6C1E">
          <w:rPr>
            <w:noProof/>
            <w:webHidden/>
          </w:rPr>
          <w:instrText xml:space="preserve"> PAGEREF _Toc83997517 \h </w:instrText>
        </w:r>
        <w:r w:rsidR="001C6C1E">
          <w:rPr>
            <w:noProof/>
            <w:webHidden/>
          </w:rPr>
        </w:r>
        <w:r w:rsidR="001C6C1E">
          <w:rPr>
            <w:noProof/>
            <w:webHidden/>
          </w:rPr>
          <w:fldChar w:fldCharType="separate"/>
        </w:r>
        <w:r w:rsidR="0067767C">
          <w:rPr>
            <w:noProof/>
            <w:webHidden/>
          </w:rPr>
          <w:t>50</w:t>
        </w:r>
        <w:r w:rsidR="001C6C1E">
          <w:rPr>
            <w:noProof/>
            <w:webHidden/>
          </w:rPr>
          <w:fldChar w:fldCharType="end"/>
        </w:r>
      </w:hyperlink>
    </w:p>
    <w:p w14:paraId="221C87C1" w14:textId="747D0529" w:rsidR="001C6C1E" w:rsidRDefault="00742092">
      <w:pPr>
        <w:pStyle w:val="Abbildungsverzeichnis"/>
        <w:rPr>
          <w:rFonts w:asciiTheme="minorHAnsi" w:eastAsiaTheme="minorEastAsia" w:hAnsiTheme="minorHAnsi" w:cstheme="minorBidi"/>
          <w:noProof/>
          <w:szCs w:val="22"/>
          <w:lang w:eastAsia="en-GB"/>
        </w:rPr>
      </w:pPr>
      <w:hyperlink w:anchor="_Toc83997518" w:history="1">
        <w:r w:rsidR="001C6C1E" w:rsidRPr="003D1BD6">
          <w:rPr>
            <w:rStyle w:val="Hyperlink"/>
            <w:noProof/>
          </w:rPr>
          <w:t>Table 5</w:t>
        </w:r>
        <w:r w:rsidR="001C6C1E" w:rsidRPr="003D1BD6">
          <w:rPr>
            <w:rStyle w:val="Hyperlink"/>
            <w:noProof/>
          </w:rPr>
          <w:noBreakHyphen/>
          <w:t>4:</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Main characteristics to assess diffuse and point source soil pollution</w:t>
        </w:r>
        <w:r w:rsidR="001C6C1E">
          <w:rPr>
            <w:noProof/>
            <w:webHidden/>
          </w:rPr>
          <w:tab/>
        </w:r>
        <w:r w:rsidR="001C6C1E">
          <w:rPr>
            <w:noProof/>
            <w:webHidden/>
          </w:rPr>
          <w:fldChar w:fldCharType="begin"/>
        </w:r>
        <w:r w:rsidR="001C6C1E">
          <w:rPr>
            <w:noProof/>
            <w:webHidden/>
          </w:rPr>
          <w:instrText xml:space="preserve"> PAGEREF _Toc83997518 \h </w:instrText>
        </w:r>
        <w:r w:rsidR="001C6C1E">
          <w:rPr>
            <w:noProof/>
            <w:webHidden/>
          </w:rPr>
        </w:r>
        <w:r w:rsidR="001C6C1E">
          <w:rPr>
            <w:noProof/>
            <w:webHidden/>
          </w:rPr>
          <w:fldChar w:fldCharType="separate"/>
        </w:r>
        <w:r w:rsidR="0067767C">
          <w:rPr>
            <w:noProof/>
            <w:webHidden/>
          </w:rPr>
          <w:t>52</w:t>
        </w:r>
        <w:r w:rsidR="001C6C1E">
          <w:rPr>
            <w:noProof/>
            <w:webHidden/>
          </w:rPr>
          <w:fldChar w:fldCharType="end"/>
        </w:r>
      </w:hyperlink>
    </w:p>
    <w:p w14:paraId="3B90A9D7" w14:textId="47206609" w:rsidR="001C6C1E" w:rsidRDefault="00742092">
      <w:pPr>
        <w:pStyle w:val="Abbildungsverzeichnis"/>
        <w:rPr>
          <w:rFonts w:asciiTheme="minorHAnsi" w:eastAsiaTheme="minorEastAsia" w:hAnsiTheme="minorHAnsi" w:cstheme="minorBidi"/>
          <w:noProof/>
          <w:szCs w:val="22"/>
          <w:lang w:eastAsia="en-GB"/>
        </w:rPr>
      </w:pPr>
      <w:hyperlink w:anchor="_Toc83997519" w:history="1">
        <w:r w:rsidR="001C6C1E" w:rsidRPr="003D1BD6">
          <w:rPr>
            <w:rStyle w:val="Hyperlink"/>
            <w:noProof/>
          </w:rPr>
          <w:t>Table 5</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Indicators for soil pollution</w:t>
        </w:r>
        <w:r w:rsidR="001C6C1E">
          <w:rPr>
            <w:noProof/>
            <w:webHidden/>
          </w:rPr>
          <w:tab/>
        </w:r>
        <w:r w:rsidR="001C6C1E">
          <w:rPr>
            <w:noProof/>
            <w:webHidden/>
          </w:rPr>
          <w:fldChar w:fldCharType="begin"/>
        </w:r>
        <w:r w:rsidR="001C6C1E">
          <w:rPr>
            <w:noProof/>
            <w:webHidden/>
          </w:rPr>
          <w:instrText xml:space="preserve"> PAGEREF _Toc83997519 \h </w:instrText>
        </w:r>
        <w:r w:rsidR="001C6C1E">
          <w:rPr>
            <w:noProof/>
            <w:webHidden/>
          </w:rPr>
        </w:r>
        <w:r w:rsidR="001C6C1E">
          <w:rPr>
            <w:noProof/>
            <w:webHidden/>
          </w:rPr>
          <w:fldChar w:fldCharType="separate"/>
        </w:r>
        <w:r w:rsidR="0067767C">
          <w:rPr>
            <w:noProof/>
            <w:webHidden/>
          </w:rPr>
          <w:t>56</w:t>
        </w:r>
        <w:r w:rsidR="001C6C1E">
          <w:rPr>
            <w:noProof/>
            <w:webHidden/>
          </w:rPr>
          <w:fldChar w:fldCharType="end"/>
        </w:r>
      </w:hyperlink>
    </w:p>
    <w:p w14:paraId="37D075D2" w14:textId="67C629A3" w:rsidR="001C6C1E" w:rsidRDefault="00742092">
      <w:pPr>
        <w:pStyle w:val="Abbildungsverzeichnis"/>
        <w:rPr>
          <w:rFonts w:asciiTheme="minorHAnsi" w:eastAsiaTheme="minorEastAsia" w:hAnsiTheme="minorHAnsi" w:cstheme="minorBidi"/>
          <w:noProof/>
          <w:szCs w:val="22"/>
          <w:lang w:eastAsia="en-GB"/>
        </w:rPr>
      </w:pPr>
      <w:hyperlink w:anchor="_Toc83997520" w:history="1">
        <w:r w:rsidR="001C6C1E" w:rsidRPr="003D1BD6">
          <w:rPr>
            <w:rStyle w:val="Hyperlink"/>
            <w:noProof/>
          </w:rPr>
          <w:t>Table 5</w:t>
        </w:r>
        <w:r w:rsidR="001C6C1E" w:rsidRPr="003D1BD6">
          <w:rPr>
            <w:rStyle w:val="Hyperlink"/>
            <w:noProof/>
          </w:rPr>
          <w:noBreakHyphen/>
          <w:t>6:</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Current screening values for intermediate and intervention values of selected heavy metals in soil</w:t>
        </w:r>
        <w:r w:rsidR="001C6C1E">
          <w:rPr>
            <w:noProof/>
            <w:webHidden/>
          </w:rPr>
          <w:tab/>
        </w:r>
        <w:r w:rsidR="001C6C1E">
          <w:rPr>
            <w:noProof/>
            <w:webHidden/>
          </w:rPr>
          <w:fldChar w:fldCharType="begin"/>
        </w:r>
        <w:r w:rsidR="001C6C1E">
          <w:rPr>
            <w:noProof/>
            <w:webHidden/>
          </w:rPr>
          <w:instrText xml:space="preserve"> PAGEREF _Toc83997520 \h </w:instrText>
        </w:r>
        <w:r w:rsidR="001C6C1E">
          <w:rPr>
            <w:noProof/>
            <w:webHidden/>
          </w:rPr>
        </w:r>
        <w:r w:rsidR="001C6C1E">
          <w:rPr>
            <w:noProof/>
            <w:webHidden/>
          </w:rPr>
          <w:fldChar w:fldCharType="separate"/>
        </w:r>
        <w:r w:rsidR="0067767C">
          <w:rPr>
            <w:noProof/>
            <w:webHidden/>
          </w:rPr>
          <w:t>63</w:t>
        </w:r>
        <w:r w:rsidR="001C6C1E">
          <w:rPr>
            <w:noProof/>
            <w:webHidden/>
          </w:rPr>
          <w:fldChar w:fldCharType="end"/>
        </w:r>
      </w:hyperlink>
    </w:p>
    <w:p w14:paraId="5344D586" w14:textId="5FAE135B" w:rsidR="001C6C1E" w:rsidRDefault="00742092">
      <w:pPr>
        <w:pStyle w:val="Abbildungsverzeichnis"/>
        <w:rPr>
          <w:rFonts w:asciiTheme="minorHAnsi" w:eastAsiaTheme="minorEastAsia" w:hAnsiTheme="minorHAnsi" w:cstheme="minorBidi"/>
          <w:noProof/>
          <w:szCs w:val="22"/>
          <w:lang w:eastAsia="en-GB"/>
        </w:rPr>
      </w:pPr>
      <w:hyperlink w:anchor="_Toc83997521" w:history="1">
        <w:r w:rsidR="001C6C1E" w:rsidRPr="003D1BD6">
          <w:rPr>
            <w:rStyle w:val="Hyperlink"/>
            <w:noProof/>
          </w:rPr>
          <w:t>Table 5</w:t>
        </w:r>
        <w:r w:rsidR="001C6C1E" w:rsidRPr="003D1BD6">
          <w:rPr>
            <w:rStyle w:val="Hyperlink"/>
            <w:noProof/>
          </w:rPr>
          <w:noBreakHyphen/>
          <w:t>7:</w:t>
        </w:r>
        <w:r w:rsidR="001C6C1E">
          <w:rPr>
            <w:rFonts w:asciiTheme="minorHAnsi" w:eastAsiaTheme="minorEastAsia" w:hAnsiTheme="minorHAnsi" w:cstheme="minorBidi"/>
            <w:noProof/>
            <w:szCs w:val="22"/>
            <w:lang w:eastAsia="en-GB"/>
          </w:rPr>
          <w:tab/>
        </w:r>
        <w:r w:rsidR="001C6C1E" w:rsidRPr="003D1BD6">
          <w:rPr>
            <w:rStyle w:val="Hyperlink"/>
            <w:noProof/>
          </w:rPr>
          <w:t>Status of knowledge about different groups of contaminants in soil</w:t>
        </w:r>
        <w:r w:rsidR="001C6C1E">
          <w:rPr>
            <w:noProof/>
            <w:webHidden/>
          </w:rPr>
          <w:tab/>
        </w:r>
        <w:r w:rsidR="001C6C1E">
          <w:rPr>
            <w:noProof/>
            <w:webHidden/>
          </w:rPr>
          <w:fldChar w:fldCharType="begin"/>
        </w:r>
        <w:r w:rsidR="001C6C1E">
          <w:rPr>
            <w:noProof/>
            <w:webHidden/>
          </w:rPr>
          <w:instrText xml:space="preserve"> PAGEREF _Toc83997521 \h </w:instrText>
        </w:r>
        <w:r w:rsidR="001C6C1E">
          <w:rPr>
            <w:noProof/>
            <w:webHidden/>
          </w:rPr>
        </w:r>
        <w:r w:rsidR="001C6C1E">
          <w:rPr>
            <w:noProof/>
            <w:webHidden/>
          </w:rPr>
          <w:fldChar w:fldCharType="separate"/>
        </w:r>
        <w:r w:rsidR="0067767C">
          <w:rPr>
            <w:noProof/>
            <w:webHidden/>
          </w:rPr>
          <w:t>65</w:t>
        </w:r>
        <w:r w:rsidR="001C6C1E">
          <w:rPr>
            <w:noProof/>
            <w:webHidden/>
          </w:rPr>
          <w:fldChar w:fldCharType="end"/>
        </w:r>
      </w:hyperlink>
    </w:p>
    <w:p w14:paraId="12C06686" w14:textId="37F2064A" w:rsidR="001C6C1E" w:rsidRDefault="00742092">
      <w:pPr>
        <w:pStyle w:val="Abbildungsverzeichnis"/>
        <w:rPr>
          <w:rFonts w:asciiTheme="minorHAnsi" w:eastAsiaTheme="minorEastAsia" w:hAnsiTheme="minorHAnsi" w:cstheme="minorBidi"/>
          <w:noProof/>
          <w:szCs w:val="22"/>
          <w:lang w:eastAsia="en-GB"/>
        </w:rPr>
      </w:pPr>
      <w:hyperlink w:anchor="_Toc83997522" w:history="1">
        <w:r w:rsidR="001C6C1E" w:rsidRPr="003D1BD6">
          <w:rPr>
            <w:rStyle w:val="Hyperlink"/>
            <w:noProof/>
          </w:rPr>
          <w:t>Table 6</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Relationship of Soil biodiversity to key societal needs and soil functions</w:t>
        </w:r>
        <w:r w:rsidR="001C6C1E">
          <w:rPr>
            <w:noProof/>
            <w:webHidden/>
          </w:rPr>
          <w:tab/>
        </w:r>
        <w:r w:rsidR="001C6C1E">
          <w:rPr>
            <w:noProof/>
            <w:webHidden/>
          </w:rPr>
          <w:fldChar w:fldCharType="begin"/>
        </w:r>
        <w:r w:rsidR="001C6C1E">
          <w:rPr>
            <w:noProof/>
            <w:webHidden/>
          </w:rPr>
          <w:instrText xml:space="preserve"> PAGEREF _Toc83997522 \h </w:instrText>
        </w:r>
        <w:r w:rsidR="001C6C1E">
          <w:rPr>
            <w:noProof/>
            <w:webHidden/>
          </w:rPr>
        </w:r>
        <w:r w:rsidR="001C6C1E">
          <w:rPr>
            <w:noProof/>
            <w:webHidden/>
          </w:rPr>
          <w:fldChar w:fldCharType="separate"/>
        </w:r>
        <w:r w:rsidR="0067767C">
          <w:rPr>
            <w:noProof/>
            <w:webHidden/>
          </w:rPr>
          <w:t>66</w:t>
        </w:r>
        <w:r w:rsidR="001C6C1E">
          <w:rPr>
            <w:noProof/>
            <w:webHidden/>
          </w:rPr>
          <w:fldChar w:fldCharType="end"/>
        </w:r>
      </w:hyperlink>
    </w:p>
    <w:p w14:paraId="7A29EB48" w14:textId="152639EF" w:rsidR="001C6C1E" w:rsidRDefault="00742092">
      <w:pPr>
        <w:pStyle w:val="Abbildungsverzeichnis"/>
        <w:rPr>
          <w:rFonts w:asciiTheme="minorHAnsi" w:eastAsiaTheme="minorEastAsia" w:hAnsiTheme="minorHAnsi" w:cstheme="minorBidi"/>
          <w:noProof/>
          <w:szCs w:val="22"/>
          <w:lang w:eastAsia="en-GB"/>
        </w:rPr>
      </w:pPr>
      <w:hyperlink w:anchor="_Toc83997523" w:history="1">
        <w:r w:rsidR="001C6C1E" w:rsidRPr="003D1BD6">
          <w:rPr>
            <w:rStyle w:val="Hyperlink"/>
            <w:noProof/>
          </w:rPr>
          <w:t>Table 6</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Monitoring of biological groups In the French soil monitoring network</w:t>
        </w:r>
        <w:r w:rsidR="001C6C1E">
          <w:rPr>
            <w:noProof/>
            <w:webHidden/>
          </w:rPr>
          <w:tab/>
        </w:r>
        <w:r w:rsidR="001C6C1E">
          <w:rPr>
            <w:noProof/>
            <w:webHidden/>
          </w:rPr>
          <w:fldChar w:fldCharType="begin"/>
        </w:r>
        <w:r w:rsidR="001C6C1E">
          <w:rPr>
            <w:noProof/>
            <w:webHidden/>
          </w:rPr>
          <w:instrText xml:space="preserve"> PAGEREF _Toc83997523 \h </w:instrText>
        </w:r>
        <w:r w:rsidR="001C6C1E">
          <w:rPr>
            <w:noProof/>
            <w:webHidden/>
          </w:rPr>
        </w:r>
        <w:r w:rsidR="001C6C1E">
          <w:rPr>
            <w:noProof/>
            <w:webHidden/>
          </w:rPr>
          <w:fldChar w:fldCharType="separate"/>
        </w:r>
        <w:r w:rsidR="0067767C">
          <w:rPr>
            <w:noProof/>
            <w:webHidden/>
          </w:rPr>
          <w:t>70</w:t>
        </w:r>
        <w:r w:rsidR="001C6C1E">
          <w:rPr>
            <w:noProof/>
            <w:webHidden/>
          </w:rPr>
          <w:fldChar w:fldCharType="end"/>
        </w:r>
      </w:hyperlink>
    </w:p>
    <w:p w14:paraId="353429BC" w14:textId="0C536F06" w:rsidR="001C6C1E" w:rsidRDefault="00742092">
      <w:pPr>
        <w:pStyle w:val="Abbildungsverzeichnis"/>
        <w:rPr>
          <w:rFonts w:asciiTheme="minorHAnsi" w:eastAsiaTheme="minorEastAsia" w:hAnsiTheme="minorHAnsi" w:cstheme="minorBidi"/>
          <w:noProof/>
          <w:szCs w:val="22"/>
          <w:lang w:eastAsia="en-GB"/>
        </w:rPr>
      </w:pPr>
      <w:hyperlink w:anchor="_Toc83997524" w:history="1">
        <w:r w:rsidR="001C6C1E" w:rsidRPr="003D1BD6">
          <w:rPr>
            <w:rStyle w:val="Hyperlink"/>
            <w:noProof/>
          </w:rPr>
          <w:t>Table 6</w:t>
        </w:r>
        <w:r w:rsidR="001C6C1E" w:rsidRPr="003D1BD6">
          <w:rPr>
            <w:rStyle w:val="Hyperlink"/>
            <w:noProof/>
          </w:rPr>
          <w:noBreakHyphen/>
          <w:t>3</w:t>
        </w:r>
        <w:r w:rsidR="001C6C1E" w:rsidRPr="003D1BD6">
          <w:rPr>
            <w:rStyle w:val="Hyperlink"/>
            <w:rFonts w:eastAsia="Calibri"/>
            <w:noProof/>
          </w:rPr>
          <w:t>:</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Indicators proposed for soil biodiversity monitoring</w:t>
        </w:r>
        <w:r w:rsidR="001C6C1E">
          <w:rPr>
            <w:noProof/>
            <w:webHidden/>
          </w:rPr>
          <w:tab/>
        </w:r>
        <w:r w:rsidR="001C6C1E">
          <w:rPr>
            <w:noProof/>
            <w:webHidden/>
          </w:rPr>
          <w:fldChar w:fldCharType="begin"/>
        </w:r>
        <w:r w:rsidR="001C6C1E">
          <w:rPr>
            <w:noProof/>
            <w:webHidden/>
          </w:rPr>
          <w:instrText xml:space="preserve"> PAGEREF _Toc83997524 \h </w:instrText>
        </w:r>
        <w:r w:rsidR="001C6C1E">
          <w:rPr>
            <w:noProof/>
            <w:webHidden/>
          </w:rPr>
        </w:r>
        <w:r w:rsidR="001C6C1E">
          <w:rPr>
            <w:noProof/>
            <w:webHidden/>
          </w:rPr>
          <w:fldChar w:fldCharType="separate"/>
        </w:r>
        <w:r w:rsidR="0067767C">
          <w:rPr>
            <w:noProof/>
            <w:webHidden/>
          </w:rPr>
          <w:t>72</w:t>
        </w:r>
        <w:r w:rsidR="001C6C1E">
          <w:rPr>
            <w:noProof/>
            <w:webHidden/>
          </w:rPr>
          <w:fldChar w:fldCharType="end"/>
        </w:r>
      </w:hyperlink>
    </w:p>
    <w:p w14:paraId="2D31DF73" w14:textId="0B9DB691" w:rsidR="001C6C1E" w:rsidRDefault="00742092">
      <w:pPr>
        <w:pStyle w:val="Abbildungsverzeichnis"/>
        <w:rPr>
          <w:rFonts w:asciiTheme="minorHAnsi" w:eastAsiaTheme="minorEastAsia" w:hAnsiTheme="minorHAnsi" w:cstheme="minorBidi"/>
          <w:noProof/>
          <w:szCs w:val="22"/>
          <w:lang w:eastAsia="en-GB"/>
        </w:rPr>
      </w:pPr>
      <w:hyperlink w:anchor="_Toc83997525" w:history="1">
        <w:r w:rsidR="001C6C1E" w:rsidRPr="003D1BD6">
          <w:rPr>
            <w:rStyle w:val="Hyperlink"/>
            <w:noProof/>
          </w:rPr>
          <w:t>Table 6</w:t>
        </w:r>
        <w:r w:rsidR="001C6C1E" w:rsidRPr="003D1BD6">
          <w:rPr>
            <w:rStyle w:val="Hyperlink"/>
            <w:noProof/>
          </w:rPr>
          <w:noBreakHyphen/>
          <w:t>4</w:t>
        </w:r>
        <w:r w:rsidR="001C6C1E" w:rsidRPr="003D1BD6">
          <w:rPr>
            <w:rStyle w:val="Hyperlink"/>
            <w:rFonts w:eastAsia="Calibri"/>
            <w:noProof/>
          </w:rPr>
          <w:t>:</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Thresholds of environmental variables which might have strong effect on soil biodiversity</w:t>
        </w:r>
        <w:r w:rsidR="001C6C1E">
          <w:rPr>
            <w:noProof/>
            <w:webHidden/>
          </w:rPr>
          <w:tab/>
        </w:r>
        <w:r w:rsidR="001C6C1E">
          <w:rPr>
            <w:noProof/>
            <w:webHidden/>
          </w:rPr>
          <w:fldChar w:fldCharType="begin"/>
        </w:r>
        <w:r w:rsidR="001C6C1E">
          <w:rPr>
            <w:noProof/>
            <w:webHidden/>
          </w:rPr>
          <w:instrText xml:space="preserve"> PAGEREF _Toc83997525 \h </w:instrText>
        </w:r>
        <w:r w:rsidR="001C6C1E">
          <w:rPr>
            <w:noProof/>
            <w:webHidden/>
          </w:rPr>
        </w:r>
        <w:r w:rsidR="001C6C1E">
          <w:rPr>
            <w:noProof/>
            <w:webHidden/>
          </w:rPr>
          <w:fldChar w:fldCharType="separate"/>
        </w:r>
        <w:r w:rsidR="0067767C">
          <w:rPr>
            <w:noProof/>
            <w:webHidden/>
          </w:rPr>
          <w:t>75</w:t>
        </w:r>
        <w:r w:rsidR="001C6C1E">
          <w:rPr>
            <w:noProof/>
            <w:webHidden/>
          </w:rPr>
          <w:fldChar w:fldCharType="end"/>
        </w:r>
      </w:hyperlink>
    </w:p>
    <w:p w14:paraId="6D56038F" w14:textId="6E4AE11C" w:rsidR="001C6C1E" w:rsidRDefault="00742092">
      <w:pPr>
        <w:pStyle w:val="Abbildungsverzeichnis"/>
        <w:rPr>
          <w:rFonts w:asciiTheme="minorHAnsi" w:eastAsiaTheme="minorEastAsia" w:hAnsiTheme="minorHAnsi" w:cstheme="minorBidi"/>
          <w:noProof/>
          <w:szCs w:val="22"/>
          <w:lang w:eastAsia="en-GB"/>
        </w:rPr>
      </w:pPr>
      <w:hyperlink w:anchor="_Toc83997526" w:history="1">
        <w:r w:rsidR="001C6C1E" w:rsidRPr="003D1BD6">
          <w:rPr>
            <w:rStyle w:val="Hyperlink"/>
            <w:noProof/>
          </w:rPr>
          <w:t>Table 6</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noProof/>
          </w:rPr>
          <w:t>Environmental thresholds for operational taxonomic units (OTUs) of ectomycorrhizal fungi</w:t>
        </w:r>
        <w:r w:rsidR="001C6C1E">
          <w:rPr>
            <w:noProof/>
            <w:webHidden/>
          </w:rPr>
          <w:tab/>
        </w:r>
        <w:r w:rsidR="001C6C1E">
          <w:rPr>
            <w:noProof/>
            <w:webHidden/>
          </w:rPr>
          <w:fldChar w:fldCharType="begin"/>
        </w:r>
        <w:r w:rsidR="001C6C1E">
          <w:rPr>
            <w:noProof/>
            <w:webHidden/>
          </w:rPr>
          <w:instrText xml:space="preserve"> PAGEREF _Toc83997526 \h </w:instrText>
        </w:r>
        <w:r w:rsidR="001C6C1E">
          <w:rPr>
            <w:noProof/>
            <w:webHidden/>
          </w:rPr>
        </w:r>
        <w:r w:rsidR="001C6C1E">
          <w:rPr>
            <w:noProof/>
            <w:webHidden/>
          </w:rPr>
          <w:fldChar w:fldCharType="separate"/>
        </w:r>
        <w:r w:rsidR="0067767C">
          <w:rPr>
            <w:noProof/>
            <w:webHidden/>
          </w:rPr>
          <w:t>76</w:t>
        </w:r>
        <w:r w:rsidR="001C6C1E">
          <w:rPr>
            <w:noProof/>
            <w:webHidden/>
          </w:rPr>
          <w:fldChar w:fldCharType="end"/>
        </w:r>
      </w:hyperlink>
    </w:p>
    <w:p w14:paraId="17D37B6A" w14:textId="3AB16A06" w:rsidR="001C6C1E" w:rsidRDefault="00742092">
      <w:pPr>
        <w:pStyle w:val="Abbildungsverzeichnis"/>
        <w:rPr>
          <w:rFonts w:asciiTheme="minorHAnsi" w:eastAsiaTheme="minorEastAsia" w:hAnsiTheme="minorHAnsi" w:cstheme="minorBidi"/>
          <w:noProof/>
          <w:szCs w:val="22"/>
          <w:lang w:eastAsia="en-GB"/>
        </w:rPr>
      </w:pPr>
      <w:hyperlink w:anchor="_Toc83997527" w:history="1">
        <w:r w:rsidR="001C6C1E" w:rsidRPr="003D1BD6">
          <w:rPr>
            <w:rStyle w:val="Hyperlink"/>
            <w:noProof/>
          </w:rPr>
          <w:t>Table 7</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Relationship between soil erosion and key societal needs and soil functions</w:t>
        </w:r>
        <w:r w:rsidR="001C6C1E">
          <w:rPr>
            <w:noProof/>
            <w:webHidden/>
          </w:rPr>
          <w:tab/>
        </w:r>
        <w:r w:rsidR="001C6C1E">
          <w:rPr>
            <w:noProof/>
            <w:webHidden/>
          </w:rPr>
          <w:fldChar w:fldCharType="begin"/>
        </w:r>
        <w:r w:rsidR="001C6C1E">
          <w:rPr>
            <w:noProof/>
            <w:webHidden/>
          </w:rPr>
          <w:instrText xml:space="preserve"> PAGEREF _Toc83997527 \h </w:instrText>
        </w:r>
        <w:r w:rsidR="001C6C1E">
          <w:rPr>
            <w:noProof/>
            <w:webHidden/>
          </w:rPr>
        </w:r>
        <w:r w:rsidR="001C6C1E">
          <w:rPr>
            <w:noProof/>
            <w:webHidden/>
          </w:rPr>
          <w:fldChar w:fldCharType="separate"/>
        </w:r>
        <w:r w:rsidR="0067767C">
          <w:rPr>
            <w:noProof/>
            <w:webHidden/>
          </w:rPr>
          <w:t>77</w:t>
        </w:r>
        <w:r w:rsidR="001C6C1E">
          <w:rPr>
            <w:noProof/>
            <w:webHidden/>
          </w:rPr>
          <w:fldChar w:fldCharType="end"/>
        </w:r>
      </w:hyperlink>
    </w:p>
    <w:p w14:paraId="27324BBB" w14:textId="1EA1FC6F" w:rsidR="001C6C1E" w:rsidRDefault="00742092">
      <w:pPr>
        <w:pStyle w:val="Abbildungsverzeichnis"/>
        <w:rPr>
          <w:rFonts w:asciiTheme="minorHAnsi" w:eastAsiaTheme="minorEastAsia" w:hAnsiTheme="minorHAnsi" w:cstheme="minorBidi"/>
          <w:noProof/>
          <w:szCs w:val="22"/>
          <w:lang w:eastAsia="en-GB"/>
        </w:rPr>
      </w:pPr>
      <w:hyperlink w:anchor="_Toc83997528" w:history="1">
        <w:r w:rsidR="001C6C1E" w:rsidRPr="003D1BD6">
          <w:rPr>
            <w:rStyle w:val="Hyperlink"/>
            <w:noProof/>
          </w:rPr>
          <w:t>Table 7</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Mean annual rates of soil loss from different erosion processes for cropland in central Belgium</w:t>
        </w:r>
        <w:r w:rsidR="001C6C1E">
          <w:rPr>
            <w:noProof/>
            <w:webHidden/>
          </w:rPr>
          <w:tab/>
        </w:r>
        <w:r w:rsidR="001C6C1E">
          <w:rPr>
            <w:noProof/>
            <w:webHidden/>
          </w:rPr>
          <w:fldChar w:fldCharType="begin"/>
        </w:r>
        <w:r w:rsidR="001C6C1E">
          <w:rPr>
            <w:noProof/>
            <w:webHidden/>
          </w:rPr>
          <w:instrText xml:space="preserve"> PAGEREF _Toc83997528 \h </w:instrText>
        </w:r>
        <w:r w:rsidR="001C6C1E">
          <w:rPr>
            <w:noProof/>
            <w:webHidden/>
          </w:rPr>
        </w:r>
        <w:r w:rsidR="001C6C1E">
          <w:rPr>
            <w:noProof/>
            <w:webHidden/>
          </w:rPr>
          <w:fldChar w:fldCharType="separate"/>
        </w:r>
        <w:r w:rsidR="0067767C">
          <w:rPr>
            <w:noProof/>
            <w:webHidden/>
          </w:rPr>
          <w:t>78</w:t>
        </w:r>
        <w:r w:rsidR="001C6C1E">
          <w:rPr>
            <w:noProof/>
            <w:webHidden/>
          </w:rPr>
          <w:fldChar w:fldCharType="end"/>
        </w:r>
      </w:hyperlink>
    </w:p>
    <w:p w14:paraId="4F8FFD94" w14:textId="78056322" w:rsidR="001C6C1E" w:rsidRDefault="00742092">
      <w:pPr>
        <w:pStyle w:val="Abbildungsverzeichnis"/>
        <w:rPr>
          <w:rFonts w:asciiTheme="minorHAnsi" w:eastAsiaTheme="minorEastAsia" w:hAnsiTheme="minorHAnsi" w:cstheme="minorBidi"/>
          <w:noProof/>
          <w:szCs w:val="22"/>
          <w:lang w:eastAsia="en-GB"/>
        </w:rPr>
      </w:pPr>
      <w:hyperlink w:anchor="_Toc83997529" w:history="1">
        <w:r w:rsidR="001C6C1E" w:rsidRPr="003D1BD6">
          <w:rPr>
            <w:rStyle w:val="Hyperlink"/>
            <w:noProof/>
          </w:rPr>
          <w:t>Table 7</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Indicators for soil-related ecosystem services in Northern Germany as affected by soil erosion</w:t>
        </w:r>
        <w:r w:rsidR="001C6C1E">
          <w:rPr>
            <w:noProof/>
            <w:webHidden/>
          </w:rPr>
          <w:tab/>
        </w:r>
        <w:r w:rsidR="001C6C1E">
          <w:rPr>
            <w:noProof/>
            <w:webHidden/>
          </w:rPr>
          <w:fldChar w:fldCharType="begin"/>
        </w:r>
        <w:r w:rsidR="001C6C1E">
          <w:rPr>
            <w:noProof/>
            <w:webHidden/>
          </w:rPr>
          <w:instrText xml:space="preserve"> PAGEREF _Toc83997529 \h </w:instrText>
        </w:r>
        <w:r w:rsidR="001C6C1E">
          <w:rPr>
            <w:noProof/>
            <w:webHidden/>
          </w:rPr>
        </w:r>
        <w:r w:rsidR="001C6C1E">
          <w:rPr>
            <w:noProof/>
            <w:webHidden/>
          </w:rPr>
          <w:fldChar w:fldCharType="separate"/>
        </w:r>
        <w:r w:rsidR="0067767C">
          <w:rPr>
            <w:noProof/>
            <w:webHidden/>
          </w:rPr>
          <w:t>79</w:t>
        </w:r>
        <w:r w:rsidR="001C6C1E">
          <w:rPr>
            <w:noProof/>
            <w:webHidden/>
          </w:rPr>
          <w:fldChar w:fldCharType="end"/>
        </w:r>
      </w:hyperlink>
    </w:p>
    <w:p w14:paraId="61FFFCE4" w14:textId="319F82E4" w:rsidR="001C6C1E" w:rsidRDefault="00742092">
      <w:pPr>
        <w:pStyle w:val="Abbildungsverzeichnis"/>
        <w:rPr>
          <w:rFonts w:asciiTheme="minorHAnsi" w:eastAsiaTheme="minorEastAsia" w:hAnsiTheme="minorHAnsi" w:cstheme="minorBidi"/>
          <w:noProof/>
          <w:szCs w:val="22"/>
          <w:lang w:eastAsia="en-GB"/>
        </w:rPr>
      </w:pPr>
      <w:hyperlink w:anchor="_Toc83997530" w:history="1">
        <w:r w:rsidR="001C6C1E" w:rsidRPr="003D1BD6">
          <w:rPr>
            <w:rStyle w:val="Hyperlink"/>
            <w:noProof/>
          </w:rPr>
          <w:t>Table 7</w:t>
        </w:r>
        <w:r w:rsidR="001C6C1E" w:rsidRPr="003D1BD6">
          <w:rPr>
            <w:rStyle w:val="Hyperlink"/>
            <w:noProof/>
          </w:rPr>
          <w:noBreakHyphen/>
          <w:t>4:</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USLE factors as subindicators</w:t>
        </w:r>
        <w:r w:rsidR="001C6C1E">
          <w:rPr>
            <w:noProof/>
            <w:webHidden/>
          </w:rPr>
          <w:tab/>
        </w:r>
        <w:r w:rsidR="001C6C1E">
          <w:rPr>
            <w:noProof/>
            <w:webHidden/>
          </w:rPr>
          <w:fldChar w:fldCharType="begin"/>
        </w:r>
        <w:r w:rsidR="001C6C1E">
          <w:rPr>
            <w:noProof/>
            <w:webHidden/>
          </w:rPr>
          <w:instrText xml:space="preserve"> PAGEREF _Toc83997530 \h </w:instrText>
        </w:r>
        <w:r w:rsidR="001C6C1E">
          <w:rPr>
            <w:noProof/>
            <w:webHidden/>
          </w:rPr>
        </w:r>
        <w:r w:rsidR="001C6C1E">
          <w:rPr>
            <w:noProof/>
            <w:webHidden/>
          </w:rPr>
          <w:fldChar w:fldCharType="separate"/>
        </w:r>
        <w:r w:rsidR="0067767C">
          <w:rPr>
            <w:noProof/>
            <w:webHidden/>
          </w:rPr>
          <w:t>81</w:t>
        </w:r>
        <w:r w:rsidR="001C6C1E">
          <w:rPr>
            <w:noProof/>
            <w:webHidden/>
          </w:rPr>
          <w:fldChar w:fldCharType="end"/>
        </w:r>
      </w:hyperlink>
    </w:p>
    <w:p w14:paraId="3495A6C6" w14:textId="2BD0BCE5" w:rsidR="001C6C1E" w:rsidRDefault="00742092">
      <w:pPr>
        <w:pStyle w:val="Abbildungsverzeichnis"/>
        <w:rPr>
          <w:rFonts w:asciiTheme="minorHAnsi" w:eastAsiaTheme="minorEastAsia" w:hAnsiTheme="minorHAnsi" w:cstheme="minorBidi"/>
          <w:noProof/>
          <w:szCs w:val="22"/>
          <w:lang w:eastAsia="en-GB"/>
        </w:rPr>
      </w:pPr>
      <w:hyperlink w:anchor="_Toc83997531" w:history="1">
        <w:r w:rsidR="001C6C1E" w:rsidRPr="003D1BD6">
          <w:rPr>
            <w:rStyle w:val="Hyperlink"/>
            <w:noProof/>
          </w:rPr>
          <w:t>Table 7</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rFonts w:asciiTheme="majorHAnsi" w:hAnsiTheme="majorHAnsi" w:cstheme="majorHAnsi"/>
            <w:noProof/>
          </w:rPr>
          <w:t>Design of large-scale soil erosion monitoring</w:t>
        </w:r>
        <w:r w:rsidR="001C6C1E">
          <w:rPr>
            <w:noProof/>
            <w:webHidden/>
          </w:rPr>
          <w:tab/>
        </w:r>
        <w:r w:rsidR="001C6C1E">
          <w:rPr>
            <w:noProof/>
            <w:webHidden/>
          </w:rPr>
          <w:fldChar w:fldCharType="begin"/>
        </w:r>
        <w:r w:rsidR="001C6C1E">
          <w:rPr>
            <w:noProof/>
            <w:webHidden/>
          </w:rPr>
          <w:instrText xml:space="preserve"> PAGEREF _Toc83997531 \h </w:instrText>
        </w:r>
        <w:r w:rsidR="001C6C1E">
          <w:rPr>
            <w:noProof/>
            <w:webHidden/>
          </w:rPr>
        </w:r>
        <w:r w:rsidR="001C6C1E">
          <w:rPr>
            <w:noProof/>
            <w:webHidden/>
          </w:rPr>
          <w:fldChar w:fldCharType="separate"/>
        </w:r>
        <w:r w:rsidR="0067767C">
          <w:rPr>
            <w:noProof/>
            <w:webHidden/>
          </w:rPr>
          <w:t>85</w:t>
        </w:r>
        <w:r w:rsidR="001C6C1E">
          <w:rPr>
            <w:noProof/>
            <w:webHidden/>
          </w:rPr>
          <w:fldChar w:fldCharType="end"/>
        </w:r>
      </w:hyperlink>
    </w:p>
    <w:p w14:paraId="6C2BBBA4" w14:textId="3E28E346" w:rsidR="001C6C1E" w:rsidRDefault="00742092">
      <w:pPr>
        <w:pStyle w:val="Abbildungsverzeichnis"/>
        <w:rPr>
          <w:rFonts w:asciiTheme="minorHAnsi" w:eastAsiaTheme="minorEastAsia" w:hAnsiTheme="minorHAnsi" w:cstheme="minorBidi"/>
          <w:noProof/>
          <w:szCs w:val="22"/>
          <w:lang w:eastAsia="en-GB"/>
        </w:rPr>
      </w:pPr>
      <w:hyperlink w:anchor="_Toc83997532" w:history="1">
        <w:r w:rsidR="001C6C1E" w:rsidRPr="003D1BD6">
          <w:rPr>
            <w:rStyle w:val="Hyperlink"/>
            <w:rFonts w:asciiTheme="majorHAnsi" w:hAnsiTheme="majorHAnsi" w:cstheme="majorHAnsi"/>
            <w:noProof/>
          </w:rPr>
          <w:t>Table 8</w:t>
        </w:r>
        <w:r w:rsidR="001C6C1E" w:rsidRPr="003D1BD6">
          <w:rPr>
            <w:rStyle w:val="Hyperlink"/>
            <w:rFonts w:asciiTheme="majorHAnsi" w:hAnsiTheme="majorHAnsi" w:cstheme="majorHAnsi"/>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asciiTheme="majorHAnsi" w:eastAsia="Calibri" w:hAnsiTheme="majorHAnsi" w:cstheme="majorHAnsi"/>
            <w:noProof/>
          </w:rPr>
          <w:t>Relationship of Soil Compaction to key societal needs and soil functions</w:t>
        </w:r>
        <w:r w:rsidR="001C6C1E">
          <w:rPr>
            <w:noProof/>
            <w:webHidden/>
          </w:rPr>
          <w:tab/>
        </w:r>
        <w:r w:rsidR="001C6C1E">
          <w:rPr>
            <w:noProof/>
            <w:webHidden/>
          </w:rPr>
          <w:fldChar w:fldCharType="begin"/>
        </w:r>
        <w:r w:rsidR="001C6C1E">
          <w:rPr>
            <w:noProof/>
            <w:webHidden/>
          </w:rPr>
          <w:instrText xml:space="preserve"> PAGEREF _Toc83997532 \h </w:instrText>
        </w:r>
        <w:r w:rsidR="001C6C1E">
          <w:rPr>
            <w:noProof/>
            <w:webHidden/>
          </w:rPr>
        </w:r>
        <w:r w:rsidR="001C6C1E">
          <w:rPr>
            <w:noProof/>
            <w:webHidden/>
          </w:rPr>
          <w:fldChar w:fldCharType="separate"/>
        </w:r>
        <w:r w:rsidR="0067767C">
          <w:rPr>
            <w:noProof/>
            <w:webHidden/>
          </w:rPr>
          <w:t>88</w:t>
        </w:r>
        <w:r w:rsidR="001C6C1E">
          <w:rPr>
            <w:noProof/>
            <w:webHidden/>
          </w:rPr>
          <w:fldChar w:fldCharType="end"/>
        </w:r>
      </w:hyperlink>
    </w:p>
    <w:p w14:paraId="64CA67E1" w14:textId="42166DCC" w:rsidR="001C6C1E" w:rsidRDefault="00742092">
      <w:pPr>
        <w:pStyle w:val="Abbildungsverzeichnis"/>
        <w:rPr>
          <w:rFonts w:asciiTheme="minorHAnsi" w:eastAsiaTheme="minorEastAsia" w:hAnsiTheme="minorHAnsi" w:cstheme="minorBidi"/>
          <w:noProof/>
          <w:szCs w:val="22"/>
          <w:lang w:eastAsia="en-GB"/>
        </w:rPr>
      </w:pPr>
      <w:hyperlink w:anchor="_Toc83997533" w:history="1">
        <w:r w:rsidR="001C6C1E" w:rsidRPr="003D1BD6">
          <w:rPr>
            <w:rStyle w:val="Hyperlink"/>
            <w:noProof/>
          </w:rPr>
          <w:t>Table 8</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rFonts w:asciiTheme="majorHAnsi" w:eastAsia="Calibri" w:hAnsiTheme="majorHAnsi" w:cstheme="majorHAnsi"/>
            <w:noProof/>
          </w:rPr>
          <w:t>Possible indicators for soil (sub) functions directly affected by soil compaction</w:t>
        </w:r>
        <w:r w:rsidR="001C6C1E">
          <w:rPr>
            <w:noProof/>
            <w:webHidden/>
          </w:rPr>
          <w:tab/>
        </w:r>
        <w:r w:rsidR="001C6C1E">
          <w:rPr>
            <w:noProof/>
            <w:webHidden/>
          </w:rPr>
          <w:fldChar w:fldCharType="begin"/>
        </w:r>
        <w:r w:rsidR="001C6C1E">
          <w:rPr>
            <w:noProof/>
            <w:webHidden/>
          </w:rPr>
          <w:instrText xml:space="preserve"> PAGEREF _Toc83997533 \h </w:instrText>
        </w:r>
        <w:r w:rsidR="001C6C1E">
          <w:rPr>
            <w:noProof/>
            <w:webHidden/>
          </w:rPr>
        </w:r>
        <w:r w:rsidR="001C6C1E">
          <w:rPr>
            <w:noProof/>
            <w:webHidden/>
          </w:rPr>
          <w:fldChar w:fldCharType="separate"/>
        </w:r>
        <w:r w:rsidR="0067767C">
          <w:rPr>
            <w:noProof/>
            <w:webHidden/>
          </w:rPr>
          <w:t>90</w:t>
        </w:r>
        <w:r w:rsidR="001C6C1E">
          <w:rPr>
            <w:noProof/>
            <w:webHidden/>
          </w:rPr>
          <w:fldChar w:fldCharType="end"/>
        </w:r>
      </w:hyperlink>
    </w:p>
    <w:p w14:paraId="440012C2" w14:textId="2F63E1AB" w:rsidR="001C6C1E" w:rsidRDefault="00742092">
      <w:pPr>
        <w:pStyle w:val="Abbildungsverzeichnis"/>
        <w:rPr>
          <w:rFonts w:asciiTheme="minorHAnsi" w:eastAsiaTheme="minorEastAsia" w:hAnsiTheme="minorHAnsi" w:cstheme="minorBidi"/>
          <w:noProof/>
          <w:szCs w:val="22"/>
          <w:lang w:eastAsia="en-GB"/>
        </w:rPr>
      </w:pPr>
      <w:hyperlink w:anchor="_Toc83997534" w:history="1">
        <w:r w:rsidR="001C6C1E" w:rsidRPr="003D1BD6">
          <w:rPr>
            <w:rStyle w:val="Hyperlink"/>
            <w:noProof/>
          </w:rPr>
          <w:t>Table 8</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rFonts w:asciiTheme="majorHAnsi" w:eastAsia="Calibri" w:hAnsiTheme="majorHAnsi" w:cstheme="majorHAnsi"/>
            <w:noProof/>
          </w:rPr>
          <w:t>Design of large-scale soil compaction monitoring</w:t>
        </w:r>
        <w:r w:rsidR="001C6C1E">
          <w:rPr>
            <w:noProof/>
            <w:webHidden/>
          </w:rPr>
          <w:tab/>
        </w:r>
        <w:r w:rsidR="001C6C1E">
          <w:rPr>
            <w:noProof/>
            <w:webHidden/>
          </w:rPr>
          <w:fldChar w:fldCharType="begin"/>
        </w:r>
        <w:r w:rsidR="001C6C1E">
          <w:rPr>
            <w:noProof/>
            <w:webHidden/>
          </w:rPr>
          <w:instrText xml:space="preserve"> PAGEREF _Toc83997534 \h </w:instrText>
        </w:r>
        <w:r w:rsidR="001C6C1E">
          <w:rPr>
            <w:noProof/>
            <w:webHidden/>
          </w:rPr>
        </w:r>
        <w:r w:rsidR="001C6C1E">
          <w:rPr>
            <w:noProof/>
            <w:webHidden/>
          </w:rPr>
          <w:fldChar w:fldCharType="separate"/>
        </w:r>
        <w:r w:rsidR="0067767C">
          <w:rPr>
            <w:noProof/>
            <w:webHidden/>
          </w:rPr>
          <w:t>95</w:t>
        </w:r>
        <w:r w:rsidR="001C6C1E">
          <w:rPr>
            <w:noProof/>
            <w:webHidden/>
          </w:rPr>
          <w:fldChar w:fldCharType="end"/>
        </w:r>
      </w:hyperlink>
    </w:p>
    <w:p w14:paraId="51DC6528" w14:textId="7DFB206F" w:rsidR="001C6C1E" w:rsidRDefault="00742092">
      <w:pPr>
        <w:pStyle w:val="Abbildungsverzeichnis"/>
        <w:rPr>
          <w:rFonts w:asciiTheme="minorHAnsi" w:eastAsiaTheme="minorEastAsia" w:hAnsiTheme="minorHAnsi" w:cstheme="minorBidi"/>
          <w:noProof/>
          <w:szCs w:val="22"/>
          <w:lang w:eastAsia="en-GB"/>
        </w:rPr>
      </w:pPr>
      <w:hyperlink w:anchor="_Toc83997535" w:history="1">
        <w:r w:rsidR="001C6C1E" w:rsidRPr="003D1BD6">
          <w:rPr>
            <w:rStyle w:val="Hyperlink"/>
            <w:noProof/>
          </w:rPr>
          <w:t>Table 8</w:t>
        </w:r>
        <w:r w:rsidR="001C6C1E" w:rsidRPr="003D1BD6">
          <w:rPr>
            <w:rStyle w:val="Hyperlink"/>
            <w:noProof/>
          </w:rPr>
          <w:noBreakHyphen/>
          <w:t>4:</w:t>
        </w:r>
        <w:r w:rsidR="001C6C1E">
          <w:rPr>
            <w:rFonts w:asciiTheme="minorHAnsi" w:eastAsiaTheme="minorEastAsia" w:hAnsiTheme="minorHAnsi" w:cstheme="minorBidi"/>
            <w:noProof/>
            <w:szCs w:val="22"/>
            <w:lang w:eastAsia="en-GB"/>
          </w:rPr>
          <w:tab/>
        </w:r>
        <w:r w:rsidR="001C6C1E" w:rsidRPr="003D1BD6">
          <w:rPr>
            <w:rStyle w:val="Hyperlink"/>
            <w:rFonts w:asciiTheme="majorHAnsi" w:eastAsia="Calibri" w:hAnsiTheme="majorHAnsi" w:cstheme="majorHAnsi"/>
            <w:noProof/>
          </w:rPr>
          <w:t>Soil physical indicators for detecting harmful compaction in the subsoil</w:t>
        </w:r>
        <w:r w:rsidR="001C6C1E">
          <w:rPr>
            <w:noProof/>
            <w:webHidden/>
          </w:rPr>
          <w:tab/>
        </w:r>
        <w:r w:rsidR="001C6C1E">
          <w:rPr>
            <w:noProof/>
            <w:webHidden/>
          </w:rPr>
          <w:fldChar w:fldCharType="begin"/>
        </w:r>
        <w:r w:rsidR="001C6C1E">
          <w:rPr>
            <w:noProof/>
            <w:webHidden/>
          </w:rPr>
          <w:instrText xml:space="preserve"> PAGEREF _Toc83997535 \h </w:instrText>
        </w:r>
        <w:r w:rsidR="001C6C1E">
          <w:rPr>
            <w:noProof/>
            <w:webHidden/>
          </w:rPr>
        </w:r>
        <w:r w:rsidR="001C6C1E">
          <w:rPr>
            <w:noProof/>
            <w:webHidden/>
          </w:rPr>
          <w:fldChar w:fldCharType="separate"/>
        </w:r>
        <w:r w:rsidR="0067767C">
          <w:rPr>
            <w:noProof/>
            <w:webHidden/>
          </w:rPr>
          <w:t>97</w:t>
        </w:r>
        <w:r w:rsidR="001C6C1E">
          <w:rPr>
            <w:noProof/>
            <w:webHidden/>
          </w:rPr>
          <w:fldChar w:fldCharType="end"/>
        </w:r>
      </w:hyperlink>
    </w:p>
    <w:p w14:paraId="0F2190B7" w14:textId="0C528011" w:rsidR="001C6C1E" w:rsidRDefault="00742092">
      <w:pPr>
        <w:pStyle w:val="Abbildungsverzeichnis"/>
        <w:rPr>
          <w:rFonts w:asciiTheme="minorHAnsi" w:eastAsiaTheme="minorEastAsia" w:hAnsiTheme="minorHAnsi" w:cstheme="minorBidi"/>
          <w:noProof/>
          <w:szCs w:val="22"/>
          <w:lang w:eastAsia="en-GB"/>
        </w:rPr>
      </w:pPr>
      <w:hyperlink w:anchor="_Toc83997536" w:history="1">
        <w:r w:rsidR="001C6C1E" w:rsidRPr="003D1BD6">
          <w:rPr>
            <w:rStyle w:val="Hyperlink"/>
            <w:noProof/>
          </w:rPr>
          <w:t>Table 8</w:t>
        </w:r>
        <w:r w:rsidR="001C6C1E" w:rsidRPr="003D1BD6">
          <w:rPr>
            <w:rStyle w:val="Hyperlink"/>
            <w:noProof/>
          </w:rPr>
          <w:noBreakHyphen/>
          <w:t>5:</w:t>
        </w:r>
        <w:r w:rsidR="001C6C1E">
          <w:rPr>
            <w:rFonts w:asciiTheme="minorHAnsi" w:eastAsiaTheme="minorEastAsia" w:hAnsiTheme="minorHAnsi" w:cstheme="minorBidi"/>
            <w:noProof/>
            <w:szCs w:val="22"/>
            <w:lang w:eastAsia="en-GB"/>
          </w:rPr>
          <w:tab/>
        </w:r>
        <w:r w:rsidR="001C6C1E" w:rsidRPr="003D1BD6">
          <w:rPr>
            <w:rStyle w:val="Hyperlink"/>
            <w:rFonts w:asciiTheme="majorHAnsi" w:eastAsia="Calibri" w:hAnsiTheme="majorHAnsi" w:cstheme="majorHAnsi"/>
            <w:noProof/>
          </w:rPr>
          <w:t>Models to predict subsoil compaction</w:t>
        </w:r>
        <w:r w:rsidR="001C6C1E">
          <w:rPr>
            <w:noProof/>
            <w:webHidden/>
          </w:rPr>
          <w:tab/>
        </w:r>
        <w:r w:rsidR="001C6C1E">
          <w:rPr>
            <w:noProof/>
            <w:webHidden/>
          </w:rPr>
          <w:fldChar w:fldCharType="begin"/>
        </w:r>
        <w:r w:rsidR="001C6C1E">
          <w:rPr>
            <w:noProof/>
            <w:webHidden/>
          </w:rPr>
          <w:instrText xml:space="preserve"> PAGEREF _Toc83997536 \h </w:instrText>
        </w:r>
        <w:r w:rsidR="001C6C1E">
          <w:rPr>
            <w:noProof/>
            <w:webHidden/>
          </w:rPr>
        </w:r>
        <w:r w:rsidR="001C6C1E">
          <w:rPr>
            <w:noProof/>
            <w:webHidden/>
          </w:rPr>
          <w:fldChar w:fldCharType="separate"/>
        </w:r>
        <w:r w:rsidR="0067767C">
          <w:rPr>
            <w:noProof/>
            <w:webHidden/>
          </w:rPr>
          <w:t>98</w:t>
        </w:r>
        <w:r w:rsidR="001C6C1E">
          <w:rPr>
            <w:noProof/>
            <w:webHidden/>
          </w:rPr>
          <w:fldChar w:fldCharType="end"/>
        </w:r>
      </w:hyperlink>
    </w:p>
    <w:p w14:paraId="15B98683" w14:textId="4BABB4AC" w:rsidR="001C6C1E" w:rsidRDefault="00742092">
      <w:pPr>
        <w:pStyle w:val="Abbildungsverzeichnis"/>
        <w:rPr>
          <w:rFonts w:asciiTheme="minorHAnsi" w:eastAsiaTheme="minorEastAsia" w:hAnsiTheme="minorHAnsi" w:cstheme="minorBidi"/>
          <w:noProof/>
          <w:szCs w:val="22"/>
          <w:lang w:eastAsia="en-GB"/>
        </w:rPr>
      </w:pPr>
      <w:hyperlink w:anchor="_Toc83997537" w:history="1">
        <w:r w:rsidR="001C6C1E" w:rsidRPr="003D1BD6">
          <w:rPr>
            <w:rStyle w:val="Hyperlink"/>
            <w:noProof/>
          </w:rPr>
          <w:t>Table 9</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Relationship of Soil sealing to key societal needs and soil functions</w:t>
        </w:r>
        <w:r w:rsidR="001C6C1E">
          <w:rPr>
            <w:noProof/>
            <w:webHidden/>
          </w:rPr>
          <w:tab/>
        </w:r>
        <w:r w:rsidR="001C6C1E">
          <w:rPr>
            <w:noProof/>
            <w:webHidden/>
          </w:rPr>
          <w:fldChar w:fldCharType="begin"/>
        </w:r>
        <w:r w:rsidR="001C6C1E">
          <w:rPr>
            <w:noProof/>
            <w:webHidden/>
          </w:rPr>
          <w:instrText xml:space="preserve"> PAGEREF _Toc83997537 \h </w:instrText>
        </w:r>
        <w:r w:rsidR="001C6C1E">
          <w:rPr>
            <w:noProof/>
            <w:webHidden/>
          </w:rPr>
        </w:r>
        <w:r w:rsidR="001C6C1E">
          <w:rPr>
            <w:noProof/>
            <w:webHidden/>
          </w:rPr>
          <w:fldChar w:fldCharType="separate"/>
        </w:r>
        <w:r w:rsidR="0067767C">
          <w:rPr>
            <w:noProof/>
            <w:webHidden/>
          </w:rPr>
          <w:t>101</w:t>
        </w:r>
        <w:r w:rsidR="001C6C1E">
          <w:rPr>
            <w:noProof/>
            <w:webHidden/>
          </w:rPr>
          <w:fldChar w:fldCharType="end"/>
        </w:r>
      </w:hyperlink>
    </w:p>
    <w:p w14:paraId="096A14C1" w14:textId="2CD51E7E" w:rsidR="001C6C1E" w:rsidRDefault="00742092">
      <w:pPr>
        <w:pStyle w:val="Abbildungsverzeichnis"/>
        <w:rPr>
          <w:rFonts w:asciiTheme="minorHAnsi" w:eastAsiaTheme="minorEastAsia" w:hAnsiTheme="minorHAnsi" w:cstheme="minorBidi"/>
          <w:noProof/>
          <w:szCs w:val="22"/>
          <w:lang w:eastAsia="en-GB"/>
        </w:rPr>
      </w:pPr>
      <w:hyperlink w:anchor="_Toc83997538" w:history="1">
        <w:r w:rsidR="001C6C1E" w:rsidRPr="003D1BD6">
          <w:rPr>
            <w:rStyle w:val="Hyperlink"/>
            <w:noProof/>
          </w:rPr>
          <w:t>Table 9</w:t>
        </w:r>
        <w:r w:rsidR="001C6C1E" w:rsidRPr="003D1BD6">
          <w:rPr>
            <w:rStyle w:val="Hyperlink"/>
            <w:noProof/>
          </w:rPr>
          <w:noBreakHyphen/>
          <w:t>2:</w:t>
        </w:r>
        <w:r w:rsidR="001C6C1E">
          <w:rPr>
            <w:rFonts w:asciiTheme="minorHAnsi" w:eastAsiaTheme="minorEastAsia" w:hAnsiTheme="minorHAnsi" w:cstheme="minorBidi"/>
            <w:noProof/>
            <w:szCs w:val="22"/>
            <w:lang w:eastAsia="en-GB"/>
          </w:rPr>
          <w:tab/>
        </w:r>
        <w:r w:rsidR="001C6C1E" w:rsidRPr="003D1BD6">
          <w:rPr>
            <w:rStyle w:val="Hyperlink"/>
            <w:noProof/>
          </w:rPr>
          <w:t>Example for computing soil sealing based on land use categories from the cadastre.</w:t>
        </w:r>
        <w:r w:rsidR="001C6C1E">
          <w:rPr>
            <w:noProof/>
            <w:webHidden/>
          </w:rPr>
          <w:tab/>
        </w:r>
        <w:r w:rsidR="001C6C1E">
          <w:rPr>
            <w:noProof/>
            <w:webHidden/>
          </w:rPr>
          <w:fldChar w:fldCharType="begin"/>
        </w:r>
        <w:r w:rsidR="001C6C1E">
          <w:rPr>
            <w:noProof/>
            <w:webHidden/>
          </w:rPr>
          <w:instrText xml:space="preserve"> PAGEREF _Toc83997538 \h </w:instrText>
        </w:r>
        <w:r w:rsidR="001C6C1E">
          <w:rPr>
            <w:noProof/>
            <w:webHidden/>
          </w:rPr>
        </w:r>
        <w:r w:rsidR="001C6C1E">
          <w:rPr>
            <w:noProof/>
            <w:webHidden/>
          </w:rPr>
          <w:fldChar w:fldCharType="separate"/>
        </w:r>
        <w:r w:rsidR="0067767C">
          <w:rPr>
            <w:noProof/>
            <w:webHidden/>
          </w:rPr>
          <w:t>104</w:t>
        </w:r>
        <w:r w:rsidR="001C6C1E">
          <w:rPr>
            <w:noProof/>
            <w:webHidden/>
          </w:rPr>
          <w:fldChar w:fldCharType="end"/>
        </w:r>
      </w:hyperlink>
    </w:p>
    <w:p w14:paraId="45AAD654" w14:textId="13392BA4" w:rsidR="001C6C1E" w:rsidRDefault="00742092">
      <w:pPr>
        <w:pStyle w:val="Abbildungsverzeichnis"/>
        <w:rPr>
          <w:rFonts w:asciiTheme="minorHAnsi" w:eastAsiaTheme="minorEastAsia" w:hAnsiTheme="minorHAnsi" w:cstheme="minorBidi"/>
          <w:noProof/>
          <w:szCs w:val="22"/>
          <w:lang w:eastAsia="en-GB"/>
        </w:rPr>
      </w:pPr>
      <w:hyperlink w:anchor="_Toc83997539" w:history="1">
        <w:r w:rsidR="001C6C1E" w:rsidRPr="003D1BD6">
          <w:rPr>
            <w:rStyle w:val="Hyperlink"/>
            <w:noProof/>
          </w:rPr>
          <w:t>Table 9</w:t>
        </w:r>
        <w:r w:rsidR="001C6C1E" w:rsidRPr="003D1BD6">
          <w:rPr>
            <w:rStyle w:val="Hyperlink"/>
            <w:noProof/>
          </w:rPr>
          <w:noBreakHyphen/>
          <w:t>3:</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Available national soil sealing data compared to Copernicus-EEA data (both 2015)</w:t>
        </w:r>
        <w:r w:rsidR="001C6C1E">
          <w:rPr>
            <w:noProof/>
            <w:webHidden/>
          </w:rPr>
          <w:tab/>
        </w:r>
        <w:r w:rsidR="001C6C1E">
          <w:rPr>
            <w:noProof/>
            <w:webHidden/>
          </w:rPr>
          <w:fldChar w:fldCharType="begin"/>
        </w:r>
        <w:r w:rsidR="001C6C1E">
          <w:rPr>
            <w:noProof/>
            <w:webHidden/>
          </w:rPr>
          <w:instrText xml:space="preserve"> PAGEREF _Toc83997539 \h </w:instrText>
        </w:r>
        <w:r w:rsidR="001C6C1E">
          <w:rPr>
            <w:noProof/>
            <w:webHidden/>
          </w:rPr>
        </w:r>
        <w:r w:rsidR="001C6C1E">
          <w:rPr>
            <w:noProof/>
            <w:webHidden/>
          </w:rPr>
          <w:fldChar w:fldCharType="separate"/>
        </w:r>
        <w:r w:rsidR="0067767C">
          <w:rPr>
            <w:noProof/>
            <w:webHidden/>
          </w:rPr>
          <w:t>104</w:t>
        </w:r>
        <w:r w:rsidR="001C6C1E">
          <w:rPr>
            <w:noProof/>
            <w:webHidden/>
          </w:rPr>
          <w:fldChar w:fldCharType="end"/>
        </w:r>
      </w:hyperlink>
    </w:p>
    <w:p w14:paraId="45ED206B" w14:textId="6086671C" w:rsidR="001C6C1E" w:rsidRDefault="00742092">
      <w:pPr>
        <w:pStyle w:val="Abbildungsverzeichnis"/>
        <w:rPr>
          <w:rFonts w:asciiTheme="minorHAnsi" w:eastAsiaTheme="minorEastAsia" w:hAnsiTheme="minorHAnsi" w:cstheme="minorBidi"/>
          <w:noProof/>
          <w:szCs w:val="22"/>
          <w:lang w:eastAsia="en-GB"/>
        </w:rPr>
      </w:pPr>
      <w:hyperlink w:anchor="_Toc83997540" w:history="1">
        <w:r w:rsidR="001C6C1E" w:rsidRPr="003D1BD6">
          <w:rPr>
            <w:rStyle w:val="Hyperlink"/>
            <w:noProof/>
          </w:rPr>
          <w:t>Table 9</w:t>
        </w:r>
        <w:r w:rsidR="001C6C1E" w:rsidRPr="003D1BD6">
          <w:rPr>
            <w:rStyle w:val="Hyperlink"/>
            <w:noProof/>
          </w:rPr>
          <w:noBreakHyphen/>
          <w:t>4</w:t>
        </w:r>
        <w:r w:rsidR="001C6C1E" w:rsidRPr="003D1BD6">
          <w:rPr>
            <w:rStyle w:val="Hyperlink"/>
            <w:rFonts w:eastAsia="Calibri"/>
            <w:noProof/>
          </w:rPr>
          <w:t>:</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Currently applied targets and baselines for soil sealing/land take in selected European countries.</w:t>
        </w:r>
        <w:r w:rsidR="001C6C1E">
          <w:rPr>
            <w:noProof/>
            <w:webHidden/>
          </w:rPr>
          <w:tab/>
        </w:r>
        <w:r w:rsidR="001C6C1E">
          <w:rPr>
            <w:noProof/>
            <w:webHidden/>
          </w:rPr>
          <w:fldChar w:fldCharType="begin"/>
        </w:r>
        <w:r w:rsidR="001C6C1E">
          <w:rPr>
            <w:noProof/>
            <w:webHidden/>
          </w:rPr>
          <w:instrText xml:space="preserve"> PAGEREF _Toc83997540 \h </w:instrText>
        </w:r>
        <w:r w:rsidR="001C6C1E">
          <w:rPr>
            <w:noProof/>
            <w:webHidden/>
          </w:rPr>
        </w:r>
        <w:r w:rsidR="001C6C1E">
          <w:rPr>
            <w:noProof/>
            <w:webHidden/>
          </w:rPr>
          <w:fldChar w:fldCharType="separate"/>
        </w:r>
        <w:r w:rsidR="0067767C">
          <w:rPr>
            <w:noProof/>
            <w:webHidden/>
          </w:rPr>
          <w:t>106</w:t>
        </w:r>
        <w:r w:rsidR="001C6C1E">
          <w:rPr>
            <w:noProof/>
            <w:webHidden/>
          </w:rPr>
          <w:fldChar w:fldCharType="end"/>
        </w:r>
      </w:hyperlink>
    </w:p>
    <w:p w14:paraId="350182C9" w14:textId="59D6E35E" w:rsidR="001C6C1E" w:rsidRDefault="00742092">
      <w:pPr>
        <w:pStyle w:val="Abbildungsverzeichnis"/>
        <w:rPr>
          <w:rFonts w:asciiTheme="minorHAnsi" w:eastAsiaTheme="minorEastAsia" w:hAnsiTheme="minorHAnsi" w:cstheme="minorBidi"/>
          <w:noProof/>
          <w:szCs w:val="22"/>
          <w:lang w:eastAsia="en-GB"/>
        </w:rPr>
      </w:pPr>
      <w:hyperlink w:anchor="_Toc83997541" w:history="1">
        <w:r w:rsidR="001C6C1E" w:rsidRPr="003D1BD6">
          <w:rPr>
            <w:rStyle w:val="Hyperlink"/>
            <w:noProof/>
          </w:rPr>
          <w:t>Table 10</w:t>
        </w:r>
        <w:r w:rsidR="001C6C1E" w:rsidRPr="003D1BD6">
          <w:rPr>
            <w:rStyle w:val="Hyperlink"/>
            <w:noProof/>
          </w:rPr>
          <w:noBreakHyphen/>
          <w:t>1:</w:t>
        </w:r>
        <w:r w:rsidR="001C6C1E">
          <w:rPr>
            <w:rFonts w:asciiTheme="minorHAnsi" w:eastAsiaTheme="minorEastAsia" w:hAnsiTheme="minorHAnsi" w:cstheme="minorBidi"/>
            <w:noProof/>
            <w:szCs w:val="22"/>
            <w:lang w:eastAsia="en-GB"/>
          </w:rPr>
          <w:tab/>
        </w:r>
        <w:r w:rsidR="001C6C1E" w:rsidRPr="003D1BD6">
          <w:rPr>
            <w:rStyle w:val="Hyperlink"/>
            <w:noProof/>
            <w:lang w:eastAsia="en-US"/>
          </w:rPr>
          <w:t>Parameters for soil monitoring at different measurement levels SOC, erosion, contamination (for other soil threats, salinization, floods, landslides, soil sealing.</w:t>
        </w:r>
        <w:r w:rsidR="001C6C1E">
          <w:rPr>
            <w:noProof/>
            <w:webHidden/>
          </w:rPr>
          <w:tab/>
        </w:r>
        <w:r w:rsidR="001C6C1E">
          <w:rPr>
            <w:noProof/>
            <w:webHidden/>
          </w:rPr>
          <w:fldChar w:fldCharType="begin"/>
        </w:r>
        <w:r w:rsidR="001C6C1E">
          <w:rPr>
            <w:noProof/>
            <w:webHidden/>
          </w:rPr>
          <w:instrText xml:space="preserve"> PAGEREF _Toc83997541 \h </w:instrText>
        </w:r>
        <w:r w:rsidR="001C6C1E">
          <w:rPr>
            <w:noProof/>
            <w:webHidden/>
          </w:rPr>
        </w:r>
        <w:r w:rsidR="001C6C1E">
          <w:rPr>
            <w:noProof/>
            <w:webHidden/>
          </w:rPr>
          <w:fldChar w:fldCharType="separate"/>
        </w:r>
        <w:r w:rsidR="0067767C">
          <w:rPr>
            <w:noProof/>
            <w:webHidden/>
          </w:rPr>
          <w:t>107</w:t>
        </w:r>
        <w:r w:rsidR="001C6C1E">
          <w:rPr>
            <w:noProof/>
            <w:webHidden/>
          </w:rPr>
          <w:fldChar w:fldCharType="end"/>
        </w:r>
      </w:hyperlink>
    </w:p>
    <w:p w14:paraId="160331AA" w14:textId="7EBF3559" w:rsidR="001C6C1E" w:rsidRDefault="00742092">
      <w:pPr>
        <w:pStyle w:val="Abbildungsverzeichnis"/>
        <w:rPr>
          <w:rFonts w:asciiTheme="minorHAnsi" w:eastAsiaTheme="minorEastAsia" w:hAnsiTheme="minorHAnsi" w:cstheme="minorBidi"/>
          <w:noProof/>
          <w:szCs w:val="22"/>
          <w:lang w:eastAsia="en-GB"/>
        </w:rPr>
      </w:pPr>
      <w:hyperlink w:anchor="_Toc83997542" w:history="1">
        <w:r w:rsidR="001C6C1E" w:rsidRPr="003D1BD6">
          <w:rPr>
            <w:rStyle w:val="Hyperlink"/>
            <w:noProof/>
          </w:rPr>
          <w:t>Table 10</w:t>
        </w:r>
        <w:r w:rsidR="001C6C1E" w:rsidRPr="003D1BD6">
          <w:rPr>
            <w:rStyle w:val="Hyperlink"/>
            <w:noProof/>
          </w:rPr>
          <w:noBreakHyphen/>
          <w:t>2</w:t>
        </w:r>
        <w:r w:rsidR="001C6C1E" w:rsidRPr="003D1BD6">
          <w:rPr>
            <w:rStyle w:val="Hyperlink"/>
            <w:rFonts w:eastAsia="Calibri"/>
            <w:noProof/>
          </w:rPr>
          <w:t>:</w:t>
        </w:r>
        <w:r w:rsidR="001C6C1E">
          <w:rPr>
            <w:rFonts w:asciiTheme="minorHAnsi" w:eastAsiaTheme="minorEastAsia" w:hAnsiTheme="minorHAnsi" w:cstheme="minorBidi"/>
            <w:noProof/>
            <w:szCs w:val="22"/>
            <w:lang w:eastAsia="en-GB"/>
          </w:rPr>
          <w:tab/>
        </w:r>
        <w:r w:rsidR="001C6C1E" w:rsidRPr="003D1BD6">
          <w:rPr>
            <w:rStyle w:val="Hyperlink"/>
            <w:rFonts w:eastAsia="Calibri"/>
            <w:noProof/>
          </w:rPr>
          <w:t>Overview of soil threats and indicators investigated in this report</w:t>
        </w:r>
        <w:r w:rsidR="001C6C1E">
          <w:rPr>
            <w:noProof/>
            <w:webHidden/>
          </w:rPr>
          <w:tab/>
        </w:r>
        <w:r w:rsidR="001C6C1E">
          <w:rPr>
            <w:noProof/>
            <w:webHidden/>
          </w:rPr>
          <w:fldChar w:fldCharType="begin"/>
        </w:r>
        <w:r w:rsidR="001C6C1E">
          <w:rPr>
            <w:noProof/>
            <w:webHidden/>
          </w:rPr>
          <w:instrText xml:space="preserve"> PAGEREF _Toc83997542 \h </w:instrText>
        </w:r>
        <w:r w:rsidR="001C6C1E">
          <w:rPr>
            <w:noProof/>
            <w:webHidden/>
          </w:rPr>
        </w:r>
        <w:r w:rsidR="001C6C1E">
          <w:rPr>
            <w:noProof/>
            <w:webHidden/>
          </w:rPr>
          <w:fldChar w:fldCharType="separate"/>
        </w:r>
        <w:r w:rsidR="0067767C">
          <w:rPr>
            <w:noProof/>
            <w:webHidden/>
          </w:rPr>
          <w:t>111</w:t>
        </w:r>
        <w:r w:rsidR="001C6C1E">
          <w:rPr>
            <w:noProof/>
            <w:webHidden/>
          </w:rPr>
          <w:fldChar w:fldCharType="end"/>
        </w:r>
      </w:hyperlink>
    </w:p>
    <w:p w14:paraId="18D8C791" w14:textId="6251B9C4" w:rsidR="007B4F1D" w:rsidRDefault="004E2ADF" w:rsidP="004E2ADF">
      <w:pPr>
        <w:pStyle w:val="Abbildungsverzeichnis"/>
        <w:tabs>
          <w:tab w:val="right" w:leader="dot" w:pos="9396"/>
        </w:tabs>
        <w:rPr>
          <w:lang w:val="pt-PT"/>
        </w:rPr>
      </w:pPr>
      <w:r>
        <w:rPr>
          <w:lang w:eastAsia="pt-PT"/>
        </w:rPr>
        <w:fldChar w:fldCharType="end"/>
      </w:r>
    </w:p>
    <w:p w14:paraId="092DE48F" w14:textId="77777777" w:rsidR="00441BD3" w:rsidRDefault="00441BD3">
      <w:pPr>
        <w:suppressAutoHyphens w:val="0"/>
        <w:jc w:val="left"/>
        <w:rPr>
          <w:lang w:val="pt-PT"/>
        </w:rPr>
      </w:pPr>
      <w:bookmarkStart w:id="4" w:name="_Ref2261497"/>
      <w:r>
        <w:rPr>
          <w:lang w:val="pt-PT"/>
        </w:rPr>
        <w:br w:type="page"/>
      </w:r>
    </w:p>
    <w:p w14:paraId="636689DF" w14:textId="12F27BFB" w:rsidR="009A73EB" w:rsidRPr="00DA039D" w:rsidRDefault="009A73EB" w:rsidP="00DF0352">
      <w:pPr>
        <w:pStyle w:val="berschrift1"/>
        <w:numPr>
          <w:ilvl w:val="0"/>
          <w:numId w:val="0"/>
        </w:numPr>
        <w:ind w:left="431" w:hanging="431"/>
        <w:rPr>
          <w:lang w:val="pt-PT"/>
        </w:rPr>
      </w:pPr>
      <w:bookmarkStart w:id="5" w:name="_Toc83997314"/>
      <w:r w:rsidRPr="00DA039D">
        <w:rPr>
          <w:lang w:val="pt-PT"/>
        </w:rPr>
        <w:lastRenderedPageBreak/>
        <w:t>Acknowledgements</w:t>
      </w:r>
      <w:bookmarkEnd w:id="4"/>
      <w:bookmarkEnd w:id="5"/>
    </w:p>
    <w:p w14:paraId="6FC40C19" w14:textId="2309F482" w:rsidR="009B108A" w:rsidRDefault="009B108A" w:rsidP="00DA039D"/>
    <w:p w14:paraId="4FF5EC1A" w14:textId="78F697D5" w:rsidR="003A3C0E" w:rsidRDefault="003A3C0E" w:rsidP="00DA039D">
      <w:r>
        <w:t>Editor</w:t>
      </w:r>
      <w:r w:rsidR="00D978BE">
        <w:t>s</w:t>
      </w:r>
      <w:r>
        <w:t>: Rainer Baritz (EEA)</w:t>
      </w:r>
      <w:r w:rsidR="00D978BE">
        <w:t>, Gundula Prokop and Marco Trombetti (ETC/ULS)</w:t>
      </w:r>
    </w:p>
    <w:p w14:paraId="59F01923" w14:textId="77777777" w:rsidR="003A3C0E" w:rsidRDefault="003A3C0E" w:rsidP="00DA039D"/>
    <w:p w14:paraId="36F0FC3A" w14:textId="0F8573B0" w:rsidR="000A368A" w:rsidRDefault="000A368A" w:rsidP="000A368A">
      <w:pPr>
        <w:rPr>
          <w:lang w:eastAsia="pt-PT"/>
        </w:rPr>
      </w:pPr>
      <w:r>
        <w:rPr>
          <w:lang w:eastAsia="pt-PT"/>
        </w:rPr>
        <w:t xml:space="preserve">Authors: </w:t>
      </w:r>
    </w:p>
    <w:p w14:paraId="56091782" w14:textId="0D3A41AA" w:rsidR="000A368A" w:rsidRDefault="000A368A" w:rsidP="000A368A">
      <w:pPr>
        <w:rPr>
          <w:lang w:eastAsia="pt-PT"/>
        </w:rPr>
      </w:pPr>
    </w:p>
    <w:tbl>
      <w:tblPr>
        <w:tblStyle w:val="Tabellenraster"/>
        <w:tblW w:w="0" w:type="auto"/>
        <w:tblLook w:val="04A0" w:firstRow="1" w:lastRow="0" w:firstColumn="1" w:lastColumn="0" w:noHBand="0" w:noVBand="1"/>
      </w:tblPr>
      <w:tblGrid>
        <w:gridCol w:w="1129"/>
        <w:gridCol w:w="4111"/>
        <w:gridCol w:w="3401"/>
      </w:tblGrid>
      <w:tr w:rsidR="00420CA8" w14:paraId="65AC9D3A" w14:textId="2B410C45" w:rsidTr="003519AE">
        <w:tc>
          <w:tcPr>
            <w:tcW w:w="1129" w:type="dxa"/>
          </w:tcPr>
          <w:p w14:paraId="377175F4" w14:textId="33FE724E" w:rsidR="00420CA8" w:rsidRDefault="00420CA8" w:rsidP="00CD55D6">
            <w:pPr>
              <w:pStyle w:val="EEAtableleft"/>
              <w:rPr>
                <w:lang w:eastAsia="pt-PT"/>
              </w:rPr>
            </w:pPr>
            <w:r>
              <w:rPr>
                <w:lang w:eastAsia="pt-PT"/>
              </w:rPr>
              <w:t xml:space="preserve">Chapter </w:t>
            </w:r>
          </w:p>
        </w:tc>
        <w:tc>
          <w:tcPr>
            <w:tcW w:w="4111" w:type="dxa"/>
          </w:tcPr>
          <w:p w14:paraId="16C6DA2D" w14:textId="7A72DC10" w:rsidR="00420CA8" w:rsidRDefault="00420CA8" w:rsidP="00CD55D6">
            <w:pPr>
              <w:pStyle w:val="EEAtableleft"/>
              <w:rPr>
                <w:lang w:eastAsia="pt-PT"/>
              </w:rPr>
            </w:pPr>
            <w:r>
              <w:rPr>
                <w:lang w:eastAsia="pt-PT"/>
              </w:rPr>
              <w:t>Author</w:t>
            </w:r>
            <w:r w:rsidR="0087757C">
              <w:rPr>
                <w:lang w:eastAsia="pt-PT"/>
              </w:rPr>
              <w:t>s</w:t>
            </w:r>
          </w:p>
        </w:tc>
        <w:tc>
          <w:tcPr>
            <w:tcW w:w="3401" w:type="dxa"/>
          </w:tcPr>
          <w:p w14:paraId="79807D64" w14:textId="0762074C" w:rsidR="00420CA8" w:rsidRDefault="00420CA8" w:rsidP="00CD55D6">
            <w:pPr>
              <w:pStyle w:val="EEAtableleft"/>
              <w:rPr>
                <w:lang w:eastAsia="pt-PT"/>
              </w:rPr>
            </w:pPr>
            <w:r>
              <w:rPr>
                <w:lang w:eastAsia="pt-PT"/>
              </w:rPr>
              <w:t>Review</w:t>
            </w:r>
            <w:r w:rsidR="0087757C">
              <w:rPr>
                <w:lang w:eastAsia="pt-PT"/>
              </w:rPr>
              <w:t>ers</w:t>
            </w:r>
            <w:r>
              <w:rPr>
                <w:lang w:eastAsia="pt-PT"/>
              </w:rPr>
              <w:t xml:space="preserve"> (status </w:t>
            </w:r>
            <w:r w:rsidR="004B7697">
              <w:rPr>
                <w:lang w:eastAsia="pt-PT"/>
              </w:rPr>
              <w:t>March</w:t>
            </w:r>
            <w:r w:rsidR="00946986">
              <w:rPr>
                <w:lang w:eastAsia="pt-PT"/>
              </w:rPr>
              <w:t xml:space="preserve"> </w:t>
            </w:r>
            <w:r w:rsidR="004B7697">
              <w:rPr>
                <w:lang w:eastAsia="pt-PT"/>
              </w:rPr>
              <w:t>2021</w:t>
            </w:r>
            <w:r w:rsidR="00686956">
              <w:rPr>
                <w:lang w:eastAsia="pt-PT"/>
              </w:rPr>
              <w:t>)</w:t>
            </w:r>
          </w:p>
        </w:tc>
      </w:tr>
      <w:tr w:rsidR="00454EA7" w14:paraId="7B36B4E0" w14:textId="7C4B4207" w:rsidTr="003519AE">
        <w:tc>
          <w:tcPr>
            <w:tcW w:w="1129" w:type="dxa"/>
          </w:tcPr>
          <w:p w14:paraId="2A18B2B5" w14:textId="2135F291" w:rsidR="00454EA7" w:rsidRDefault="00454EA7" w:rsidP="00454EA7">
            <w:pPr>
              <w:pStyle w:val="EEAtableleft"/>
              <w:jc w:val="center"/>
              <w:rPr>
                <w:lang w:eastAsia="pt-PT"/>
              </w:rPr>
            </w:pPr>
            <w:r>
              <w:rPr>
                <w:lang w:eastAsia="pt-PT"/>
              </w:rPr>
              <w:t>1</w:t>
            </w:r>
          </w:p>
        </w:tc>
        <w:tc>
          <w:tcPr>
            <w:tcW w:w="4111" w:type="dxa"/>
          </w:tcPr>
          <w:p w14:paraId="108C8E2B" w14:textId="65398A43" w:rsidR="00454EA7" w:rsidRDefault="00454EA7" w:rsidP="00454EA7">
            <w:pPr>
              <w:pStyle w:val="EEAtableleft"/>
              <w:rPr>
                <w:lang w:eastAsia="pt-PT"/>
              </w:rPr>
            </w:pPr>
            <w:r>
              <w:rPr>
                <w:lang w:eastAsia="pt-PT"/>
              </w:rPr>
              <w:t>Gundula Prokop, Rainer Baritz, Paul Romkens</w:t>
            </w:r>
          </w:p>
        </w:tc>
        <w:tc>
          <w:tcPr>
            <w:tcW w:w="3401" w:type="dxa"/>
          </w:tcPr>
          <w:p w14:paraId="6E30F49C" w14:textId="77777777" w:rsidR="00454EA7" w:rsidRDefault="00454EA7" w:rsidP="00454EA7">
            <w:pPr>
              <w:pStyle w:val="EEAtableleft"/>
              <w:rPr>
                <w:lang w:eastAsia="pt-PT"/>
              </w:rPr>
            </w:pPr>
          </w:p>
        </w:tc>
      </w:tr>
      <w:tr w:rsidR="00454EA7" w:rsidRPr="003E7E6E" w14:paraId="504A4A34" w14:textId="1DFA0E06" w:rsidTr="003519AE">
        <w:tc>
          <w:tcPr>
            <w:tcW w:w="1129" w:type="dxa"/>
          </w:tcPr>
          <w:p w14:paraId="7CC5EA7C" w14:textId="2DA76A10" w:rsidR="00454EA7" w:rsidRDefault="00454EA7" w:rsidP="00454EA7">
            <w:pPr>
              <w:pStyle w:val="EEAtableleft"/>
              <w:jc w:val="center"/>
              <w:rPr>
                <w:lang w:eastAsia="pt-PT"/>
              </w:rPr>
            </w:pPr>
            <w:r>
              <w:rPr>
                <w:lang w:eastAsia="pt-PT"/>
              </w:rPr>
              <w:t>2</w:t>
            </w:r>
          </w:p>
        </w:tc>
        <w:tc>
          <w:tcPr>
            <w:tcW w:w="4111" w:type="dxa"/>
          </w:tcPr>
          <w:p w14:paraId="4FC193A7" w14:textId="46905EC0" w:rsidR="00454EA7" w:rsidRDefault="00454EA7" w:rsidP="00454EA7">
            <w:pPr>
              <w:pStyle w:val="EEAtableleft"/>
              <w:rPr>
                <w:lang w:eastAsia="pt-PT"/>
              </w:rPr>
            </w:pPr>
            <w:r>
              <w:rPr>
                <w:lang w:eastAsia="pt-PT"/>
              </w:rPr>
              <w:t>Rainer Baritz, Marco Trombetti, Wulf Amelung, Paul Romkens, Wim de Vries</w:t>
            </w:r>
          </w:p>
        </w:tc>
        <w:tc>
          <w:tcPr>
            <w:tcW w:w="3401" w:type="dxa"/>
          </w:tcPr>
          <w:p w14:paraId="1CF8CC6E" w14:textId="0EC28DE0" w:rsidR="00454EA7" w:rsidRPr="00CD55D6" w:rsidRDefault="00454EA7" w:rsidP="00454EA7">
            <w:pPr>
              <w:pStyle w:val="EEAtableleft"/>
              <w:rPr>
                <w:lang w:val="es-ES" w:eastAsia="pt-PT"/>
              </w:rPr>
            </w:pPr>
            <w:r w:rsidRPr="00CD55D6">
              <w:rPr>
                <w:lang w:val="es-ES" w:eastAsia="pt-PT"/>
              </w:rPr>
              <w:t>Emanuele Lugato, Elena Havlicek, Arwyn Jones</w:t>
            </w:r>
          </w:p>
        </w:tc>
      </w:tr>
      <w:tr w:rsidR="00454EA7" w14:paraId="6E5F7870" w14:textId="4A3437BE" w:rsidTr="003519AE">
        <w:tc>
          <w:tcPr>
            <w:tcW w:w="1129" w:type="dxa"/>
          </w:tcPr>
          <w:p w14:paraId="4D0D933E" w14:textId="0A9CA2EF" w:rsidR="00454EA7" w:rsidRDefault="00454EA7" w:rsidP="00454EA7">
            <w:pPr>
              <w:pStyle w:val="EEAtableleft"/>
              <w:jc w:val="center"/>
              <w:rPr>
                <w:lang w:eastAsia="pt-PT"/>
              </w:rPr>
            </w:pPr>
            <w:r>
              <w:rPr>
                <w:lang w:eastAsia="pt-PT"/>
              </w:rPr>
              <w:t>3</w:t>
            </w:r>
          </w:p>
        </w:tc>
        <w:tc>
          <w:tcPr>
            <w:tcW w:w="4111" w:type="dxa"/>
          </w:tcPr>
          <w:p w14:paraId="1CD69003" w14:textId="440F5560" w:rsidR="00454EA7" w:rsidRDefault="00454EA7" w:rsidP="00454EA7">
            <w:pPr>
              <w:pStyle w:val="EEAtableleft"/>
              <w:rPr>
                <w:lang w:eastAsia="pt-PT"/>
              </w:rPr>
            </w:pPr>
            <w:r>
              <w:rPr>
                <w:lang w:eastAsia="pt-PT"/>
              </w:rPr>
              <w:t>Wim De Vries</w:t>
            </w:r>
          </w:p>
        </w:tc>
        <w:tc>
          <w:tcPr>
            <w:tcW w:w="3401" w:type="dxa"/>
          </w:tcPr>
          <w:p w14:paraId="504B5C8C" w14:textId="6BDDB929" w:rsidR="00454EA7" w:rsidRDefault="00454EA7" w:rsidP="00454EA7">
            <w:pPr>
              <w:pStyle w:val="EEAtableleft"/>
              <w:rPr>
                <w:lang w:eastAsia="pt-PT"/>
              </w:rPr>
            </w:pPr>
            <w:r>
              <w:rPr>
                <w:lang w:eastAsia="pt-PT"/>
              </w:rPr>
              <w:t>Nicole Wellbrock</w:t>
            </w:r>
          </w:p>
        </w:tc>
      </w:tr>
      <w:tr w:rsidR="00454EA7" w14:paraId="6AA5895F" w14:textId="4C0ED0BC" w:rsidTr="003519AE">
        <w:tc>
          <w:tcPr>
            <w:tcW w:w="1129" w:type="dxa"/>
          </w:tcPr>
          <w:p w14:paraId="5F9C471D" w14:textId="36236A5D" w:rsidR="00454EA7" w:rsidRDefault="00454EA7" w:rsidP="00454EA7">
            <w:pPr>
              <w:pStyle w:val="EEAtableleft"/>
              <w:jc w:val="center"/>
              <w:rPr>
                <w:lang w:eastAsia="pt-PT"/>
              </w:rPr>
            </w:pPr>
            <w:r>
              <w:rPr>
                <w:lang w:eastAsia="pt-PT"/>
              </w:rPr>
              <w:t>4</w:t>
            </w:r>
          </w:p>
        </w:tc>
        <w:tc>
          <w:tcPr>
            <w:tcW w:w="4111" w:type="dxa"/>
          </w:tcPr>
          <w:p w14:paraId="09610911" w14:textId="2AABD392" w:rsidR="00454EA7" w:rsidRDefault="00454EA7" w:rsidP="00454EA7">
            <w:pPr>
              <w:pStyle w:val="EEAtableleft"/>
              <w:rPr>
                <w:lang w:eastAsia="pt-PT"/>
              </w:rPr>
            </w:pPr>
            <w:r>
              <w:rPr>
                <w:lang w:eastAsia="pt-PT"/>
              </w:rPr>
              <w:t>Wim De Vries</w:t>
            </w:r>
          </w:p>
        </w:tc>
        <w:tc>
          <w:tcPr>
            <w:tcW w:w="3401" w:type="dxa"/>
          </w:tcPr>
          <w:p w14:paraId="6F6A8F51" w14:textId="1452E061" w:rsidR="00454EA7" w:rsidRDefault="00454EA7" w:rsidP="00454EA7">
            <w:pPr>
              <w:pStyle w:val="EEAtableleft"/>
              <w:rPr>
                <w:lang w:eastAsia="pt-PT"/>
              </w:rPr>
            </w:pPr>
            <w:r>
              <w:rPr>
                <w:lang w:eastAsia="pt-PT"/>
              </w:rPr>
              <w:t>Nicole Wellbrock</w:t>
            </w:r>
          </w:p>
        </w:tc>
      </w:tr>
      <w:tr w:rsidR="00454EA7" w14:paraId="347807A3" w14:textId="7F48DFB3" w:rsidTr="003519AE">
        <w:tc>
          <w:tcPr>
            <w:tcW w:w="1129" w:type="dxa"/>
          </w:tcPr>
          <w:p w14:paraId="6B93E431" w14:textId="07B44CD4" w:rsidR="00454EA7" w:rsidRDefault="00454EA7" w:rsidP="00454EA7">
            <w:pPr>
              <w:pStyle w:val="EEAtableleft"/>
              <w:jc w:val="center"/>
              <w:rPr>
                <w:lang w:eastAsia="pt-PT"/>
              </w:rPr>
            </w:pPr>
            <w:r>
              <w:rPr>
                <w:lang w:eastAsia="pt-PT"/>
              </w:rPr>
              <w:t>5</w:t>
            </w:r>
          </w:p>
        </w:tc>
        <w:tc>
          <w:tcPr>
            <w:tcW w:w="4111" w:type="dxa"/>
          </w:tcPr>
          <w:p w14:paraId="23A60E1C" w14:textId="6312B4B5" w:rsidR="00454EA7" w:rsidRDefault="00454EA7" w:rsidP="00454EA7">
            <w:pPr>
              <w:pStyle w:val="EEAtableleft"/>
              <w:rPr>
                <w:lang w:eastAsia="pt-PT"/>
              </w:rPr>
            </w:pPr>
            <w:r>
              <w:rPr>
                <w:lang w:eastAsia="pt-PT"/>
              </w:rPr>
              <w:t>Paul Romkens, Frank Swartjes, Marco Trombetti, Rainer Baritz, Wim de Vries</w:t>
            </w:r>
          </w:p>
        </w:tc>
        <w:tc>
          <w:tcPr>
            <w:tcW w:w="3401" w:type="dxa"/>
          </w:tcPr>
          <w:p w14:paraId="29BAD196" w14:textId="77777777" w:rsidR="00454EA7" w:rsidRDefault="00454EA7" w:rsidP="00454EA7">
            <w:pPr>
              <w:pStyle w:val="EEAtableleft"/>
              <w:rPr>
                <w:lang w:eastAsia="pt-PT"/>
              </w:rPr>
            </w:pPr>
          </w:p>
        </w:tc>
      </w:tr>
      <w:tr w:rsidR="00454EA7" w14:paraId="5AA2F65C" w14:textId="6CF93362" w:rsidTr="003519AE">
        <w:tc>
          <w:tcPr>
            <w:tcW w:w="1129" w:type="dxa"/>
          </w:tcPr>
          <w:p w14:paraId="7BC9CC48" w14:textId="2AF408BB" w:rsidR="00454EA7" w:rsidRDefault="00454EA7" w:rsidP="00454EA7">
            <w:pPr>
              <w:pStyle w:val="EEAtableleft"/>
              <w:jc w:val="center"/>
              <w:rPr>
                <w:lang w:eastAsia="pt-PT"/>
              </w:rPr>
            </w:pPr>
            <w:r>
              <w:rPr>
                <w:lang w:eastAsia="pt-PT"/>
              </w:rPr>
              <w:t>6</w:t>
            </w:r>
          </w:p>
        </w:tc>
        <w:tc>
          <w:tcPr>
            <w:tcW w:w="4111" w:type="dxa"/>
          </w:tcPr>
          <w:p w14:paraId="07AEDEB8" w14:textId="4EC1C467" w:rsidR="00454EA7" w:rsidRDefault="00454EA7" w:rsidP="00454EA7">
            <w:pPr>
              <w:pStyle w:val="EEAtableleft"/>
              <w:rPr>
                <w:lang w:eastAsia="pt-PT"/>
              </w:rPr>
            </w:pPr>
            <w:r>
              <w:rPr>
                <w:lang w:eastAsia="pt-PT"/>
              </w:rPr>
              <w:t>Rainer Baritz, Bastian</w:t>
            </w:r>
            <w:r>
              <w:t xml:space="preserve"> </w:t>
            </w:r>
            <w:r w:rsidRPr="00247D9B">
              <w:t>Steinhoff-Knopp</w:t>
            </w:r>
            <w:r>
              <w:t xml:space="preserve">, </w:t>
            </w:r>
            <w:r w:rsidRPr="008A3FAA">
              <w:rPr>
                <w:lang w:eastAsia="pt-PT"/>
              </w:rPr>
              <w:t>John Boardman</w:t>
            </w:r>
          </w:p>
        </w:tc>
        <w:tc>
          <w:tcPr>
            <w:tcW w:w="3401" w:type="dxa"/>
          </w:tcPr>
          <w:p w14:paraId="2F351829" w14:textId="2380F995" w:rsidR="00454EA7" w:rsidRDefault="00454EA7" w:rsidP="00454EA7">
            <w:pPr>
              <w:pStyle w:val="EEAtableleft"/>
              <w:rPr>
                <w:lang w:eastAsia="pt-PT"/>
              </w:rPr>
            </w:pPr>
            <w:r>
              <w:rPr>
                <w:lang w:eastAsia="pt-PT"/>
              </w:rPr>
              <w:t xml:space="preserve">Jean Poesen, Bob Evans, Artemio Cerda </w:t>
            </w:r>
          </w:p>
        </w:tc>
      </w:tr>
      <w:tr w:rsidR="00454EA7" w14:paraId="3D83E45F" w14:textId="4072EE79" w:rsidTr="003519AE">
        <w:tc>
          <w:tcPr>
            <w:tcW w:w="1129" w:type="dxa"/>
          </w:tcPr>
          <w:p w14:paraId="38D20622" w14:textId="098CBA99" w:rsidR="00454EA7" w:rsidRDefault="00454EA7" w:rsidP="00454EA7">
            <w:pPr>
              <w:pStyle w:val="EEAtableleft"/>
              <w:jc w:val="center"/>
              <w:rPr>
                <w:lang w:eastAsia="pt-PT"/>
              </w:rPr>
            </w:pPr>
            <w:r>
              <w:rPr>
                <w:lang w:eastAsia="pt-PT"/>
              </w:rPr>
              <w:t>7</w:t>
            </w:r>
          </w:p>
        </w:tc>
        <w:tc>
          <w:tcPr>
            <w:tcW w:w="4111" w:type="dxa"/>
          </w:tcPr>
          <w:p w14:paraId="6C42109A" w14:textId="49E43DCD" w:rsidR="00454EA7" w:rsidRDefault="00454EA7" w:rsidP="00454EA7">
            <w:pPr>
              <w:pStyle w:val="EEAtableleft"/>
              <w:rPr>
                <w:lang w:eastAsia="pt-PT"/>
              </w:rPr>
            </w:pPr>
            <w:r>
              <w:rPr>
                <w:lang w:eastAsia="pt-PT"/>
              </w:rPr>
              <w:t>Rainer Horn</w:t>
            </w:r>
          </w:p>
        </w:tc>
        <w:tc>
          <w:tcPr>
            <w:tcW w:w="3401" w:type="dxa"/>
          </w:tcPr>
          <w:p w14:paraId="14337971" w14:textId="77777777" w:rsidR="00454EA7" w:rsidRDefault="00454EA7" w:rsidP="00454EA7">
            <w:pPr>
              <w:pStyle w:val="EEAtableleft"/>
              <w:rPr>
                <w:lang w:eastAsia="pt-PT"/>
              </w:rPr>
            </w:pPr>
          </w:p>
        </w:tc>
      </w:tr>
      <w:tr w:rsidR="00454EA7" w14:paraId="09CFF23D" w14:textId="77777777" w:rsidTr="003519AE">
        <w:tc>
          <w:tcPr>
            <w:tcW w:w="1129" w:type="dxa"/>
          </w:tcPr>
          <w:p w14:paraId="024FB612" w14:textId="76DF280A" w:rsidR="00454EA7" w:rsidRDefault="00454EA7" w:rsidP="00454EA7">
            <w:pPr>
              <w:pStyle w:val="EEAtableleft"/>
              <w:jc w:val="center"/>
              <w:rPr>
                <w:lang w:eastAsia="pt-PT"/>
              </w:rPr>
            </w:pPr>
            <w:r>
              <w:rPr>
                <w:lang w:eastAsia="pt-PT"/>
              </w:rPr>
              <w:t>8</w:t>
            </w:r>
          </w:p>
        </w:tc>
        <w:tc>
          <w:tcPr>
            <w:tcW w:w="4111" w:type="dxa"/>
          </w:tcPr>
          <w:p w14:paraId="47087F12" w14:textId="66E4F217" w:rsidR="00454EA7" w:rsidRDefault="00454EA7" w:rsidP="00454EA7">
            <w:pPr>
              <w:pStyle w:val="EEAtableleft"/>
              <w:rPr>
                <w:lang w:eastAsia="pt-PT"/>
              </w:rPr>
            </w:pPr>
            <w:r w:rsidRPr="00BF5703">
              <w:rPr>
                <w:lang w:eastAsia="pt-PT"/>
              </w:rPr>
              <w:t>Jörg Römbke</w:t>
            </w:r>
            <w:r>
              <w:rPr>
                <w:lang w:eastAsia="pt-PT"/>
              </w:rPr>
              <w:t>, Marco Trombetti, Rainer Baritz</w:t>
            </w:r>
          </w:p>
        </w:tc>
        <w:tc>
          <w:tcPr>
            <w:tcW w:w="3401" w:type="dxa"/>
          </w:tcPr>
          <w:p w14:paraId="2BFFA7AA" w14:textId="108202F2" w:rsidR="00454EA7" w:rsidRDefault="00454EA7" w:rsidP="00454EA7">
            <w:pPr>
              <w:pStyle w:val="EEAtableleft"/>
              <w:rPr>
                <w:lang w:eastAsia="pt-PT"/>
              </w:rPr>
            </w:pPr>
            <w:r>
              <w:rPr>
                <w:lang w:eastAsia="pt-PT"/>
              </w:rPr>
              <w:t>Alberto Orgiazzi, Peter De Ruiter</w:t>
            </w:r>
          </w:p>
        </w:tc>
      </w:tr>
      <w:tr w:rsidR="00454EA7" w14:paraId="38463EE7" w14:textId="77777777" w:rsidTr="003519AE">
        <w:tc>
          <w:tcPr>
            <w:tcW w:w="1129" w:type="dxa"/>
          </w:tcPr>
          <w:p w14:paraId="0404E11C" w14:textId="6A100B21" w:rsidR="00454EA7" w:rsidRDefault="00454EA7" w:rsidP="00454EA7">
            <w:pPr>
              <w:pStyle w:val="EEAtableleft"/>
              <w:jc w:val="center"/>
              <w:rPr>
                <w:lang w:eastAsia="pt-PT"/>
              </w:rPr>
            </w:pPr>
            <w:r>
              <w:rPr>
                <w:lang w:eastAsia="pt-PT"/>
              </w:rPr>
              <w:t>9</w:t>
            </w:r>
          </w:p>
        </w:tc>
        <w:tc>
          <w:tcPr>
            <w:tcW w:w="4111" w:type="dxa"/>
          </w:tcPr>
          <w:p w14:paraId="4A3CA858" w14:textId="12D6C56C" w:rsidR="00454EA7" w:rsidRDefault="00454EA7" w:rsidP="00454EA7">
            <w:pPr>
              <w:pStyle w:val="EEAtableleft"/>
              <w:rPr>
                <w:lang w:eastAsia="pt-PT"/>
              </w:rPr>
            </w:pPr>
            <w:r>
              <w:rPr>
                <w:lang w:eastAsia="pt-PT"/>
              </w:rPr>
              <w:t>Gundula Prokop</w:t>
            </w:r>
          </w:p>
        </w:tc>
        <w:tc>
          <w:tcPr>
            <w:tcW w:w="3401" w:type="dxa"/>
          </w:tcPr>
          <w:p w14:paraId="14130227" w14:textId="77777777" w:rsidR="00454EA7" w:rsidRDefault="00454EA7" w:rsidP="00454EA7">
            <w:pPr>
              <w:pStyle w:val="EEAtableleft"/>
              <w:rPr>
                <w:lang w:eastAsia="pt-PT"/>
              </w:rPr>
            </w:pPr>
          </w:p>
        </w:tc>
      </w:tr>
      <w:tr w:rsidR="00454EA7" w14:paraId="75CDA065" w14:textId="77777777" w:rsidTr="003519AE">
        <w:tc>
          <w:tcPr>
            <w:tcW w:w="1129" w:type="dxa"/>
          </w:tcPr>
          <w:p w14:paraId="4D78649D" w14:textId="6CFAC4F4" w:rsidR="00454EA7" w:rsidRDefault="00454EA7" w:rsidP="00454EA7">
            <w:pPr>
              <w:pStyle w:val="EEAtableleft"/>
              <w:jc w:val="center"/>
              <w:rPr>
                <w:lang w:eastAsia="pt-PT"/>
              </w:rPr>
            </w:pPr>
            <w:r>
              <w:rPr>
                <w:lang w:eastAsia="pt-PT"/>
              </w:rPr>
              <w:t>10</w:t>
            </w:r>
          </w:p>
        </w:tc>
        <w:tc>
          <w:tcPr>
            <w:tcW w:w="4111" w:type="dxa"/>
          </w:tcPr>
          <w:p w14:paraId="1EB8C6EF" w14:textId="11EDCE2F" w:rsidR="00454EA7" w:rsidRDefault="00454EA7" w:rsidP="00454EA7">
            <w:pPr>
              <w:pStyle w:val="EEAtableleft"/>
              <w:rPr>
                <w:lang w:eastAsia="pt-PT"/>
              </w:rPr>
            </w:pPr>
            <w:r>
              <w:rPr>
                <w:lang w:eastAsia="pt-PT"/>
              </w:rPr>
              <w:t>Rainer Baritz, Veronique Antoni</w:t>
            </w:r>
          </w:p>
        </w:tc>
        <w:tc>
          <w:tcPr>
            <w:tcW w:w="3401" w:type="dxa"/>
          </w:tcPr>
          <w:p w14:paraId="31B487E1" w14:textId="77777777" w:rsidR="00454EA7" w:rsidRDefault="00454EA7" w:rsidP="00454EA7">
            <w:pPr>
              <w:pStyle w:val="EEAtableleft"/>
              <w:rPr>
                <w:lang w:eastAsia="pt-PT"/>
              </w:rPr>
            </w:pPr>
          </w:p>
        </w:tc>
      </w:tr>
    </w:tbl>
    <w:p w14:paraId="0EF5CD4F" w14:textId="6BF85738" w:rsidR="005D6839" w:rsidRDefault="005D6839" w:rsidP="000A368A">
      <w:pPr>
        <w:rPr>
          <w:lang w:eastAsia="pt-PT"/>
        </w:rPr>
      </w:pPr>
    </w:p>
    <w:p w14:paraId="3136E6D2" w14:textId="06E2645F" w:rsidR="00E04213" w:rsidRDefault="00E04213" w:rsidP="000A368A">
      <w:pPr>
        <w:rPr>
          <w:lang w:eastAsia="pt-PT"/>
        </w:rPr>
      </w:pPr>
      <w:r>
        <w:rPr>
          <w:lang w:eastAsia="pt-PT"/>
        </w:rPr>
        <w:t>MORE REVIEWERS WILL BE LISTED AFTER THE EXTERNAL REVIEW</w:t>
      </w:r>
      <w:r w:rsidR="00F6310A">
        <w:rPr>
          <w:lang w:eastAsia="pt-PT"/>
        </w:rPr>
        <w:t>!!!!!</w:t>
      </w:r>
    </w:p>
    <w:p w14:paraId="535FEDBF" w14:textId="77777777" w:rsidR="00E04213" w:rsidRDefault="00E04213" w:rsidP="000A368A">
      <w:pPr>
        <w:rPr>
          <w:lang w:eastAsia="pt-PT"/>
        </w:rPr>
      </w:pPr>
    </w:p>
    <w:p w14:paraId="665322F0" w14:textId="05EA62B0" w:rsidR="00F65021" w:rsidRDefault="00443AD9" w:rsidP="000A368A">
      <w:pPr>
        <w:rPr>
          <w:lang w:eastAsia="pt-PT"/>
        </w:rPr>
      </w:pPr>
      <w:r w:rsidRPr="00F75E84">
        <w:rPr>
          <w:highlight w:val="yellow"/>
          <w:lang w:eastAsia="pt-PT"/>
        </w:rPr>
        <w:t xml:space="preserve">Temporary note: </w:t>
      </w:r>
      <w:r w:rsidR="00D143BF" w:rsidRPr="00F75E84">
        <w:rPr>
          <w:highlight w:val="yellow"/>
          <w:lang w:eastAsia="pt-PT"/>
        </w:rPr>
        <w:t>the report is being review</w:t>
      </w:r>
      <w:r w:rsidR="000A36A7">
        <w:rPr>
          <w:highlight w:val="yellow"/>
          <w:lang w:eastAsia="pt-PT"/>
        </w:rPr>
        <w:t xml:space="preserve">ed </w:t>
      </w:r>
      <w:r w:rsidR="00D143BF" w:rsidRPr="00F75E84">
        <w:rPr>
          <w:highlight w:val="yellow"/>
          <w:lang w:eastAsia="pt-PT"/>
        </w:rPr>
        <w:t xml:space="preserve">by </w:t>
      </w:r>
      <w:r w:rsidR="00CF0AD3" w:rsidRPr="00F75E84">
        <w:rPr>
          <w:highlight w:val="yellow"/>
          <w:lang w:eastAsia="pt-PT"/>
        </w:rPr>
        <w:t>the</w:t>
      </w:r>
      <w:r w:rsidR="00F6310A" w:rsidRPr="00F75E84">
        <w:rPr>
          <w:highlight w:val="yellow"/>
          <w:lang w:eastAsia="pt-PT"/>
        </w:rPr>
        <w:t xml:space="preserve"> </w:t>
      </w:r>
      <w:r w:rsidR="00242F61" w:rsidRPr="00F75E84">
        <w:rPr>
          <w:highlight w:val="yellow"/>
          <w:lang w:eastAsia="pt-PT"/>
        </w:rPr>
        <w:t>EEA Member countries in the National Reference Centres for Soil under the European Information and Observation Network (EIONET)</w:t>
      </w:r>
      <w:r w:rsidR="00490D31">
        <w:rPr>
          <w:highlight w:val="yellow"/>
          <w:lang w:eastAsia="pt-PT"/>
        </w:rPr>
        <w:t xml:space="preserve">, the </w:t>
      </w:r>
      <w:r w:rsidR="00CF7D3D" w:rsidRPr="00F75E84">
        <w:rPr>
          <w:highlight w:val="yellow"/>
          <w:lang w:eastAsia="pt-PT"/>
        </w:rPr>
        <w:t xml:space="preserve">European Commission, experts from European research projects (EJP Soils, HoliSoil, </w:t>
      </w:r>
      <w:proofErr w:type="gramStart"/>
      <w:r w:rsidR="00682646">
        <w:rPr>
          <w:highlight w:val="yellow"/>
          <w:lang w:eastAsia="pt-PT"/>
        </w:rPr>
        <w:t>BonaRes</w:t>
      </w:r>
      <w:proofErr w:type="gramEnd"/>
      <w:r w:rsidR="00F6310A" w:rsidRPr="00F75E84">
        <w:rPr>
          <w:highlight w:val="yellow"/>
          <w:lang w:eastAsia="pt-PT"/>
        </w:rPr>
        <w:t>)</w:t>
      </w:r>
      <w:r w:rsidR="00333787" w:rsidRPr="00F75E84">
        <w:rPr>
          <w:highlight w:val="yellow"/>
          <w:lang w:eastAsia="pt-PT"/>
        </w:rPr>
        <w:t>,</w:t>
      </w:r>
      <w:r w:rsidR="002347CF" w:rsidRPr="00F75E84">
        <w:rPr>
          <w:highlight w:val="yellow"/>
          <w:lang w:eastAsia="pt-PT"/>
        </w:rPr>
        <w:t xml:space="preserve"> the European Soil </w:t>
      </w:r>
      <w:r w:rsidR="00682646">
        <w:rPr>
          <w:highlight w:val="yellow"/>
          <w:lang w:eastAsia="pt-PT"/>
        </w:rPr>
        <w:t>P</w:t>
      </w:r>
      <w:r w:rsidR="002347CF" w:rsidRPr="00F75E84">
        <w:rPr>
          <w:highlight w:val="yellow"/>
          <w:lang w:eastAsia="pt-PT"/>
        </w:rPr>
        <w:t xml:space="preserve">artnership, </w:t>
      </w:r>
      <w:r w:rsidR="00682646">
        <w:rPr>
          <w:highlight w:val="yellow"/>
          <w:lang w:eastAsia="pt-PT"/>
        </w:rPr>
        <w:t>the</w:t>
      </w:r>
      <w:r w:rsidR="00333787" w:rsidRPr="00F75E84">
        <w:rPr>
          <w:highlight w:val="yellow"/>
          <w:lang w:eastAsia="pt-PT"/>
        </w:rPr>
        <w:t xml:space="preserve"> Common Forum on Contaminated land, and </w:t>
      </w:r>
      <w:r w:rsidR="002347CF" w:rsidRPr="00F75E84">
        <w:rPr>
          <w:highlight w:val="yellow"/>
          <w:lang w:eastAsia="pt-PT"/>
        </w:rPr>
        <w:t xml:space="preserve">the </w:t>
      </w:r>
      <w:r w:rsidR="00CF0AD3" w:rsidRPr="00F75E84">
        <w:rPr>
          <w:highlight w:val="yellow"/>
          <w:lang w:eastAsia="pt-PT"/>
        </w:rPr>
        <w:t xml:space="preserve">European </w:t>
      </w:r>
      <w:r w:rsidR="002347CF" w:rsidRPr="00F75E84">
        <w:rPr>
          <w:highlight w:val="yellow"/>
          <w:lang w:eastAsia="pt-PT"/>
        </w:rPr>
        <w:t xml:space="preserve">Expert Group on Soil </w:t>
      </w:r>
      <w:r w:rsidR="00E04213" w:rsidRPr="00F75E84">
        <w:rPr>
          <w:highlight w:val="yellow"/>
          <w:lang w:eastAsia="pt-PT"/>
        </w:rPr>
        <w:t>P</w:t>
      </w:r>
      <w:r w:rsidR="002347CF" w:rsidRPr="00F75E84">
        <w:rPr>
          <w:highlight w:val="yellow"/>
          <w:lang w:eastAsia="pt-PT"/>
        </w:rPr>
        <w:t>rotection</w:t>
      </w:r>
      <w:r w:rsidR="000A368A" w:rsidRPr="00F75E84">
        <w:rPr>
          <w:highlight w:val="yellow"/>
          <w:lang w:eastAsia="pt-PT"/>
        </w:rPr>
        <w:t>.</w:t>
      </w:r>
      <w:r w:rsidR="000A368A">
        <w:rPr>
          <w:lang w:eastAsia="pt-PT"/>
        </w:rPr>
        <w:t xml:space="preserve">  </w:t>
      </w:r>
    </w:p>
    <w:p w14:paraId="34508A62" w14:textId="77777777" w:rsidR="00E20675" w:rsidRDefault="00E20675" w:rsidP="00DA039D">
      <w:pPr>
        <w:rPr>
          <w:lang w:eastAsia="pt-PT"/>
        </w:rPr>
      </w:pPr>
    </w:p>
    <w:p w14:paraId="10D9B170" w14:textId="77777777" w:rsidR="00E20675" w:rsidRPr="00FC3A38" w:rsidRDefault="00E20675" w:rsidP="00DA039D">
      <w:pPr>
        <w:rPr>
          <w:lang w:eastAsia="pt-PT"/>
        </w:rPr>
      </w:pPr>
    </w:p>
    <w:p w14:paraId="0C9BEEC1" w14:textId="77777777" w:rsidR="00AD6A79" w:rsidRDefault="00AD6A79">
      <w:pPr>
        <w:suppressAutoHyphens w:val="0"/>
        <w:jc w:val="left"/>
        <w:rPr>
          <w:rFonts w:cs="Times New Roman"/>
          <w:bCs/>
          <w:color w:val="008173"/>
          <w:sz w:val="28"/>
          <w:szCs w:val="28"/>
          <w:lang w:val="pt-PT"/>
        </w:rPr>
      </w:pPr>
      <w:r>
        <w:rPr>
          <w:lang w:val="pt-PT"/>
        </w:rPr>
        <w:br w:type="page"/>
      </w:r>
    </w:p>
    <w:p w14:paraId="0A78D561" w14:textId="68F964A4" w:rsidR="00DD5AA5" w:rsidRPr="00DA039D" w:rsidRDefault="00DD5AA5" w:rsidP="00DD5AA5">
      <w:pPr>
        <w:pStyle w:val="berschrift1"/>
        <w:numPr>
          <w:ilvl w:val="0"/>
          <w:numId w:val="0"/>
        </w:numPr>
        <w:ind w:left="432" w:hanging="432"/>
        <w:rPr>
          <w:lang w:val="pt-PT"/>
        </w:rPr>
      </w:pPr>
      <w:bookmarkStart w:id="6" w:name="_Toc83997315"/>
      <w:r>
        <w:rPr>
          <w:lang w:val="pt-PT"/>
        </w:rPr>
        <w:lastRenderedPageBreak/>
        <w:t>Abbreviations</w:t>
      </w:r>
      <w:bookmarkEnd w:id="6"/>
    </w:p>
    <w:p w14:paraId="487100E2" w14:textId="77777777" w:rsidR="00CC53C9" w:rsidRDefault="00CC53C9" w:rsidP="008D5F87">
      <w:pPr>
        <w:pStyle w:val="EEAStandardbold"/>
      </w:pPr>
    </w:p>
    <w:p w14:paraId="3F0CC75A" w14:textId="04376D3A" w:rsidR="008B5888" w:rsidRDefault="006A4316" w:rsidP="008D5F87">
      <w:pPr>
        <w:pStyle w:val="EEAStandardbold"/>
      </w:pPr>
      <w:r>
        <w:t>Institutions</w:t>
      </w:r>
    </w:p>
    <w:p w14:paraId="0752C157" w14:textId="77777777" w:rsidR="008B5888" w:rsidRDefault="008B5888" w:rsidP="00DD5AA5">
      <w:pPr>
        <w:rPr>
          <w:lang w:eastAsia="pt-PT"/>
        </w:rPr>
      </w:pPr>
    </w:p>
    <w:tbl>
      <w:tblPr>
        <w:tblW w:w="0" w:type="auto"/>
        <w:tblBorders>
          <w:insideH w:val="single" w:sz="4" w:space="0" w:color="auto"/>
        </w:tblBorders>
        <w:tblLook w:val="04A0" w:firstRow="1" w:lastRow="0" w:firstColumn="1" w:lastColumn="0" w:noHBand="0" w:noVBand="1"/>
      </w:tblPr>
      <w:tblGrid>
        <w:gridCol w:w="1794"/>
        <w:gridCol w:w="7612"/>
      </w:tblGrid>
      <w:tr w:rsidR="00677A16" w14:paraId="06DFD2E5" w14:textId="77777777" w:rsidTr="007666EE">
        <w:tc>
          <w:tcPr>
            <w:tcW w:w="1794" w:type="dxa"/>
          </w:tcPr>
          <w:p w14:paraId="40558967" w14:textId="6227BAC0" w:rsidR="00677A16" w:rsidRDefault="00677A16" w:rsidP="00677A16">
            <w:pPr>
              <w:jc w:val="left"/>
              <w:rPr>
                <w:lang w:eastAsia="pt-PT"/>
              </w:rPr>
            </w:pPr>
            <w:r>
              <w:rPr>
                <w:lang w:eastAsia="pt-PT"/>
              </w:rPr>
              <w:t>EEA</w:t>
            </w:r>
          </w:p>
        </w:tc>
        <w:tc>
          <w:tcPr>
            <w:tcW w:w="7612" w:type="dxa"/>
          </w:tcPr>
          <w:p w14:paraId="2C850A10" w14:textId="48061E77" w:rsidR="00677A16" w:rsidRDefault="00677A16" w:rsidP="00677A16">
            <w:pPr>
              <w:rPr>
                <w:lang w:eastAsia="pt-PT"/>
              </w:rPr>
            </w:pPr>
            <w:r>
              <w:rPr>
                <w:lang w:eastAsia="pt-PT"/>
              </w:rPr>
              <w:t>European Environment Agency</w:t>
            </w:r>
          </w:p>
        </w:tc>
      </w:tr>
      <w:tr w:rsidR="00677A16" w14:paraId="6B0366E6" w14:textId="77777777" w:rsidTr="007666EE">
        <w:tc>
          <w:tcPr>
            <w:tcW w:w="1794" w:type="dxa"/>
          </w:tcPr>
          <w:p w14:paraId="4CD65F5E" w14:textId="45C60841" w:rsidR="00677A16" w:rsidRDefault="00677A16" w:rsidP="00677A16">
            <w:pPr>
              <w:jc w:val="left"/>
              <w:rPr>
                <w:lang w:eastAsia="pt-PT"/>
              </w:rPr>
            </w:pPr>
            <w:r>
              <w:rPr>
                <w:lang w:eastAsia="pt-PT"/>
              </w:rPr>
              <w:t>EC</w:t>
            </w:r>
          </w:p>
        </w:tc>
        <w:tc>
          <w:tcPr>
            <w:tcW w:w="7612" w:type="dxa"/>
          </w:tcPr>
          <w:p w14:paraId="57156653" w14:textId="21D27CAB" w:rsidR="00677A16" w:rsidRDefault="00677A16" w:rsidP="00677A16">
            <w:pPr>
              <w:rPr>
                <w:lang w:eastAsia="pt-PT"/>
              </w:rPr>
            </w:pPr>
            <w:r>
              <w:rPr>
                <w:lang w:eastAsia="pt-PT"/>
              </w:rPr>
              <w:t>European Commission</w:t>
            </w:r>
          </w:p>
        </w:tc>
      </w:tr>
      <w:tr w:rsidR="00677A16" w14:paraId="76142408" w14:textId="77777777" w:rsidTr="007666EE">
        <w:tc>
          <w:tcPr>
            <w:tcW w:w="1794" w:type="dxa"/>
          </w:tcPr>
          <w:p w14:paraId="592ED9F9" w14:textId="77777777" w:rsidR="00677A16" w:rsidRDefault="00677A16" w:rsidP="007666EE">
            <w:pPr>
              <w:jc w:val="left"/>
              <w:rPr>
                <w:lang w:eastAsia="pt-PT"/>
              </w:rPr>
            </w:pPr>
            <w:r>
              <w:rPr>
                <w:lang w:eastAsia="pt-PT"/>
              </w:rPr>
              <w:t>EIONET</w:t>
            </w:r>
          </w:p>
        </w:tc>
        <w:tc>
          <w:tcPr>
            <w:tcW w:w="7612" w:type="dxa"/>
          </w:tcPr>
          <w:p w14:paraId="756D1D90" w14:textId="77777777" w:rsidR="00677A16" w:rsidRDefault="00677A16" w:rsidP="007666EE">
            <w:pPr>
              <w:rPr>
                <w:lang w:eastAsia="pt-PT"/>
              </w:rPr>
            </w:pPr>
            <w:r>
              <w:rPr>
                <w:lang w:eastAsia="pt-PT"/>
              </w:rPr>
              <w:t>European Environment Information and Observation Network</w:t>
            </w:r>
          </w:p>
        </w:tc>
      </w:tr>
      <w:tr w:rsidR="00677A16" w14:paraId="0E7D5C31" w14:textId="77777777" w:rsidTr="00CC53C9">
        <w:tc>
          <w:tcPr>
            <w:tcW w:w="1794" w:type="dxa"/>
          </w:tcPr>
          <w:p w14:paraId="2631F7B5" w14:textId="77777777" w:rsidR="00677A16" w:rsidRDefault="00677A16" w:rsidP="007666EE">
            <w:pPr>
              <w:jc w:val="left"/>
              <w:rPr>
                <w:lang w:eastAsia="pt-PT"/>
              </w:rPr>
            </w:pPr>
            <w:r w:rsidRPr="00E64A10">
              <w:rPr>
                <w:lang w:eastAsia="pt-PT"/>
              </w:rPr>
              <w:t>ETC/ULS</w:t>
            </w:r>
          </w:p>
        </w:tc>
        <w:tc>
          <w:tcPr>
            <w:tcW w:w="7612" w:type="dxa"/>
          </w:tcPr>
          <w:p w14:paraId="65F8A275" w14:textId="77777777" w:rsidR="00677A16" w:rsidRDefault="00677A16" w:rsidP="007666EE">
            <w:pPr>
              <w:rPr>
                <w:lang w:eastAsia="pt-PT"/>
              </w:rPr>
            </w:pPr>
            <w:r w:rsidRPr="00E64A10">
              <w:rPr>
                <w:lang w:eastAsia="pt-PT"/>
              </w:rPr>
              <w:t>European Topic Centre on Urban Land and Soil Systems</w:t>
            </w:r>
          </w:p>
        </w:tc>
      </w:tr>
      <w:tr w:rsidR="00677A16" w:rsidRPr="008B5888" w14:paraId="16A1F8D7" w14:textId="77777777" w:rsidTr="00CC53C9">
        <w:tc>
          <w:tcPr>
            <w:tcW w:w="1794" w:type="dxa"/>
          </w:tcPr>
          <w:p w14:paraId="28529BC7" w14:textId="71E9DB60" w:rsidR="00677A16" w:rsidRPr="008B5888" w:rsidRDefault="00677A16" w:rsidP="00677A16">
            <w:pPr>
              <w:jc w:val="left"/>
              <w:rPr>
                <w:highlight w:val="yellow"/>
                <w:lang w:eastAsia="pt-PT"/>
              </w:rPr>
            </w:pPr>
            <w:r w:rsidRPr="00066534">
              <w:rPr>
                <w:lang w:eastAsia="pt-PT"/>
              </w:rPr>
              <w:t>EUROSTAT</w:t>
            </w:r>
          </w:p>
        </w:tc>
        <w:tc>
          <w:tcPr>
            <w:tcW w:w="7612" w:type="dxa"/>
          </w:tcPr>
          <w:p w14:paraId="042EE8B4" w14:textId="17BE42BF" w:rsidR="00677A16" w:rsidRPr="008B5888" w:rsidRDefault="00066534" w:rsidP="007666EE">
            <w:pPr>
              <w:rPr>
                <w:highlight w:val="yellow"/>
                <w:lang w:eastAsia="pt-PT"/>
              </w:rPr>
            </w:pPr>
            <w:r>
              <w:rPr>
                <w:lang w:eastAsia="pt-PT"/>
              </w:rPr>
              <w:t>S</w:t>
            </w:r>
            <w:r w:rsidRPr="00066534">
              <w:rPr>
                <w:lang w:eastAsia="pt-PT"/>
              </w:rPr>
              <w:t>tatistical office of the European Union.</w:t>
            </w:r>
          </w:p>
        </w:tc>
      </w:tr>
      <w:tr w:rsidR="00677A16" w14:paraId="2F1807FB" w14:textId="77777777" w:rsidTr="00CC53C9">
        <w:tc>
          <w:tcPr>
            <w:tcW w:w="1794" w:type="dxa"/>
          </w:tcPr>
          <w:p w14:paraId="09CA5580" w14:textId="0EEF5372" w:rsidR="00677A16" w:rsidRDefault="00677A16" w:rsidP="00677A16">
            <w:pPr>
              <w:jc w:val="left"/>
              <w:rPr>
                <w:lang w:eastAsia="pt-PT"/>
              </w:rPr>
            </w:pPr>
            <w:r w:rsidRPr="000B42CA">
              <w:rPr>
                <w:lang w:eastAsia="pt-PT"/>
              </w:rPr>
              <w:t>FAO</w:t>
            </w:r>
          </w:p>
        </w:tc>
        <w:tc>
          <w:tcPr>
            <w:tcW w:w="7612" w:type="dxa"/>
          </w:tcPr>
          <w:p w14:paraId="323ED256" w14:textId="4B18F07E" w:rsidR="00677A16" w:rsidRPr="00E8139B" w:rsidRDefault="000B42CA" w:rsidP="000B42CA">
            <w:pPr>
              <w:rPr>
                <w:lang w:eastAsia="pt-PT"/>
              </w:rPr>
            </w:pPr>
            <w:r>
              <w:rPr>
                <w:lang w:eastAsia="pt-PT"/>
              </w:rPr>
              <w:t>Food and Agriculture Organisation of the United Nations</w:t>
            </w:r>
          </w:p>
        </w:tc>
      </w:tr>
      <w:tr w:rsidR="00677A16" w14:paraId="589DCC5D" w14:textId="77777777" w:rsidTr="00CC53C9">
        <w:tc>
          <w:tcPr>
            <w:tcW w:w="1794" w:type="dxa"/>
          </w:tcPr>
          <w:p w14:paraId="64028D81" w14:textId="77777777" w:rsidR="00677A16" w:rsidRDefault="00677A16" w:rsidP="007666EE">
            <w:pPr>
              <w:jc w:val="left"/>
              <w:rPr>
                <w:lang w:eastAsia="pt-PT"/>
              </w:rPr>
            </w:pPr>
            <w:r>
              <w:rPr>
                <w:lang w:eastAsia="pt-PT"/>
              </w:rPr>
              <w:t>IPCC</w:t>
            </w:r>
          </w:p>
        </w:tc>
        <w:tc>
          <w:tcPr>
            <w:tcW w:w="7612" w:type="dxa"/>
          </w:tcPr>
          <w:p w14:paraId="50FB6D52" w14:textId="77777777" w:rsidR="00677A16" w:rsidRPr="002C3700" w:rsidRDefault="00677A16" w:rsidP="007666EE">
            <w:pPr>
              <w:rPr>
                <w:lang w:eastAsia="pt-PT"/>
              </w:rPr>
            </w:pPr>
            <w:r w:rsidRPr="00E8139B">
              <w:rPr>
                <w:lang w:eastAsia="pt-PT"/>
              </w:rPr>
              <w:t>Intergovernmental Panel on Climate Change</w:t>
            </w:r>
          </w:p>
        </w:tc>
      </w:tr>
      <w:tr w:rsidR="00677A16" w14:paraId="781F7050" w14:textId="77777777" w:rsidTr="00CC53C9">
        <w:tc>
          <w:tcPr>
            <w:tcW w:w="1794" w:type="dxa"/>
          </w:tcPr>
          <w:p w14:paraId="3BA825CB" w14:textId="77777777" w:rsidR="00677A16" w:rsidRPr="008B5888" w:rsidRDefault="00677A16" w:rsidP="007666EE">
            <w:pPr>
              <w:jc w:val="left"/>
              <w:rPr>
                <w:highlight w:val="yellow"/>
                <w:lang w:eastAsia="pt-PT"/>
              </w:rPr>
            </w:pPr>
            <w:r w:rsidRPr="00066534">
              <w:rPr>
                <w:lang w:eastAsia="pt-PT"/>
              </w:rPr>
              <w:t>ITPS</w:t>
            </w:r>
          </w:p>
        </w:tc>
        <w:tc>
          <w:tcPr>
            <w:tcW w:w="7612" w:type="dxa"/>
          </w:tcPr>
          <w:p w14:paraId="3CBEA07B" w14:textId="4A7C9714" w:rsidR="00677A16" w:rsidRPr="00E8139B" w:rsidRDefault="00066534" w:rsidP="007666EE">
            <w:pPr>
              <w:rPr>
                <w:lang w:eastAsia="pt-PT"/>
              </w:rPr>
            </w:pPr>
            <w:r w:rsidRPr="00066534">
              <w:rPr>
                <w:lang w:eastAsia="pt-PT"/>
              </w:rPr>
              <w:t>Intergovernmental Technical Panel on Soils</w:t>
            </w:r>
          </w:p>
        </w:tc>
      </w:tr>
      <w:tr w:rsidR="00677A16" w14:paraId="3744FC40" w14:textId="77777777" w:rsidTr="00CC53C9">
        <w:tc>
          <w:tcPr>
            <w:tcW w:w="1794" w:type="dxa"/>
          </w:tcPr>
          <w:p w14:paraId="4A26B8EB" w14:textId="528BF433" w:rsidR="00677A16" w:rsidRPr="008B5888" w:rsidRDefault="00677A16" w:rsidP="007666EE">
            <w:pPr>
              <w:jc w:val="left"/>
              <w:rPr>
                <w:highlight w:val="yellow"/>
                <w:lang w:eastAsia="pt-PT"/>
              </w:rPr>
            </w:pPr>
            <w:r w:rsidRPr="000B42CA">
              <w:rPr>
                <w:lang w:eastAsia="pt-PT"/>
              </w:rPr>
              <w:t>OECD</w:t>
            </w:r>
          </w:p>
        </w:tc>
        <w:tc>
          <w:tcPr>
            <w:tcW w:w="7612" w:type="dxa"/>
          </w:tcPr>
          <w:p w14:paraId="4A90FCF4" w14:textId="44BC28C3" w:rsidR="00677A16" w:rsidRPr="00E8139B" w:rsidRDefault="000B42CA" w:rsidP="007666EE">
            <w:pPr>
              <w:rPr>
                <w:lang w:eastAsia="pt-PT"/>
              </w:rPr>
            </w:pPr>
            <w:r w:rsidRPr="000B42CA">
              <w:rPr>
                <w:lang w:eastAsia="pt-PT"/>
              </w:rPr>
              <w:t>Organisation for Economic Co-operation and Development</w:t>
            </w:r>
          </w:p>
        </w:tc>
      </w:tr>
      <w:tr w:rsidR="00677A16" w14:paraId="4E3A6527" w14:textId="77777777" w:rsidTr="00CC53C9">
        <w:tc>
          <w:tcPr>
            <w:tcW w:w="1794" w:type="dxa"/>
          </w:tcPr>
          <w:p w14:paraId="32F2B7A7" w14:textId="4AF9693E" w:rsidR="00677A16" w:rsidRPr="000B42CA" w:rsidRDefault="00677A16" w:rsidP="007666EE">
            <w:pPr>
              <w:jc w:val="left"/>
              <w:rPr>
                <w:lang w:eastAsia="pt-PT"/>
              </w:rPr>
            </w:pPr>
            <w:r w:rsidRPr="000B42CA">
              <w:rPr>
                <w:lang w:eastAsia="pt-PT"/>
              </w:rPr>
              <w:t>UN</w:t>
            </w:r>
          </w:p>
        </w:tc>
        <w:tc>
          <w:tcPr>
            <w:tcW w:w="7612" w:type="dxa"/>
          </w:tcPr>
          <w:p w14:paraId="247C439B" w14:textId="0E136B0D" w:rsidR="00677A16" w:rsidRPr="00E8139B" w:rsidRDefault="000B42CA" w:rsidP="007666EE">
            <w:pPr>
              <w:rPr>
                <w:lang w:eastAsia="pt-PT"/>
              </w:rPr>
            </w:pPr>
            <w:r w:rsidRPr="000B42CA">
              <w:rPr>
                <w:lang w:eastAsia="pt-PT"/>
              </w:rPr>
              <w:t>United Nations</w:t>
            </w:r>
          </w:p>
        </w:tc>
      </w:tr>
      <w:tr w:rsidR="00677A16" w14:paraId="6FA6A04C" w14:textId="77777777" w:rsidTr="00CC53C9">
        <w:tc>
          <w:tcPr>
            <w:tcW w:w="1794" w:type="dxa"/>
          </w:tcPr>
          <w:p w14:paraId="49C56CEE" w14:textId="26B08C1E" w:rsidR="00677A16" w:rsidRPr="008B5888" w:rsidRDefault="00677A16" w:rsidP="00677A16">
            <w:pPr>
              <w:jc w:val="left"/>
              <w:rPr>
                <w:highlight w:val="yellow"/>
                <w:lang w:eastAsia="pt-PT"/>
              </w:rPr>
            </w:pPr>
            <w:r w:rsidRPr="00066534">
              <w:rPr>
                <w:lang w:eastAsia="pt-PT"/>
              </w:rPr>
              <w:t>UNFCCC</w:t>
            </w:r>
          </w:p>
        </w:tc>
        <w:tc>
          <w:tcPr>
            <w:tcW w:w="7612" w:type="dxa"/>
          </w:tcPr>
          <w:p w14:paraId="35F0BD9A" w14:textId="0A30B242" w:rsidR="00677A16" w:rsidRPr="00E8139B" w:rsidRDefault="007666EE" w:rsidP="007666EE">
            <w:pPr>
              <w:rPr>
                <w:lang w:eastAsia="pt-PT"/>
              </w:rPr>
            </w:pPr>
            <w:r w:rsidRPr="007666EE">
              <w:rPr>
                <w:lang w:eastAsia="pt-PT"/>
              </w:rPr>
              <w:t>United Nations Framework Convention on Climate Change</w:t>
            </w:r>
          </w:p>
        </w:tc>
      </w:tr>
      <w:tr w:rsidR="00677A16" w14:paraId="285AD99C" w14:textId="77777777" w:rsidTr="00CC53C9">
        <w:tc>
          <w:tcPr>
            <w:tcW w:w="1794" w:type="dxa"/>
          </w:tcPr>
          <w:p w14:paraId="63FA3666" w14:textId="45F8133A" w:rsidR="00677A16" w:rsidRPr="008B5888" w:rsidRDefault="00677A16" w:rsidP="007666EE">
            <w:pPr>
              <w:jc w:val="left"/>
              <w:rPr>
                <w:highlight w:val="yellow"/>
                <w:lang w:eastAsia="pt-PT"/>
              </w:rPr>
            </w:pPr>
            <w:r w:rsidRPr="000B42CA">
              <w:rPr>
                <w:lang w:eastAsia="pt-PT"/>
              </w:rPr>
              <w:t>UNCCD</w:t>
            </w:r>
          </w:p>
        </w:tc>
        <w:tc>
          <w:tcPr>
            <w:tcW w:w="7612" w:type="dxa"/>
          </w:tcPr>
          <w:p w14:paraId="1105D8CD" w14:textId="22CB1AF4" w:rsidR="00677A16" w:rsidRPr="00E8139B" w:rsidRDefault="000B42CA" w:rsidP="007666EE">
            <w:pPr>
              <w:rPr>
                <w:lang w:eastAsia="pt-PT"/>
              </w:rPr>
            </w:pPr>
            <w:r w:rsidRPr="000B42CA">
              <w:rPr>
                <w:lang w:eastAsia="pt-PT"/>
              </w:rPr>
              <w:t xml:space="preserve">The United Nations Convention </w:t>
            </w:r>
            <w:r>
              <w:rPr>
                <w:lang w:eastAsia="pt-PT"/>
              </w:rPr>
              <w:t>to Combat Desertification</w:t>
            </w:r>
          </w:p>
        </w:tc>
      </w:tr>
      <w:tr w:rsidR="00066534" w14:paraId="39B2AA09" w14:textId="77777777" w:rsidTr="00CC53C9">
        <w:tc>
          <w:tcPr>
            <w:tcW w:w="1794" w:type="dxa"/>
          </w:tcPr>
          <w:p w14:paraId="01B2B11A" w14:textId="77777777" w:rsidR="00066534" w:rsidRDefault="00066534" w:rsidP="00066534">
            <w:pPr>
              <w:jc w:val="left"/>
              <w:rPr>
                <w:lang w:eastAsia="pt-PT"/>
              </w:rPr>
            </w:pPr>
            <w:r>
              <w:rPr>
                <w:lang w:eastAsia="pt-PT"/>
              </w:rPr>
              <w:t>WHO</w:t>
            </w:r>
          </w:p>
        </w:tc>
        <w:tc>
          <w:tcPr>
            <w:tcW w:w="7612" w:type="dxa"/>
          </w:tcPr>
          <w:p w14:paraId="3F40F2E2" w14:textId="77777777" w:rsidR="00066534" w:rsidRDefault="00066534" w:rsidP="003E7E6E">
            <w:pPr>
              <w:rPr>
                <w:lang w:eastAsia="pt-PT"/>
              </w:rPr>
            </w:pPr>
            <w:r>
              <w:rPr>
                <w:lang w:eastAsia="pt-PT"/>
              </w:rPr>
              <w:t>World Health Organization</w:t>
            </w:r>
          </w:p>
        </w:tc>
      </w:tr>
    </w:tbl>
    <w:p w14:paraId="6D8D1DA7" w14:textId="420A8BE4" w:rsidR="00677A16" w:rsidRDefault="00677A16" w:rsidP="00677A16">
      <w:pPr>
        <w:rPr>
          <w:lang w:eastAsia="pt-PT"/>
        </w:rPr>
      </w:pPr>
    </w:p>
    <w:p w14:paraId="06C7B58C" w14:textId="6BC20565" w:rsidR="008B5888" w:rsidRDefault="008B5888" w:rsidP="008D5F87">
      <w:pPr>
        <w:pStyle w:val="EEAStandardbold"/>
      </w:pPr>
      <w:r>
        <w:t>Other abbreviations</w:t>
      </w:r>
    </w:p>
    <w:p w14:paraId="533F83C4" w14:textId="77777777" w:rsidR="00011F24" w:rsidRDefault="00011F24" w:rsidP="008B5888"/>
    <w:tbl>
      <w:tblPr>
        <w:tblW w:w="0" w:type="auto"/>
        <w:tblBorders>
          <w:insideH w:val="single" w:sz="4" w:space="0" w:color="auto"/>
        </w:tblBorders>
        <w:tblLook w:val="04A0" w:firstRow="1" w:lastRow="0" w:firstColumn="1" w:lastColumn="0" w:noHBand="0" w:noVBand="1"/>
      </w:tblPr>
      <w:tblGrid>
        <w:gridCol w:w="1794"/>
        <w:gridCol w:w="7612"/>
      </w:tblGrid>
      <w:tr w:rsidR="008B5888" w14:paraId="4BA4C736" w14:textId="77777777" w:rsidTr="007666EE">
        <w:tc>
          <w:tcPr>
            <w:tcW w:w="1794" w:type="dxa"/>
          </w:tcPr>
          <w:p w14:paraId="41E06736" w14:textId="4379471D" w:rsidR="008B5888" w:rsidRDefault="008D10A4" w:rsidP="007666EE">
            <w:pPr>
              <w:rPr>
                <w:lang w:eastAsia="pt-PT"/>
              </w:rPr>
            </w:pPr>
            <w:r>
              <w:rPr>
                <w:lang w:eastAsia="pt-PT"/>
              </w:rPr>
              <w:t>1OAO</w:t>
            </w:r>
          </w:p>
        </w:tc>
        <w:tc>
          <w:tcPr>
            <w:tcW w:w="7612" w:type="dxa"/>
          </w:tcPr>
          <w:p w14:paraId="58E45BDB" w14:textId="65F2932B" w:rsidR="008B5888" w:rsidRDefault="008D10A4" w:rsidP="007666EE">
            <w:pPr>
              <w:rPr>
                <w:lang w:eastAsia="pt-PT"/>
              </w:rPr>
            </w:pPr>
            <w:r>
              <w:rPr>
                <w:lang w:eastAsia="pt-PT"/>
              </w:rPr>
              <w:t>One out all out principle</w:t>
            </w:r>
          </w:p>
        </w:tc>
      </w:tr>
      <w:tr w:rsidR="008B5888" w14:paraId="20102245" w14:textId="77777777" w:rsidTr="007666EE">
        <w:tc>
          <w:tcPr>
            <w:tcW w:w="1794" w:type="dxa"/>
          </w:tcPr>
          <w:p w14:paraId="0B7B369E" w14:textId="77777777" w:rsidR="008B5888" w:rsidRDefault="008B5888" w:rsidP="007666EE">
            <w:pPr>
              <w:rPr>
                <w:lang w:eastAsia="pt-PT"/>
              </w:rPr>
            </w:pPr>
            <w:r>
              <w:rPr>
                <w:lang w:eastAsia="pt-PT"/>
              </w:rPr>
              <w:t>ADI</w:t>
            </w:r>
          </w:p>
        </w:tc>
        <w:tc>
          <w:tcPr>
            <w:tcW w:w="7612" w:type="dxa"/>
          </w:tcPr>
          <w:p w14:paraId="10EAF044" w14:textId="77777777" w:rsidR="008B5888" w:rsidRDefault="008B5888" w:rsidP="007666EE">
            <w:pPr>
              <w:rPr>
                <w:lang w:eastAsia="pt-PT"/>
              </w:rPr>
            </w:pPr>
            <w:r>
              <w:rPr>
                <w:lang w:eastAsia="pt-PT"/>
              </w:rPr>
              <w:t>Acceptable daily intake</w:t>
            </w:r>
          </w:p>
        </w:tc>
      </w:tr>
      <w:tr w:rsidR="008B5888" w14:paraId="3C36769F" w14:textId="77777777" w:rsidTr="007666EE">
        <w:tc>
          <w:tcPr>
            <w:tcW w:w="1794" w:type="dxa"/>
          </w:tcPr>
          <w:p w14:paraId="25FF6212" w14:textId="77777777" w:rsidR="008B5888" w:rsidRDefault="008B5888" w:rsidP="007666EE">
            <w:pPr>
              <w:rPr>
                <w:lang w:eastAsia="pt-PT"/>
              </w:rPr>
            </w:pPr>
            <w:r>
              <w:rPr>
                <w:lang w:eastAsia="pt-PT"/>
              </w:rPr>
              <w:t>AEI</w:t>
            </w:r>
          </w:p>
        </w:tc>
        <w:tc>
          <w:tcPr>
            <w:tcW w:w="7612" w:type="dxa"/>
          </w:tcPr>
          <w:p w14:paraId="51621E6F" w14:textId="77777777" w:rsidR="008B5888" w:rsidRDefault="008B5888" w:rsidP="007666EE">
            <w:pPr>
              <w:rPr>
                <w:lang w:eastAsia="pt-PT"/>
              </w:rPr>
            </w:pPr>
            <w:r>
              <w:rPr>
                <w:lang w:eastAsia="pt-PT"/>
              </w:rPr>
              <w:t>Agri Environmental Indicator</w:t>
            </w:r>
          </w:p>
        </w:tc>
      </w:tr>
      <w:tr w:rsidR="008B5888" w14:paraId="64ED7DC6" w14:textId="77777777" w:rsidTr="007666EE">
        <w:tc>
          <w:tcPr>
            <w:tcW w:w="1794" w:type="dxa"/>
          </w:tcPr>
          <w:p w14:paraId="107173A0" w14:textId="0697B8F6" w:rsidR="008B5888" w:rsidRDefault="00E57292" w:rsidP="007666EE">
            <w:pPr>
              <w:jc w:val="left"/>
              <w:rPr>
                <w:lang w:eastAsia="pt-PT"/>
              </w:rPr>
            </w:pPr>
            <w:r>
              <w:rPr>
                <w:lang w:eastAsia="pt-PT"/>
              </w:rPr>
              <w:t>ASC</w:t>
            </w:r>
          </w:p>
        </w:tc>
        <w:tc>
          <w:tcPr>
            <w:tcW w:w="7612" w:type="dxa"/>
          </w:tcPr>
          <w:p w14:paraId="6B6D8E00" w14:textId="3CB50058" w:rsidR="008B5888" w:rsidRPr="002C3700" w:rsidRDefault="00E57292" w:rsidP="00E57292">
            <w:pPr>
              <w:rPr>
                <w:lang w:eastAsia="pt-PT"/>
              </w:rPr>
            </w:pPr>
            <w:r>
              <w:rPr>
                <w:lang w:eastAsia="pt-PT"/>
              </w:rPr>
              <w:t>achievable soil organic carbon sequestration</w:t>
            </w:r>
          </w:p>
        </w:tc>
      </w:tr>
      <w:tr w:rsidR="008D5F87" w14:paraId="63357D1F" w14:textId="77777777" w:rsidTr="007666EE">
        <w:tc>
          <w:tcPr>
            <w:tcW w:w="1794" w:type="dxa"/>
          </w:tcPr>
          <w:p w14:paraId="6AF7C506" w14:textId="5B8D0CE6" w:rsidR="008D5F87" w:rsidRPr="00E57292" w:rsidRDefault="008D5F87" w:rsidP="007666EE">
            <w:pPr>
              <w:jc w:val="left"/>
              <w:rPr>
                <w:lang w:eastAsia="pt-PT"/>
              </w:rPr>
            </w:pPr>
            <w:r>
              <w:rPr>
                <w:lang w:eastAsia="pt-PT"/>
              </w:rPr>
              <w:t>ATSDR</w:t>
            </w:r>
          </w:p>
        </w:tc>
        <w:tc>
          <w:tcPr>
            <w:tcW w:w="7612" w:type="dxa"/>
          </w:tcPr>
          <w:p w14:paraId="3E4E76EF" w14:textId="4BAB283A" w:rsidR="008D5F87" w:rsidRPr="00E57292" w:rsidRDefault="008D5F87" w:rsidP="007666EE">
            <w:pPr>
              <w:rPr>
                <w:lang w:eastAsia="pt-PT"/>
              </w:rPr>
            </w:pPr>
            <w:r w:rsidRPr="008D5F87">
              <w:t>United States Agency for Toxic Subst</w:t>
            </w:r>
            <w:r>
              <w:t>ances and Disease Registry</w:t>
            </w:r>
          </w:p>
        </w:tc>
      </w:tr>
      <w:tr w:rsidR="00E57292" w14:paraId="6189A85E" w14:textId="77777777" w:rsidTr="007666EE">
        <w:tc>
          <w:tcPr>
            <w:tcW w:w="1794" w:type="dxa"/>
          </w:tcPr>
          <w:p w14:paraId="204ADD2E" w14:textId="1A72195E" w:rsidR="00E57292" w:rsidRPr="00E57292" w:rsidRDefault="00E57292" w:rsidP="007666EE">
            <w:pPr>
              <w:jc w:val="left"/>
              <w:rPr>
                <w:lang w:eastAsia="pt-PT"/>
              </w:rPr>
            </w:pPr>
            <w:r w:rsidRPr="00E57292">
              <w:rPr>
                <w:lang w:eastAsia="pt-PT"/>
              </w:rPr>
              <w:t>BAU</w:t>
            </w:r>
          </w:p>
        </w:tc>
        <w:tc>
          <w:tcPr>
            <w:tcW w:w="7612" w:type="dxa"/>
          </w:tcPr>
          <w:p w14:paraId="7314017A" w14:textId="05875C42" w:rsidR="00E57292" w:rsidRPr="002C3700" w:rsidRDefault="00E57292" w:rsidP="007666EE">
            <w:pPr>
              <w:rPr>
                <w:lang w:eastAsia="pt-PT"/>
              </w:rPr>
            </w:pPr>
            <w:r w:rsidRPr="00E57292">
              <w:rPr>
                <w:lang w:eastAsia="pt-PT"/>
              </w:rPr>
              <w:t>Business as usual</w:t>
            </w:r>
          </w:p>
        </w:tc>
      </w:tr>
      <w:tr w:rsidR="008B5888" w14:paraId="641E1267" w14:textId="77777777" w:rsidTr="007666EE">
        <w:tc>
          <w:tcPr>
            <w:tcW w:w="1794" w:type="dxa"/>
          </w:tcPr>
          <w:p w14:paraId="05FF04CD" w14:textId="77777777" w:rsidR="008B5888" w:rsidRDefault="008B5888" w:rsidP="007666EE">
            <w:pPr>
              <w:jc w:val="left"/>
              <w:rPr>
                <w:lang w:eastAsia="pt-PT"/>
              </w:rPr>
            </w:pPr>
            <w:r>
              <w:rPr>
                <w:lang w:eastAsia="pt-PT"/>
              </w:rPr>
              <w:t>CAP</w:t>
            </w:r>
          </w:p>
        </w:tc>
        <w:tc>
          <w:tcPr>
            <w:tcW w:w="7612" w:type="dxa"/>
          </w:tcPr>
          <w:p w14:paraId="2367E738" w14:textId="77777777" w:rsidR="008B5888" w:rsidRDefault="008B5888" w:rsidP="007666EE">
            <w:pPr>
              <w:rPr>
                <w:lang w:eastAsia="pt-PT"/>
              </w:rPr>
            </w:pPr>
            <w:r w:rsidRPr="002C3700">
              <w:rPr>
                <w:lang w:eastAsia="pt-PT"/>
              </w:rPr>
              <w:t>Common Agricultural Policy Regulation</w:t>
            </w:r>
          </w:p>
        </w:tc>
      </w:tr>
      <w:tr w:rsidR="008B5888" w14:paraId="160E83F4" w14:textId="77777777" w:rsidTr="007666EE">
        <w:tc>
          <w:tcPr>
            <w:tcW w:w="1794" w:type="dxa"/>
          </w:tcPr>
          <w:p w14:paraId="70B4E90F" w14:textId="77777777" w:rsidR="008B5888" w:rsidRDefault="008B5888" w:rsidP="007666EE">
            <w:pPr>
              <w:jc w:val="left"/>
              <w:rPr>
                <w:lang w:eastAsia="pt-PT"/>
              </w:rPr>
            </w:pPr>
            <w:r>
              <w:rPr>
                <w:lang w:eastAsia="pt-PT"/>
              </w:rPr>
              <w:t>Db</w:t>
            </w:r>
          </w:p>
        </w:tc>
        <w:tc>
          <w:tcPr>
            <w:tcW w:w="7612" w:type="dxa"/>
          </w:tcPr>
          <w:p w14:paraId="675DD703" w14:textId="77777777" w:rsidR="008B5888" w:rsidRDefault="008B5888" w:rsidP="007666EE">
            <w:pPr>
              <w:rPr>
                <w:lang w:eastAsia="pt-PT"/>
              </w:rPr>
            </w:pPr>
            <w:r>
              <w:rPr>
                <w:lang w:eastAsia="pt-PT"/>
              </w:rPr>
              <w:t>Bulk density</w:t>
            </w:r>
          </w:p>
        </w:tc>
      </w:tr>
      <w:tr w:rsidR="008D5F87" w14:paraId="08AE96B2" w14:textId="77777777" w:rsidTr="007666EE">
        <w:tc>
          <w:tcPr>
            <w:tcW w:w="1794" w:type="dxa"/>
          </w:tcPr>
          <w:p w14:paraId="5B2ADE25" w14:textId="0E71B06F" w:rsidR="008D5F87" w:rsidRDefault="008D5F87" w:rsidP="007666EE">
            <w:pPr>
              <w:jc w:val="left"/>
              <w:rPr>
                <w:lang w:eastAsia="pt-PT"/>
              </w:rPr>
            </w:pPr>
            <w:r>
              <w:rPr>
                <w:lang w:eastAsia="pt-PT"/>
              </w:rPr>
              <w:t>DoE</w:t>
            </w:r>
          </w:p>
        </w:tc>
        <w:tc>
          <w:tcPr>
            <w:tcW w:w="7612" w:type="dxa"/>
          </w:tcPr>
          <w:p w14:paraId="16990DAE" w14:textId="5A6B74AA" w:rsidR="008D5F87" w:rsidRPr="00451014" w:rsidRDefault="008D5F87" w:rsidP="007666EE">
            <w:pPr>
              <w:rPr>
                <w:lang w:eastAsia="pt-PT"/>
              </w:rPr>
            </w:pPr>
            <w:r w:rsidRPr="008D5F87">
              <w:t xml:space="preserve">United </w:t>
            </w:r>
            <w:r>
              <w:t>States Department of Energy</w:t>
            </w:r>
          </w:p>
        </w:tc>
      </w:tr>
      <w:tr w:rsidR="00451014" w14:paraId="30AB6C17" w14:textId="77777777" w:rsidTr="007666EE">
        <w:tc>
          <w:tcPr>
            <w:tcW w:w="1794" w:type="dxa"/>
          </w:tcPr>
          <w:p w14:paraId="09502244" w14:textId="35F3A767" w:rsidR="00451014" w:rsidRDefault="00451014" w:rsidP="007666EE">
            <w:pPr>
              <w:jc w:val="left"/>
              <w:rPr>
                <w:lang w:eastAsia="pt-PT"/>
              </w:rPr>
            </w:pPr>
            <w:r>
              <w:rPr>
                <w:lang w:eastAsia="pt-PT"/>
              </w:rPr>
              <w:t>EAP</w:t>
            </w:r>
          </w:p>
        </w:tc>
        <w:tc>
          <w:tcPr>
            <w:tcW w:w="7612" w:type="dxa"/>
          </w:tcPr>
          <w:p w14:paraId="623F479E" w14:textId="3398ED09" w:rsidR="00451014" w:rsidRDefault="00451014" w:rsidP="007666EE">
            <w:pPr>
              <w:rPr>
                <w:lang w:eastAsia="pt-PT"/>
              </w:rPr>
            </w:pPr>
            <w:r w:rsidRPr="00451014">
              <w:rPr>
                <w:lang w:eastAsia="pt-PT"/>
              </w:rPr>
              <w:t>Environment Action Programme</w:t>
            </w:r>
          </w:p>
        </w:tc>
      </w:tr>
      <w:tr w:rsidR="008B5888" w14:paraId="284E5F16" w14:textId="77777777" w:rsidTr="007666EE">
        <w:tc>
          <w:tcPr>
            <w:tcW w:w="1794" w:type="dxa"/>
          </w:tcPr>
          <w:p w14:paraId="45E8F6C4" w14:textId="77777777" w:rsidR="008B5888" w:rsidRDefault="008B5888" w:rsidP="007666EE">
            <w:pPr>
              <w:jc w:val="left"/>
              <w:rPr>
                <w:lang w:eastAsia="pt-PT"/>
              </w:rPr>
            </w:pPr>
            <w:r>
              <w:rPr>
                <w:lang w:eastAsia="pt-PT"/>
              </w:rPr>
              <w:t>ENVASSO</w:t>
            </w:r>
          </w:p>
        </w:tc>
        <w:tc>
          <w:tcPr>
            <w:tcW w:w="7612" w:type="dxa"/>
          </w:tcPr>
          <w:p w14:paraId="154F8FDA" w14:textId="77777777" w:rsidR="008B5888" w:rsidRDefault="008B5888" w:rsidP="007666EE">
            <w:pPr>
              <w:rPr>
                <w:lang w:eastAsia="pt-PT"/>
              </w:rPr>
            </w:pPr>
            <w:r>
              <w:rPr>
                <w:lang w:eastAsia="pt-PT"/>
              </w:rPr>
              <w:t>Environmental assessment of soil for monitoring (research project)</w:t>
            </w:r>
          </w:p>
        </w:tc>
      </w:tr>
      <w:tr w:rsidR="008B5888" w14:paraId="7EA34840" w14:textId="77777777" w:rsidTr="007666EE">
        <w:tc>
          <w:tcPr>
            <w:tcW w:w="1794" w:type="dxa"/>
          </w:tcPr>
          <w:p w14:paraId="61A28E01" w14:textId="77777777" w:rsidR="008B5888" w:rsidRDefault="008B5888" w:rsidP="007666EE">
            <w:pPr>
              <w:rPr>
                <w:lang w:eastAsia="pt-PT"/>
              </w:rPr>
            </w:pPr>
            <w:r>
              <w:rPr>
                <w:lang w:eastAsia="pt-PT"/>
              </w:rPr>
              <w:t>F2F</w:t>
            </w:r>
          </w:p>
        </w:tc>
        <w:tc>
          <w:tcPr>
            <w:tcW w:w="7612" w:type="dxa"/>
          </w:tcPr>
          <w:p w14:paraId="342EB35A" w14:textId="77777777" w:rsidR="008B5888" w:rsidRPr="002C3700" w:rsidRDefault="008B5888" w:rsidP="007666EE">
            <w:pPr>
              <w:rPr>
                <w:lang w:eastAsia="pt-PT"/>
              </w:rPr>
            </w:pPr>
            <w:r>
              <w:rPr>
                <w:lang w:eastAsia="pt-PT"/>
              </w:rPr>
              <w:t>Farm to Fork Strategy</w:t>
            </w:r>
          </w:p>
        </w:tc>
      </w:tr>
      <w:tr w:rsidR="008B5888" w14:paraId="4BB8DD6E" w14:textId="77777777" w:rsidTr="007666EE">
        <w:tc>
          <w:tcPr>
            <w:tcW w:w="1794" w:type="dxa"/>
          </w:tcPr>
          <w:p w14:paraId="5917C72B" w14:textId="77777777" w:rsidR="008B5888" w:rsidRDefault="008B5888" w:rsidP="007666EE">
            <w:pPr>
              <w:rPr>
                <w:lang w:eastAsia="pt-PT"/>
              </w:rPr>
            </w:pPr>
            <w:r>
              <w:rPr>
                <w:lang w:eastAsia="pt-PT"/>
              </w:rPr>
              <w:t>GAEC</w:t>
            </w:r>
          </w:p>
        </w:tc>
        <w:tc>
          <w:tcPr>
            <w:tcW w:w="7612" w:type="dxa"/>
          </w:tcPr>
          <w:p w14:paraId="0040A9A5" w14:textId="77777777" w:rsidR="008B5888" w:rsidRDefault="008B5888" w:rsidP="007666EE">
            <w:pPr>
              <w:rPr>
                <w:lang w:eastAsia="pt-PT"/>
              </w:rPr>
            </w:pPr>
            <w:r w:rsidRPr="002C3700">
              <w:rPr>
                <w:lang w:eastAsia="pt-PT"/>
              </w:rPr>
              <w:t xml:space="preserve">Good </w:t>
            </w:r>
            <w:r>
              <w:rPr>
                <w:lang w:eastAsia="pt-PT"/>
              </w:rPr>
              <w:t>a</w:t>
            </w:r>
            <w:r w:rsidRPr="002C3700">
              <w:rPr>
                <w:lang w:eastAsia="pt-PT"/>
              </w:rPr>
              <w:t xml:space="preserve">gricultural and </w:t>
            </w:r>
            <w:r>
              <w:rPr>
                <w:lang w:eastAsia="pt-PT"/>
              </w:rPr>
              <w:t>e</w:t>
            </w:r>
            <w:r w:rsidRPr="002C3700">
              <w:rPr>
                <w:lang w:eastAsia="pt-PT"/>
              </w:rPr>
              <w:t>nvir</w:t>
            </w:r>
            <w:r>
              <w:rPr>
                <w:lang w:eastAsia="pt-PT"/>
              </w:rPr>
              <w:t>onmental condition of land</w:t>
            </w:r>
          </w:p>
        </w:tc>
      </w:tr>
      <w:tr w:rsidR="00903438" w14:paraId="4F58FEB6" w14:textId="77777777" w:rsidTr="007666EE">
        <w:tc>
          <w:tcPr>
            <w:tcW w:w="1794" w:type="dxa"/>
          </w:tcPr>
          <w:p w14:paraId="1F546A2C" w14:textId="71809738" w:rsidR="00903438" w:rsidRDefault="00903438" w:rsidP="007666EE">
            <w:pPr>
              <w:rPr>
                <w:lang w:eastAsia="pt-PT"/>
              </w:rPr>
            </w:pPr>
            <w:r>
              <w:rPr>
                <w:lang w:eastAsia="pt-PT"/>
              </w:rPr>
              <w:t>GLASOD</w:t>
            </w:r>
          </w:p>
        </w:tc>
        <w:tc>
          <w:tcPr>
            <w:tcW w:w="7612" w:type="dxa"/>
          </w:tcPr>
          <w:p w14:paraId="0479CA78" w14:textId="338C8CF8" w:rsidR="00903438" w:rsidRPr="00FC05FC" w:rsidRDefault="00903438" w:rsidP="007666EE">
            <w:pPr>
              <w:rPr>
                <w:lang w:eastAsia="pt-PT"/>
              </w:rPr>
            </w:pPr>
            <w:r w:rsidRPr="00FC05FC">
              <w:rPr>
                <w:lang w:eastAsia="pt-PT"/>
              </w:rPr>
              <w:t>G</w:t>
            </w:r>
            <w:r w:rsidR="00FC05FC">
              <w:rPr>
                <w:lang w:eastAsia="pt-PT"/>
              </w:rPr>
              <w:t>l</w:t>
            </w:r>
            <w:r w:rsidRPr="00FC05FC">
              <w:rPr>
                <w:lang w:eastAsia="pt-PT"/>
              </w:rPr>
              <w:t>obal A</w:t>
            </w:r>
            <w:r w:rsidR="00FC05FC">
              <w:rPr>
                <w:lang w:eastAsia="pt-PT"/>
              </w:rPr>
              <w:t>s</w:t>
            </w:r>
            <w:r w:rsidRPr="00FC05FC">
              <w:rPr>
                <w:lang w:eastAsia="pt-PT"/>
              </w:rPr>
              <w:t xml:space="preserve">sessment of </w:t>
            </w:r>
            <w:r w:rsidR="00FC05FC">
              <w:rPr>
                <w:lang w:eastAsia="pt-PT"/>
              </w:rPr>
              <w:t>H</w:t>
            </w:r>
            <w:r w:rsidRPr="00FC05FC">
              <w:rPr>
                <w:lang w:eastAsia="pt-PT"/>
              </w:rPr>
              <w:t xml:space="preserve">uman </w:t>
            </w:r>
            <w:r w:rsidR="00FC05FC">
              <w:rPr>
                <w:lang w:eastAsia="pt-PT"/>
              </w:rPr>
              <w:t>I</w:t>
            </w:r>
            <w:r w:rsidRPr="00FC05FC">
              <w:rPr>
                <w:lang w:eastAsia="pt-PT"/>
              </w:rPr>
              <w:t>nduced S</w:t>
            </w:r>
            <w:r w:rsidR="00FC05FC">
              <w:rPr>
                <w:lang w:eastAsia="pt-PT"/>
              </w:rPr>
              <w:t>o</w:t>
            </w:r>
            <w:r w:rsidRPr="00FC05FC">
              <w:rPr>
                <w:lang w:eastAsia="pt-PT"/>
              </w:rPr>
              <w:t>il Degradation</w:t>
            </w:r>
          </w:p>
        </w:tc>
      </w:tr>
      <w:tr w:rsidR="008B5888" w14:paraId="0E57E4AB" w14:textId="77777777" w:rsidTr="007666EE">
        <w:tc>
          <w:tcPr>
            <w:tcW w:w="1794" w:type="dxa"/>
          </w:tcPr>
          <w:p w14:paraId="0E13B189" w14:textId="77777777" w:rsidR="008B5888" w:rsidRDefault="008B5888" w:rsidP="007666EE">
            <w:pPr>
              <w:rPr>
                <w:lang w:eastAsia="pt-PT"/>
              </w:rPr>
            </w:pPr>
            <w:r>
              <w:rPr>
                <w:lang w:eastAsia="pt-PT"/>
              </w:rPr>
              <w:t>K</w:t>
            </w:r>
            <w:r w:rsidRPr="00200463">
              <w:rPr>
                <w:vertAlign w:val="subscript"/>
                <w:lang w:eastAsia="pt-PT"/>
              </w:rPr>
              <w:t>sat</w:t>
            </w:r>
          </w:p>
        </w:tc>
        <w:tc>
          <w:tcPr>
            <w:tcW w:w="7612" w:type="dxa"/>
          </w:tcPr>
          <w:p w14:paraId="248E9E34" w14:textId="77777777" w:rsidR="008B5888" w:rsidRDefault="008B5888" w:rsidP="007666EE">
            <w:pPr>
              <w:rPr>
                <w:lang w:eastAsia="pt-PT"/>
              </w:rPr>
            </w:pPr>
            <w:r>
              <w:rPr>
                <w:lang w:eastAsia="pt-PT"/>
              </w:rPr>
              <w:t>Saturated water conductivity</w:t>
            </w:r>
          </w:p>
        </w:tc>
      </w:tr>
      <w:tr w:rsidR="008D5F87" w14:paraId="1DB31D68" w14:textId="77777777" w:rsidTr="007666EE">
        <w:tc>
          <w:tcPr>
            <w:tcW w:w="1794" w:type="dxa"/>
          </w:tcPr>
          <w:p w14:paraId="3F6B5CB6" w14:textId="6000B8D8" w:rsidR="008D5F87" w:rsidRDefault="008D5F87" w:rsidP="007666EE">
            <w:pPr>
              <w:rPr>
                <w:lang w:eastAsia="pt-PT"/>
              </w:rPr>
            </w:pPr>
            <w:r>
              <w:rPr>
                <w:lang w:eastAsia="pt-PT"/>
              </w:rPr>
              <w:t>IARC</w:t>
            </w:r>
          </w:p>
        </w:tc>
        <w:tc>
          <w:tcPr>
            <w:tcW w:w="7612" w:type="dxa"/>
          </w:tcPr>
          <w:p w14:paraId="14D07F5F" w14:textId="6682828E" w:rsidR="008D5F87" w:rsidRDefault="008D5F87" w:rsidP="007666EE">
            <w:pPr>
              <w:rPr>
                <w:lang w:eastAsia="pt-PT"/>
              </w:rPr>
            </w:pPr>
            <w:r w:rsidRPr="008D5F87">
              <w:t>International Agency for Research on Cancer</w:t>
            </w:r>
          </w:p>
        </w:tc>
      </w:tr>
      <w:tr w:rsidR="008D5F87" w14:paraId="7F4530B5" w14:textId="77777777" w:rsidTr="007666EE">
        <w:tc>
          <w:tcPr>
            <w:tcW w:w="1794" w:type="dxa"/>
          </w:tcPr>
          <w:p w14:paraId="3F74D46B" w14:textId="4C013B56" w:rsidR="008D5F87" w:rsidRDefault="008D5F87" w:rsidP="007666EE">
            <w:pPr>
              <w:rPr>
                <w:lang w:eastAsia="pt-PT"/>
              </w:rPr>
            </w:pPr>
            <w:r>
              <w:rPr>
                <w:lang w:eastAsia="pt-PT"/>
              </w:rPr>
              <w:t>IRIS</w:t>
            </w:r>
          </w:p>
        </w:tc>
        <w:tc>
          <w:tcPr>
            <w:tcW w:w="7612" w:type="dxa"/>
          </w:tcPr>
          <w:p w14:paraId="0005F2ED" w14:textId="7938F0E9" w:rsidR="008D5F87" w:rsidRDefault="008D5F87" w:rsidP="007666EE">
            <w:pPr>
              <w:rPr>
                <w:lang w:eastAsia="pt-PT"/>
              </w:rPr>
            </w:pPr>
            <w:r w:rsidRPr="008D5F87">
              <w:t>Integrat</w:t>
            </w:r>
            <w:r>
              <w:t>ed Risk Information System</w:t>
            </w:r>
          </w:p>
        </w:tc>
      </w:tr>
      <w:tr w:rsidR="008B5888" w14:paraId="76F9623E" w14:textId="77777777" w:rsidTr="007666EE">
        <w:tc>
          <w:tcPr>
            <w:tcW w:w="1794" w:type="dxa"/>
          </w:tcPr>
          <w:p w14:paraId="5CEC3B4D" w14:textId="77777777" w:rsidR="008B5888" w:rsidRDefault="008B5888" w:rsidP="007666EE">
            <w:pPr>
              <w:rPr>
                <w:lang w:eastAsia="pt-PT"/>
              </w:rPr>
            </w:pPr>
            <w:r>
              <w:rPr>
                <w:lang w:eastAsia="pt-PT"/>
              </w:rPr>
              <w:t>LANDMARK</w:t>
            </w:r>
          </w:p>
        </w:tc>
        <w:tc>
          <w:tcPr>
            <w:tcW w:w="7612" w:type="dxa"/>
          </w:tcPr>
          <w:p w14:paraId="6DABE83D" w14:textId="77777777" w:rsidR="008B5888" w:rsidRPr="002C3700" w:rsidRDefault="008B5888" w:rsidP="007666EE">
            <w:pPr>
              <w:rPr>
                <w:lang w:eastAsia="pt-PT"/>
              </w:rPr>
            </w:pPr>
            <w:r>
              <w:rPr>
                <w:lang w:eastAsia="pt-PT"/>
              </w:rPr>
              <w:t>S</w:t>
            </w:r>
            <w:r w:rsidRPr="00DA5B0D">
              <w:rPr>
                <w:lang w:eastAsia="pt-PT"/>
              </w:rPr>
              <w:t xml:space="preserve">ustainable </w:t>
            </w:r>
            <w:r>
              <w:rPr>
                <w:lang w:eastAsia="pt-PT"/>
              </w:rPr>
              <w:t>m</w:t>
            </w:r>
            <w:r w:rsidRPr="00DA5B0D">
              <w:rPr>
                <w:lang w:eastAsia="pt-PT"/>
              </w:rPr>
              <w:t xml:space="preserve">anagement of </w:t>
            </w:r>
            <w:r>
              <w:rPr>
                <w:lang w:eastAsia="pt-PT"/>
              </w:rPr>
              <w:t>l</w:t>
            </w:r>
            <w:r w:rsidRPr="00DA5B0D">
              <w:rPr>
                <w:lang w:eastAsia="pt-PT"/>
              </w:rPr>
              <w:t xml:space="preserve">and and </w:t>
            </w:r>
            <w:r>
              <w:rPr>
                <w:lang w:eastAsia="pt-PT"/>
              </w:rPr>
              <w:t>s</w:t>
            </w:r>
            <w:r w:rsidRPr="00DA5B0D">
              <w:rPr>
                <w:lang w:eastAsia="pt-PT"/>
              </w:rPr>
              <w:t>oil in Europe</w:t>
            </w:r>
            <w:r>
              <w:rPr>
                <w:lang w:eastAsia="pt-PT"/>
              </w:rPr>
              <w:t xml:space="preserve"> (research project)</w:t>
            </w:r>
          </w:p>
        </w:tc>
      </w:tr>
      <w:tr w:rsidR="008B5888" w14:paraId="752095E9" w14:textId="77777777" w:rsidTr="007666EE">
        <w:tc>
          <w:tcPr>
            <w:tcW w:w="1794" w:type="dxa"/>
          </w:tcPr>
          <w:p w14:paraId="583AEEEA" w14:textId="77777777" w:rsidR="008B5888" w:rsidRDefault="008B5888" w:rsidP="007666EE">
            <w:pPr>
              <w:rPr>
                <w:lang w:eastAsia="pt-PT"/>
              </w:rPr>
            </w:pPr>
            <w:r>
              <w:rPr>
                <w:lang w:eastAsia="pt-PT"/>
              </w:rPr>
              <w:t>LTE</w:t>
            </w:r>
          </w:p>
        </w:tc>
        <w:tc>
          <w:tcPr>
            <w:tcW w:w="7612" w:type="dxa"/>
          </w:tcPr>
          <w:p w14:paraId="67EC73BA" w14:textId="77777777" w:rsidR="008B5888" w:rsidRPr="002C3700" w:rsidRDefault="008B5888" w:rsidP="007666EE">
            <w:pPr>
              <w:rPr>
                <w:lang w:eastAsia="pt-PT"/>
              </w:rPr>
            </w:pPr>
            <w:r>
              <w:rPr>
                <w:lang w:eastAsia="pt-PT"/>
              </w:rPr>
              <w:t>Long-term experiment</w:t>
            </w:r>
          </w:p>
        </w:tc>
      </w:tr>
      <w:tr w:rsidR="008B5888" w14:paraId="793D8FCA" w14:textId="77777777" w:rsidTr="007666EE">
        <w:tc>
          <w:tcPr>
            <w:tcW w:w="1794" w:type="dxa"/>
          </w:tcPr>
          <w:p w14:paraId="7E2408B2" w14:textId="77777777" w:rsidR="008B5888" w:rsidRDefault="008B5888" w:rsidP="007666EE">
            <w:pPr>
              <w:rPr>
                <w:lang w:eastAsia="pt-PT"/>
              </w:rPr>
            </w:pPr>
            <w:r>
              <w:rPr>
                <w:lang w:eastAsia="pt-PT"/>
              </w:rPr>
              <w:t>LULUCF</w:t>
            </w:r>
          </w:p>
        </w:tc>
        <w:tc>
          <w:tcPr>
            <w:tcW w:w="7612" w:type="dxa"/>
          </w:tcPr>
          <w:p w14:paraId="476E9B03" w14:textId="77777777" w:rsidR="008B5888" w:rsidRDefault="008B5888" w:rsidP="007666EE">
            <w:pPr>
              <w:rPr>
                <w:lang w:eastAsia="pt-PT"/>
              </w:rPr>
            </w:pPr>
            <w:r w:rsidRPr="002C3700">
              <w:rPr>
                <w:lang w:eastAsia="pt-PT"/>
              </w:rPr>
              <w:t xml:space="preserve">Land </w:t>
            </w:r>
            <w:r>
              <w:rPr>
                <w:lang w:eastAsia="pt-PT"/>
              </w:rPr>
              <w:t>u</w:t>
            </w:r>
            <w:r w:rsidRPr="002C3700">
              <w:rPr>
                <w:lang w:eastAsia="pt-PT"/>
              </w:rPr>
              <w:t xml:space="preserve">se, </w:t>
            </w:r>
            <w:r>
              <w:rPr>
                <w:lang w:eastAsia="pt-PT"/>
              </w:rPr>
              <w:t>l</w:t>
            </w:r>
            <w:r w:rsidRPr="002C3700">
              <w:rPr>
                <w:lang w:eastAsia="pt-PT"/>
              </w:rPr>
              <w:t>and-</w:t>
            </w:r>
            <w:r>
              <w:rPr>
                <w:lang w:eastAsia="pt-PT"/>
              </w:rPr>
              <w:t>u</w:t>
            </w:r>
            <w:r w:rsidRPr="002C3700">
              <w:rPr>
                <w:lang w:eastAsia="pt-PT"/>
              </w:rPr>
              <w:t xml:space="preserve">se </w:t>
            </w:r>
            <w:r>
              <w:rPr>
                <w:lang w:eastAsia="pt-PT"/>
              </w:rPr>
              <w:t>c</w:t>
            </w:r>
            <w:r w:rsidRPr="002C3700">
              <w:rPr>
                <w:lang w:eastAsia="pt-PT"/>
              </w:rPr>
              <w:t xml:space="preserve">hange and </w:t>
            </w:r>
            <w:r>
              <w:rPr>
                <w:lang w:eastAsia="pt-PT"/>
              </w:rPr>
              <w:t>f</w:t>
            </w:r>
            <w:r w:rsidRPr="002C3700">
              <w:rPr>
                <w:lang w:eastAsia="pt-PT"/>
              </w:rPr>
              <w:t>orestry</w:t>
            </w:r>
          </w:p>
        </w:tc>
      </w:tr>
      <w:tr w:rsidR="008B5888" w14:paraId="6D127666" w14:textId="77777777" w:rsidTr="007666EE">
        <w:tc>
          <w:tcPr>
            <w:tcW w:w="1794" w:type="dxa"/>
          </w:tcPr>
          <w:p w14:paraId="49C22015" w14:textId="77777777" w:rsidR="008B5888" w:rsidRDefault="008B5888" w:rsidP="007666EE">
            <w:pPr>
              <w:rPr>
                <w:lang w:eastAsia="pt-PT"/>
              </w:rPr>
            </w:pPr>
            <w:r>
              <w:rPr>
                <w:lang w:eastAsia="pt-PT"/>
              </w:rPr>
              <w:t>MAES</w:t>
            </w:r>
          </w:p>
        </w:tc>
        <w:tc>
          <w:tcPr>
            <w:tcW w:w="7612" w:type="dxa"/>
          </w:tcPr>
          <w:p w14:paraId="3755AE74" w14:textId="77777777" w:rsidR="008B5888" w:rsidRPr="002C3700" w:rsidRDefault="008B5888" w:rsidP="007666EE">
            <w:pPr>
              <w:rPr>
                <w:lang w:eastAsia="pt-PT"/>
              </w:rPr>
            </w:pPr>
            <w:r w:rsidRPr="00E64A10">
              <w:rPr>
                <w:lang w:eastAsia="pt-PT"/>
              </w:rPr>
              <w:t>Mapping and assessment of ecosystems and their services</w:t>
            </w:r>
          </w:p>
        </w:tc>
      </w:tr>
      <w:tr w:rsidR="008B5888" w14:paraId="590FE969" w14:textId="77777777" w:rsidTr="007666EE">
        <w:tc>
          <w:tcPr>
            <w:tcW w:w="1794" w:type="dxa"/>
          </w:tcPr>
          <w:p w14:paraId="78551439" w14:textId="77777777" w:rsidR="008B5888" w:rsidRPr="002804FD" w:rsidRDefault="008B5888" w:rsidP="007666EE">
            <w:pPr>
              <w:rPr>
                <w:lang w:eastAsia="pt-PT"/>
              </w:rPr>
            </w:pPr>
            <w:r w:rsidRPr="002804FD">
              <w:rPr>
                <w:lang w:eastAsia="pt-PT"/>
              </w:rPr>
              <w:t>MAOM</w:t>
            </w:r>
          </w:p>
        </w:tc>
        <w:tc>
          <w:tcPr>
            <w:tcW w:w="7612" w:type="dxa"/>
          </w:tcPr>
          <w:p w14:paraId="72F5C192" w14:textId="320B685C" w:rsidR="008B5888" w:rsidRPr="00BC639A" w:rsidRDefault="002804FD" w:rsidP="002804FD">
            <w:pPr>
              <w:rPr>
                <w:lang w:eastAsia="pt-PT"/>
              </w:rPr>
            </w:pPr>
            <w:r w:rsidRPr="002804FD">
              <w:rPr>
                <w:lang w:eastAsia="pt-PT"/>
              </w:rPr>
              <w:t>Mineral-Associated Organic Matter</w:t>
            </w:r>
          </w:p>
        </w:tc>
      </w:tr>
      <w:tr w:rsidR="008B5888" w14:paraId="609EF455" w14:textId="77777777" w:rsidTr="007666EE">
        <w:tc>
          <w:tcPr>
            <w:tcW w:w="1794" w:type="dxa"/>
          </w:tcPr>
          <w:p w14:paraId="527A4639" w14:textId="77777777" w:rsidR="008B5888" w:rsidRDefault="008B5888" w:rsidP="007666EE">
            <w:pPr>
              <w:rPr>
                <w:lang w:eastAsia="pt-PT"/>
              </w:rPr>
            </w:pPr>
            <w:r>
              <w:rPr>
                <w:lang w:eastAsia="pt-PT"/>
              </w:rPr>
              <w:t>MS</w:t>
            </w:r>
          </w:p>
        </w:tc>
        <w:tc>
          <w:tcPr>
            <w:tcW w:w="7612" w:type="dxa"/>
          </w:tcPr>
          <w:p w14:paraId="37E4D3D2" w14:textId="77777777" w:rsidR="008B5888" w:rsidRPr="00BC639A" w:rsidRDefault="008B5888" w:rsidP="007666EE">
            <w:pPr>
              <w:rPr>
                <w:lang w:eastAsia="pt-PT"/>
              </w:rPr>
            </w:pPr>
            <w:r>
              <w:rPr>
                <w:lang w:eastAsia="pt-PT"/>
              </w:rPr>
              <w:t>Member States</w:t>
            </w:r>
          </w:p>
        </w:tc>
      </w:tr>
      <w:tr w:rsidR="008B5888" w14:paraId="7B08D444" w14:textId="77777777" w:rsidTr="007666EE">
        <w:tc>
          <w:tcPr>
            <w:tcW w:w="1794" w:type="dxa"/>
          </w:tcPr>
          <w:p w14:paraId="4D1040F0" w14:textId="77777777" w:rsidR="008B5888" w:rsidRDefault="008B5888" w:rsidP="007666EE">
            <w:pPr>
              <w:rPr>
                <w:lang w:eastAsia="pt-PT"/>
              </w:rPr>
            </w:pPr>
            <w:r>
              <w:rPr>
                <w:lang w:eastAsia="pt-PT"/>
              </w:rPr>
              <w:t>NDVI</w:t>
            </w:r>
          </w:p>
        </w:tc>
        <w:tc>
          <w:tcPr>
            <w:tcW w:w="7612" w:type="dxa"/>
          </w:tcPr>
          <w:p w14:paraId="03980BC9" w14:textId="77777777" w:rsidR="008B5888" w:rsidRDefault="008B5888" w:rsidP="007666EE">
            <w:pPr>
              <w:rPr>
                <w:lang w:eastAsia="pt-PT"/>
              </w:rPr>
            </w:pPr>
            <w:r w:rsidRPr="00BC639A">
              <w:rPr>
                <w:lang w:eastAsia="pt-PT"/>
              </w:rPr>
              <w:t xml:space="preserve">Normalized </w:t>
            </w:r>
            <w:r>
              <w:rPr>
                <w:lang w:eastAsia="pt-PT"/>
              </w:rPr>
              <w:t>d</w:t>
            </w:r>
            <w:r w:rsidRPr="00BC639A">
              <w:rPr>
                <w:lang w:eastAsia="pt-PT"/>
              </w:rPr>
              <w:t xml:space="preserve">ifference </w:t>
            </w:r>
            <w:r>
              <w:rPr>
                <w:lang w:eastAsia="pt-PT"/>
              </w:rPr>
              <w:t>v</w:t>
            </w:r>
            <w:r w:rsidRPr="00BC639A">
              <w:rPr>
                <w:lang w:eastAsia="pt-PT"/>
              </w:rPr>
              <w:t xml:space="preserve">egetation </w:t>
            </w:r>
            <w:r>
              <w:rPr>
                <w:lang w:eastAsia="pt-PT"/>
              </w:rPr>
              <w:t>i</w:t>
            </w:r>
            <w:r w:rsidRPr="00BC639A">
              <w:rPr>
                <w:lang w:eastAsia="pt-PT"/>
              </w:rPr>
              <w:t>ndex</w:t>
            </w:r>
          </w:p>
        </w:tc>
      </w:tr>
      <w:tr w:rsidR="00451014" w14:paraId="6EBD37E9" w14:textId="77777777" w:rsidTr="007666EE">
        <w:tc>
          <w:tcPr>
            <w:tcW w:w="1794" w:type="dxa"/>
          </w:tcPr>
          <w:p w14:paraId="05F19EFD" w14:textId="02BB9D23" w:rsidR="00451014" w:rsidRDefault="00451014" w:rsidP="007666EE">
            <w:pPr>
              <w:rPr>
                <w:lang w:eastAsia="pt-PT"/>
              </w:rPr>
            </w:pPr>
            <w:r>
              <w:rPr>
                <w:lang w:eastAsia="pt-PT"/>
              </w:rPr>
              <w:t>NEC</w:t>
            </w:r>
          </w:p>
        </w:tc>
        <w:tc>
          <w:tcPr>
            <w:tcW w:w="7612" w:type="dxa"/>
          </w:tcPr>
          <w:p w14:paraId="216D0749" w14:textId="0590274A" w:rsidR="00451014" w:rsidRDefault="007666EE" w:rsidP="007666EE">
            <w:pPr>
              <w:rPr>
                <w:lang w:eastAsia="pt-PT"/>
              </w:rPr>
            </w:pPr>
            <w:r w:rsidRPr="007666EE">
              <w:rPr>
                <w:lang w:eastAsia="pt-PT"/>
              </w:rPr>
              <w:t>National Emissions Ceilings Directive</w:t>
            </w:r>
          </w:p>
        </w:tc>
      </w:tr>
      <w:tr w:rsidR="008B5888" w14:paraId="3ABC0274" w14:textId="77777777" w:rsidTr="007666EE">
        <w:tc>
          <w:tcPr>
            <w:tcW w:w="1794" w:type="dxa"/>
          </w:tcPr>
          <w:p w14:paraId="1CC42207" w14:textId="77777777" w:rsidR="008B5888" w:rsidRDefault="008B5888" w:rsidP="007666EE">
            <w:pPr>
              <w:rPr>
                <w:lang w:eastAsia="pt-PT"/>
              </w:rPr>
            </w:pPr>
            <w:r>
              <w:rPr>
                <w:lang w:eastAsia="pt-PT"/>
              </w:rPr>
              <w:t>NIR</w:t>
            </w:r>
          </w:p>
        </w:tc>
        <w:tc>
          <w:tcPr>
            <w:tcW w:w="7612" w:type="dxa"/>
          </w:tcPr>
          <w:p w14:paraId="2B5A1A9F" w14:textId="77777777" w:rsidR="008B5888" w:rsidRDefault="008B5888" w:rsidP="007666EE">
            <w:pPr>
              <w:rPr>
                <w:lang w:eastAsia="pt-PT"/>
              </w:rPr>
            </w:pPr>
            <w:r>
              <w:rPr>
                <w:lang w:eastAsia="pt-PT"/>
              </w:rPr>
              <w:t>N</w:t>
            </w:r>
            <w:r w:rsidRPr="00BC639A">
              <w:rPr>
                <w:lang w:eastAsia="pt-PT"/>
              </w:rPr>
              <w:t>ear-</w:t>
            </w:r>
            <w:r>
              <w:rPr>
                <w:lang w:eastAsia="pt-PT"/>
              </w:rPr>
              <w:t>i</w:t>
            </w:r>
            <w:r w:rsidRPr="00BC639A">
              <w:rPr>
                <w:lang w:eastAsia="pt-PT"/>
              </w:rPr>
              <w:t xml:space="preserve">nfrared </w:t>
            </w:r>
            <w:r>
              <w:rPr>
                <w:lang w:eastAsia="pt-PT"/>
              </w:rPr>
              <w:t>r</w:t>
            </w:r>
            <w:r w:rsidRPr="00BC639A">
              <w:rPr>
                <w:lang w:eastAsia="pt-PT"/>
              </w:rPr>
              <w:t>adiation</w:t>
            </w:r>
          </w:p>
        </w:tc>
      </w:tr>
      <w:tr w:rsidR="008B5888" w14:paraId="35824ABC" w14:textId="77777777" w:rsidTr="007666EE">
        <w:tc>
          <w:tcPr>
            <w:tcW w:w="1794" w:type="dxa"/>
          </w:tcPr>
          <w:p w14:paraId="59B6FAEC" w14:textId="77777777" w:rsidR="008B5888" w:rsidRDefault="008B5888" w:rsidP="007666EE">
            <w:pPr>
              <w:rPr>
                <w:lang w:eastAsia="pt-PT"/>
              </w:rPr>
            </w:pPr>
            <w:r>
              <w:rPr>
                <w:lang w:eastAsia="pt-PT"/>
              </w:rPr>
              <w:t>n</w:t>
            </w:r>
            <w:r w:rsidRPr="00200463">
              <w:rPr>
                <w:vertAlign w:val="subscript"/>
                <w:lang w:eastAsia="pt-PT"/>
              </w:rPr>
              <w:t>g</w:t>
            </w:r>
          </w:p>
        </w:tc>
        <w:tc>
          <w:tcPr>
            <w:tcW w:w="7612" w:type="dxa"/>
          </w:tcPr>
          <w:p w14:paraId="5BC52752" w14:textId="77777777" w:rsidR="008B5888" w:rsidRDefault="008B5888" w:rsidP="007666EE">
            <w:pPr>
              <w:rPr>
                <w:lang w:eastAsia="pt-PT"/>
              </w:rPr>
            </w:pPr>
            <w:r>
              <w:rPr>
                <w:lang w:eastAsia="pt-PT"/>
              </w:rPr>
              <w:t>Air capacity (air filled pore volume)</w:t>
            </w:r>
          </w:p>
        </w:tc>
      </w:tr>
      <w:tr w:rsidR="008B5888" w14:paraId="5E594233" w14:textId="77777777" w:rsidTr="007666EE">
        <w:tc>
          <w:tcPr>
            <w:tcW w:w="1794" w:type="dxa"/>
          </w:tcPr>
          <w:p w14:paraId="6279CEE2" w14:textId="77777777" w:rsidR="008B5888" w:rsidRDefault="008B5888" w:rsidP="007666EE">
            <w:pPr>
              <w:rPr>
                <w:lang w:eastAsia="pt-PT"/>
              </w:rPr>
            </w:pPr>
            <w:r>
              <w:rPr>
                <w:lang w:eastAsia="pt-PT"/>
              </w:rPr>
              <w:t>OR</w:t>
            </w:r>
          </w:p>
        </w:tc>
        <w:tc>
          <w:tcPr>
            <w:tcW w:w="7612" w:type="dxa"/>
          </w:tcPr>
          <w:p w14:paraId="7602A3F7" w14:textId="77777777" w:rsidR="008B5888" w:rsidRDefault="008B5888" w:rsidP="007666EE">
            <w:pPr>
              <w:rPr>
                <w:lang w:eastAsia="pt-PT"/>
              </w:rPr>
            </w:pPr>
            <w:r>
              <w:rPr>
                <w:lang w:eastAsia="pt-PT"/>
              </w:rPr>
              <w:t>Operating ranges</w:t>
            </w:r>
          </w:p>
        </w:tc>
      </w:tr>
      <w:tr w:rsidR="008B5888" w14:paraId="6ADD7DEF" w14:textId="77777777" w:rsidTr="007666EE">
        <w:tc>
          <w:tcPr>
            <w:tcW w:w="1794" w:type="dxa"/>
          </w:tcPr>
          <w:p w14:paraId="214D87F4" w14:textId="77777777" w:rsidR="008B5888" w:rsidRDefault="008B5888" w:rsidP="007666EE">
            <w:pPr>
              <w:rPr>
                <w:lang w:eastAsia="pt-PT"/>
              </w:rPr>
            </w:pPr>
            <w:r>
              <w:rPr>
                <w:lang w:eastAsia="pt-PT"/>
              </w:rPr>
              <w:t>PD</w:t>
            </w:r>
          </w:p>
        </w:tc>
        <w:tc>
          <w:tcPr>
            <w:tcW w:w="7612" w:type="dxa"/>
          </w:tcPr>
          <w:p w14:paraId="366564EC" w14:textId="77777777" w:rsidR="008B5888" w:rsidRDefault="008B5888" w:rsidP="007666EE">
            <w:pPr>
              <w:rPr>
                <w:lang w:eastAsia="pt-PT"/>
              </w:rPr>
            </w:pPr>
            <w:r>
              <w:rPr>
                <w:lang w:eastAsia="pt-PT"/>
              </w:rPr>
              <w:t>Packing density</w:t>
            </w:r>
          </w:p>
        </w:tc>
      </w:tr>
      <w:tr w:rsidR="008B5888" w14:paraId="1773C892" w14:textId="77777777" w:rsidTr="007666EE">
        <w:tc>
          <w:tcPr>
            <w:tcW w:w="1794" w:type="dxa"/>
          </w:tcPr>
          <w:p w14:paraId="4E352F9C" w14:textId="77777777" w:rsidR="008B5888" w:rsidRDefault="008B5888" w:rsidP="007666EE">
            <w:pPr>
              <w:rPr>
                <w:lang w:eastAsia="pt-PT"/>
              </w:rPr>
            </w:pPr>
            <w:r>
              <w:rPr>
                <w:lang w:eastAsia="pt-PT"/>
              </w:rPr>
              <w:t>PLFA</w:t>
            </w:r>
          </w:p>
        </w:tc>
        <w:tc>
          <w:tcPr>
            <w:tcW w:w="7612" w:type="dxa"/>
          </w:tcPr>
          <w:p w14:paraId="69706230" w14:textId="77777777" w:rsidR="008B5888" w:rsidRDefault="008B5888" w:rsidP="007666EE">
            <w:pPr>
              <w:rPr>
                <w:lang w:eastAsia="pt-PT"/>
              </w:rPr>
            </w:pPr>
            <w:r w:rsidRPr="0069430A">
              <w:rPr>
                <w:lang w:eastAsia="pt-PT"/>
              </w:rPr>
              <w:t>Phospholipid-derived fatty acids</w:t>
            </w:r>
          </w:p>
        </w:tc>
      </w:tr>
      <w:tr w:rsidR="008B5888" w14:paraId="437B7D7D" w14:textId="77777777" w:rsidTr="007666EE">
        <w:tc>
          <w:tcPr>
            <w:tcW w:w="1794" w:type="dxa"/>
          </w:tcPr>
          <w:p w14:paraId="4FE2498D" w14:textId="77777777" w:rsidR="008B5888" w:rsidRPr="002804FD" w:rsidRDefault="008B5888" w:rsidP="007666EE">
            <w:pPr>
              <w:rPr>
                <w:lang w:eastAsia="pt-PT"/>
              </w:rPr>
            </w:pPr>
            <w:r w:rsidRPr="002804FD">
              <w:rPr>
                <w:lang w:eastAsia="pt-PT"/>
              </w:rPr>
              <w:t>POM</w:t>
            </w:r>
          </w:p>
        </w:tc>
        <w:tc>
          <w:tcPr>
            <w:tcW w:w="7612" w:type="dxa"/>
          </w:tcPr>
          <w:p w14:paraId="372C8F20" w14:textId="1BAE1813" w:rsidR="008B5888" w:rsidRDefault="002804FD" w:rsidP="007666EE">
            <w:pPr>
              <w:rPr>
                <w:lang w:eastAsia="pt-PT"/>
              </w:rPr>
            </w:pPr>
            <w:r>
              <w:rPr>
                <w:lang w:eastAsia="pt-PT"/>
              </w:rPr>
              <w:t>P</w:t>
            </w:r>
            <w:r w:rsidRPr="002804FD">
              <w:rPr>
                <w:lang w:eastAsia="pt-PT"/>
              </w:rPr>
              <w:t>articulate organic matter</w:t>
            </w:r>
          </w:p>
        </w:tc>
      </w:tr>
      <w:tr w:rsidR="008B5888" w14:paraId="51786501" w14:textId="77777777" w:rsidTr="007666EE">
        <w:tc>
          <w:tcPr>
            <w:tcW w:w="1794" w:type="dxa"/>
          </w:tcPr>
          <w:p w14:paraId="738A0D75" w14:textId="77777777" w:rsidR="008B5888" w:rsidRDefault="008B5888" w:rsidP="007666EE">
            <w:pPr>
              <w:rPr>
                <w:lang w:eastAsia="pt-PT"/>
              </w:rPr>
            </w:pPr>
            <w:r>
              <w:rPr>
                <w:lang w:eastAsia="pt-PT"/>
              </w:rPr>
              <w:lastRenderedPageBreak/>
              <w:t>PR</w:t>
            </w:r>
          </w:p>
        </w:tc>
        <w:tc>
          <w:tcPr>
            <w:tcW w:w="7612" w:type="dxa"/>
          </w:tcPr>
          <w:p w14:paraId="123334AC" w14:textId="77777777" w:rsidR="008B5888" w:rsidRDefault="008B5888" w:rsidP="007666EE">
            <w:pPr>
              <w:rPr>
                <w:lang w:eastAsia="pt-PT"/>
              </w:rPr>
            </w:pPr>
            <w:r>
              <w:rPr>
                <w:lang w:eastAsia="pt-PT"/>
              </w:rPr>
              <w:t>Penetrometer resistance</w:t>
            </w:r>
          </w:p>
        </w:tc>
      </w:tr>
      <w:tr w:rsidR="00743C70" w14:paraId="25E04A3A" w14:textId="77777777" w:rsidTr="007666EE">
        <w:tc>
          <w:tcPr>
            <w:tcW w:w="1794" w:type="dxa"/>
          </w:tcPr>
          <w:p w14:paraId="629FC7AF" w14:textId="317433F3" w:rsidR="00743C70" w:rsidRDefault="00743C70" w:rsidP="007666EE">
            <w:pPr>
              <w:rPr>
                <w:lang w:eastAsia="pt-PT"/>
              </w:rPr>
            </w:pPr>
            <w:r>
              <w:rPr>
                <w:lang w:eastAsia="pt-PT"/>
              </w:rPr>
              <w:t>PSI</w:t>
            </w:r>
          </w:p>
        </w:tc>
        <w:tc>
          <w:tcPr>
            <w:tcW w:w="7612" w:type="dxa"/>
          </w:tcPr>
          <w:p w14:paraId="26BC6E4D" w14:textId="409C2058" w:rsidR="00743C70" w:rsidRDefault="00743C70" w:rsidP="007666EE">
            <w:pPr>
              <w:rPr>
                <w:lang w:eastAsia="pt-PT"/>
              </w:rPr>
            </w:pPr>
            <w:r w:rsidRPr="00743C70">
              <w:rPr>
                <w:lang w:eastAsia="pt-PT"/>
              </w:rPr>
              <w:t xml:space="preserve">critical </w:t>
            </w:r>
            <w:r>
              <w:rPr>
                <w:lang w:eastAsia="pt-PT"/>
              </w:rPr>
              <w:t>phosphorus saturation index</w:t>
            </w:r>
          </w:p>
        </w:tc>
      </w:tr>
      <w:tr w:rsidR="00307C84" w14:paraId="0C660549" w14:textId="77777777" w:rsidTr="007666EE">
        <w:tc>
          <w:tcPr>
            <w:tcW w:w="1794" w:type="dxa"/>
          </w:tcPr>
          <w:p w14:paraId="1ED11064" w14:textId="58E3E287" w:rsidR="00307C84" w:rsidRDefault="00307C84" w:rsidP="007666EE">
            <w:pPr>
              <w:rPr>
                <w:lang w:eastAsia="pt-PT"/>
              </w:rPr>
            </w:pPr>
            <w:r>
              <w:rPr>
                <w:lang w:eastAsia="pt-PT"/>
              </w:rPr>
              <w:t>PTF</w:t>
            </w:r>
          </w:p>
        </w:tc>
        <w:tc>
          <w:tcPr>
            <w:tcW w:w="7612" w:type="dxa"/>
          </w:tcPr>
          <w:p w14:paraId="556E880C" w14:textId="35488B4F" w:rsidR="00307C84" w:rsidRPr="008C1AB4" w:rsidRDefault="00307C84" w:rsidP="007666EE">
            <w:pPr>
              <w:rPr>
                <w:lang w:eastAsia="pt-PT"/>
              </w:rPr>
            </w:pPr>
            <w:r>
              <w:rPr>
                <w:lang w:eastAsia="pt-PT"/>
              </w:rPr>
              <w:t>Pedo</w:t>
            </w:r>
            <w:r w:rsidR="00FB79C7">
              <w:rPr>
                <w:lang w:eastAsia="pt-PT"/>
              </w:rPr>
              <w:t>-</w:t>
            </w:r>
            <w:r>
              <w:rPr>
                <w:lang w:eastAsia="pt-PT"/>
              </w:rPr>
              <w:t>transfer function</w:t>
            </w:r>
          </w:p>
        </w:tc>
      </w:tr>
      <w:tr w:rsidR="00743C70" w14:paraId="43758D42" w14:textId="77777777" w:rsidTr="007666EE">
        <w:tc>
          <w:tcPr>
            <w:tcW w:w="1794" w:type="dxa"/>
          </w:tcPr>
          <w:p w14:paraId="3AADCD1A" w14:textId="7EA70AC2" w:rsidR="00743C70" w:rsidRDefault="00743C70" w:rsidP="007666EE">
            <w:pPr>
              <w:rPr>
                <w:lang w:eastAsia="pt-PT"/>
              </w:rPr>
            </w:pPr>
            <w:r>
              <w:rPr>
                <w:lang w:eastAsia="pt-PT"/>
              </w:rPr>
              <w:t>PW</w:t>
            </w:r>
          </w:p>
        </w:tc>
        <w:tc>
          <w:tcPr>
            <w:tcW w:w="7612" w:type="dxa"/>
          </w:tcPr>
          <w:p w14:paraId="38A23FC7" w14:textId="51043213" w:rsidR="00743C70" w:rsidRPr="008C1AB4" w:rsidRDefault="00743C70" w:rsidP="00743C70">
            <w:pPr>
              <w:rPr>
                <w:lang w:eastAsia="pt-PT"/>
              </w:rPr>
            </w:pPr>
            <w:r>
              <w:rPr>
                <w:lang w:eastAsia="pt-PT"/>
              </w:rPr>
              <w:t>phosphorus in water</w:t>
            </w:r>
          </w:p>
        </w:tc>
      </w:tr>
      <w:tr w:rsidR="008B5888" w14:paraId="26B6B477" w14:textId="77777777" w:rsidTr="007666EE">
        <w:tc>
          <w:tcPr>
            <w:tcW w:w="1794" w:type="dxa"/>
          </w:tcPr>
          <w:p w14:paraId="12C7ABE3" w14:textId="77777777" w:rsidR="008B5888" w:rsidRDefault="008B5888" w:rsidP="007666EE">
            <w:pPr>
              <w:rPr>
                <w:lang w:eastAsia="pt-PT"/>
              </w:rPr>
            </w:pPr>
            <w:r>
              <w:rPr>
                <w:lang w:eastAsia="pt-PT"/>
              </w:rPr>
              <w:t>RBLM</w:t>
            </w:r>
          </w:p>
        </w:tc>
        <w:tc>
          <w:tcPr>
            <w:tcW w:w="7612" w:type="dxa"/>
          </w:tcPr>
          <w:p w14:paraId="1119D2BF" w14:textId="77777777" w:rsidR="008B5888" w:rsidRDefault="008B5888" w:rsidP="007666EE">
            <w:pPr>
              <w:rPr>
                <w:lang w:eastAsia="pt-PT"/>
              </w:rPr>
            </w:pPr>
            <w:r w:rsidRPr="008C1AB4">
              <w:rPr>
                <w:lang w:eastAsia="pt-PT"/>
              </w:rPr>
              <w:t>Risk</w:t>
            </w:r>
            <w:r>
              <w:rPr>
                <w:lang w:eastAsia="pt-PT"/>
              </w:rPr>
              <w:t>-b</w:t>
            </w:r>
            <w:r w:rsidRPr="008C1AB4">
              <w:rPr>
                <w:lang w:eastAsia="pt-PT"/>
              </w:rPr>
              <w:t>ase</w:t>
            </w:r>
            <w:r>
              <w:rPr>
                <w:lang w:eastAsia="pt-PT"/>
              </w:rPr>
              <w:t xml:space="preserve">d land management </w:t>
            </w:r>
          </w:p>
        </w:tc>
      </w:tr>
      <w:tr w:rsidR="008D5F87" w14:paraId="6FD0EB41" w14:textId="77777777" w:rsidTr="007666EE">
        <w:tc>
          <w:tcPr>
            <w:tcW w:w="1794" w:type="dxa"/>
          </w:tcPr>
          <w:p w14:paraId="2EDAC29F" w14:textId="5E141C3A" w:rsidR="008D5F87" w:rsidRDefault="008D5F87" w:rsidP="007666EE">
            <w:pPr>
              <w:rPr>
                <w:lang w:eastAsia="pt-PT"/>
              </w:rPr>
            </w:pPr>
            <w:r>
              <w:rPr>
                <w:lang w:eastAsia="pt-PT"/>
              </w:rPr>
              <w:t>RAR</w:t>
            </w:r>
          </w:p>
        </w:tc>
        <w:tc>
          <w:tcPr>
            <w:tcW w:w="7612" w:type="dxa"/>
          </w:tcPr>
          <w:p w14:paraId="1969182B" w14:textId="3E72A79B" w:rsidR="008D5F87" w:rsidRPr="008C1AB4" w:rsidRDefault="008D5F87" w:rsidP="007666EE">
            <w:pPr>
              <w:rPr>
                <w:lang w:eastAsia="pt-PT"/>
              </w:rPr>
            </w:pPr>
            <w:r w:rsidRPr="008D5F87">
              <w:t>Risk Assessment Reports</w:t>
            </w:r>
          </w:p>
        </w:tc>
      </w:tr>
      <w:tr w:rsidR="008B5888" w14:paraId="7758A3C9" w14:textId="77777777" w:rsidTr="007666EE">
        <w:tc>
          <w:tcPr>
            <w:tcW w:w="1794" w:type="dxa"/>
          </w:tcPr>
          <w:p w14:paraId="4A361338" w14:textId="77777777" w:rsidR="008B5888" w:rsidRDefault="008B5888" w:rsidP="007666EE">
            <w:pPr>
              <w:rPr>
                <w:lang w:eastAsia="pt-PT"/>
              </w:rPr>
            </w:pPr>
            <w:r>
              <w:rPr>
                <w:lang w:eastAsia="pt-PT"/>
              </w:rPr>
              <w:t>RECARE</w:t>
            </w:r>
          </w:p>
        </w:tc>
        <w:tc>
          <w:tcPr>
            <w:tcW w:w="7612" w:type="dxa"/>
          </w:tcPr>
          <w:p w14:paraId="178C2AF4" w14:textId="77777777" w:rsidR="008B5888" w:rsidRDefault="008B5888" w:rsidP="007666EE">
            <w:pPr>
              <w:rPr>
                <w:lang w:eastAsia="pt-PT"/>
              </w:rPr>
            </w:pPr>
            <w:r>
              <w:rPr>
                <w:lang w:eastAsia="pt-PT"/>
              </w:rPr>
              <w:t>Preventing and remediating degradation of soils in Europe (research project)</w:t>
            </w:r>
          </w:p>
        </w:tc>
      </w:tr>
      <w:tr w:rsidR="008B5888" w14:paraId="607B1A39" w14:textId="77777777" w:rsidTr="007666EE">
        <w:tc>
          <w:tcPr>
            <w:tcW w:w="1794" w:type="dxa"/>
          </w:tcPr>
          <w:p w14:paraId="1E904B5C" w14:textId="77777777" w:rsidR="008B5888" w:rsidRDefault="008B5888" w:rsidP="007666EE">
            <w:pPr>
              <w:rPr>
                <w:lang w:eastAsia="pt-PT"/>
              </w:rPr>
            </w:pPr>
            <w:r>
              <w:rPr>
                <w:lang w:eastAsia="pt-PT"/>
              </w:rPr>
              <w:t>RED</w:t>
            </w:r>
          </w:p>
        </w:tc>
        <w:tc>
          <w:tcPr>
            <w:tcW w:w="7612" w:type="dxa"/>
          </w:tcPr>
          <w:p w14:paraId="20A7CD49" w14:textId="77777777" w:rsidR="008B5888" w:rsidRDefault="008B5888" w:rsidP="007666EE">
            <w:pPr>
              <w:rPr>
                <w:lang w:eastAsia="pt-PT"/>
              </w:rPr>
            </w:pPr>
            <w:r>
              <w:rPr>
                <w:lang w:eastAsia="pt-PT"/>
              </w:rPr>
              <w:t>V</w:t>
            </w:r>
            <w:r w:rsidRPr="00BC639A">
              <w:rPr>
                <w:lang w:eastAsia="pt-PT"/>
              </w:rPr>
              <w:t xml:space="preserve">isible </w:t>
            </w:r>
            <w:r>
              <w:rPr>
                <w:lang w:eastAsia="pt-PT"/>
              </w:rPr>
              <w:t>r</w:t>
            </w:r>
            <w:r w:rsidRPr="00BC639A">
              <w:rPr>
                <w:lang w:eastAsia="pt-PT"/>
              </w:rPr>
              <w:t>adiation</w:t>
            </w:r>
          </w:p>
        </w:tc>
      </w:tr>
      <w:tr w:rsidR="008D5F87" w14:paraId="6F14C3EA" w14:textId="77777777" w:rsidTr="007666EE">
        <w:tc>
          <w:tcPr>
            <w:tcW w:w="1794" w:type="dxa"/>
          </w:tcPr>
          <w:p w14:paraId="6BE069EF" w14:textId="65CF4035" w:rsidR="008D5F87" w:rsidRDefault="008D5F87" w:rsidP="007666EE">
            <w:pPr>
              <w:rPr>
                <w:lang w:eastAsia="pt-PT"/>
              </w:rPr>
            </w:pPr>
            <w:r>
              <w:rPr>
                <w:lang w:eastAsia="pt-PT"/>
              </w:rPr>
              <w:t>RIVM</w:t>
            </w:r>
          </w:p>
        </w:tc>
        <w:tc>
          <w:tcPr>
            <w:tcW w:w="7612" w:type="dxa"/>
          </w:tcPr>
          <w:p w14:paraId="1B4CDF07" w14:textId="0BB326DE" w:rsidR="008D5F87" w:rsidRDefault="008D5F87" w:rsidP="007666EE">
            <w:pPr>
              <w:rPr>
                <w:lang w:eastAsia="pt-PT"/>
              </w:rPr>
            </w:pPr>
            <w:r>
              <w:t xml:space="preserve">Dutch </w:t>
            </w:r>
            <w:r w:rsidRPr="008D5F87">
              <w:t>National Institute for Public Health and the Environm</w:t>
            </w:r>
            <w:r>
              <w:t>ent</w:t>
            </w:r>
          </w:p>
        </w:tc>
      </w:tr>
      <w:tr w:rsidR="008B5888" w14:paraId="47616D14" w14:textId="77777777" w:rsidTr="007666EE">
        <w:tc>
          <w:tcPr>
            <w:tcW w:w="1794" w:type="dxa"/>
          </w:tcPr>
          <w:p w14:paraId="6DA9D917" w14:textId="77777777" w:rsidR="008B5888" w:rsidRDefault="008B5888" w:rsidP="007666EE">
            <w:pPr>
              <w:rPr>
                <w:lang w:eastAsia="pt-PT"/>
              </w:rPr>
            </w:pPr>
            <w:r>
              <w:rPr>
                <w:lang w:eastAsia="pt-PT"/>
              </w:rPr>
              <w:t>RND</w:t>
            </w:r>
          </w:p>
        </w:tc>
        <w:tc>
          <w:tcPr>
            <w:tcW w:w="7612" w:type="dxa"/>
          </w:tcPr>
          <w:p w14:paraId="27FA4623" w14:textId="77777777" w:rsidR="008B5888" w:rsidRDefault="008B5888" w:rsidP="007666EE">
            <w:pPr>
              <w:rPr>
                <w:lang w:eastAsia="pt-PT"/>
              </w:rPr>
            </w:pPr>
            <w:r>
              <w:rPr>
                <w:lang w:eastAsia="pt-PT"/>
              </w:rPr>
              <w:t>Relative Normalised Density or “degree of compaction”</w:t>
            </w:r>
          </w:p>
        </w:tc>
      </w:tr>
      <w:tr w:rsidR="00011F24" w14:paraId="41EC5100" w14:textId="77777777" w:rsidTr="007666EE">
        <w:tc>
          <w:tcPr>
            <w:tcW w:w="1794" w:type="dxa"/>
          </w:tcPr>
          <w:p w14:paraId="7F903F0B" w14:textId="1D38A682" w:rsidR="00011F24" w:rsidRDefault="00011F24" w:rsidP="007666EE">
            <w:pPr>
              <w:rPr>
                <w:lang w:eastAsia="pt-PT"/>
              </w:rPr>
            </w:pPr>
            <w:r>
              <w:rPr>
                <w:lang w:eastAsia="pt-PT"/>
              </w:rPr>
              <w:t>RUSLE</w:t>
            </w:r>
          </w:p>
        </w:tc>
        <w:tc>
          <w:tcPr>
            <w:tcW w:w="7612" w:type="dxa"/>
          </w:tcPr>
          <w:p w14:paraId="5BCF7C9C" w14:textId="74B489ED" w:rsidR="00011F24" w:rsidRDefault="00011F24" w:rsidP="007666EE">
            <w:pPr>
              <w:rPr>
                <w:lang w:eastAsia="pt-PT"/>
              </w:rPr>
            </w:pPr>
            <w:r w:rsidRPr="00011F24">
              <w:rPr>
                <w:lang w:eastAsia="pt-PT"/>
              </w:rPr>
              <w:t>Revised Uni</w:t>
            </w:r>
            <w:r>
              <w:rPr>
                <w:lang w:eastAsia="pt-PT"/>
              </w:rPr>
              <w:t xml:space="preserve">versal Soil Loss Equation </w:t>
            </w:r>
          </w:p>
        </w:tc>
      </w:tr>
      <w:tr w:rsidR="008B5888" w14:paraId="19E34783" w14:textId="77777777" w:rsidTr="007666EE">
        <w:tc>
          <w:tcPr>
            <w:tcW w:w="1794" w:type="dxa"/>
          </w:tcPr>
          <w:p w14:paraId="7FA2733A" w14:textId="77777777" w:rsidR="008B5888" w:rsidRDefault="008B5888" w:rsidP="007666EE">
            <w:pPr>
              <w:rPr>
                <w:lang w:eastAsia="pt-PT"/>
              </w:rPr>
            </w:pPr>
            <w:r>
              <w:rPr>
                <w:lang w:eastAsia="pt-PT"/>
              </w:rPr>
              <w:t>SDG</w:t>
            </w:r>
          </w:p>
        </w:tc>
        <w:tc>
          <w:tcPr>
            <w:tcW w:w="7612" w:type="dxa"/>
          </w:tcPr>
          <w:p w14:paraId="162B658B" w14:textId="77777777" w:rsidR="008B5888" w:rsidRDefault="008B5888" w:rsidP="007666EE">
            <w:pPr>
              <w:rPr>
                <w:lang w:eastAsia="pt-PT"/>
              </w:rPr>
            </w:pPr>
            <w:r>
              <w:rPr>
                <w:lang w:eastAsia="pt-PT"/>
              </w:rPr>
              <w:t>Sustainable Development Goal</w:t>
            </w:r>
          </w:p>
        </w:tc>
      </w:tr>
      <w:tr w:rsidR="008B5888" w14:paraId="7D2FA7CC" w14:textId="77777777" w:rsidTr="007666EE">
        <w:tc>
          <w:tcPr>
            <w:tcW w:w="1794" w:type="dxa"/>
          </w:tcPr>
          <w:p w14:paraId="3F3B210A" w14:textId="77777777" w:rsidR="008B5888" w:rsidRDefault="008B5888" w:rsidP="007666EE">
            <w:pPr>
              <w:rPr>
                <w:lang w:eastAsia="pt-PT"/>
              </w:rPr>
            </w:pPr>
            <w:r>
              <w:rPr>
                <w:lang w:eastAsia="pt-PT"/>
              </w:rPr>
              <w:t>STE</w:t>
            </w:r>
          </w:p>
        </w:tc>
        <w:tc>
          <w:tcPr>
            <w:tcW w:w="7612" w:type="dxa"/>
          </w:tcPr>
          <w:p w14:paraId="5A6F5C2A" w14:textId="77777777" w:rsidR="008B5888" w:rsidRDefault="008B5888" w:rsidP="007666EE">
            <w:pPr>
              <w:rPr>
                <w:lang w:eastAsia="pt-PT"/>
              </w:rPr>
            </w:pPr>
            <w:r>
              <w:rPr>
                <w:lang w:eastAsia="pt-PT"/>
              </w:rPr>
              <w:t>Short-term experiment</w:t>
            </w:r>
          </w:p>
        </w:tc>
      </w:tr>
      <w:tr w:rsidR="008B5888" w14:paraId="1C676666" w14:textId="77777777" w:rsidTr="007666EE">
        <w:tc>
          <w:tcPr>
            <w:tcW w:w="1794" w:type="dxa"/>
          </w:tcPr>
          <w:p w14:paraId="28453692" w14:textId="77777777" w:rsidR="008B5888" w:rsidRDefault="008B5888" w:rsidP="007666EE">
            <w:pPr>
              <w:rPr>
                <w:lang w:eastAsia="pt-PT"/>
              </w:rPr>
            </w:pPr>
            <w:r>
              <w:rPr>
                <w:lang w:eastAsia="pt-PT"/>
              </w:rPr>
              <w:t>SOC</w:t>
            </w:r>
          </w:p>
        </w:tc>
        <w:tc>
          <w:tcPr>
            <w:tcW w:w="7612" w:type="dxa"/>
          </w:tcPr>
          <w:p w14:paraId="024B4374" w14:textId="77777777" w:rsidR="008B5888" w:rsidRDefault="008B5888" w:rsidP="007666EE">
            <w:pPr>
              <w:rPr>
                <w:lang w:eastAsia="pt-PT"/>
              </w:rPr>
            </w:pPr>
            <w:r>
              <w:rPr>
                <w:lang w:eastAsia="pt-PT"/>
              </w:rPr>
              <w:t>Soil organic carbon</w:t>
            </w:r>
          </w:p>
        </w:tc>
      </w:tr>
      <w:tr w:rsidR="008B5888" w14:paraId="10FC4228" w14:textId="77777777" w:rsidTr="007666EE">
        <w:tc>
          <w:tcPr>
            <w:tcW w:w="1794" w:type="dxa"/>
          </w:tcPr>
          <w:p w14:paraId="45D025CE" w14:textId="77777777" w:rsidR="008B5888" w:rsidRPr="00307C84" w:rsidRDefault="008B5888" w:rsidP="007666EE">
            <w:pPr>
              <w:rPr>
                <w:lang w:eastAsia="pt-PT"/>
              </w:rPr>
            </w:pPr>
            <w:r w:rsidRPr="00307C84">
              <w:rPr>
                <w:lang w:eastAsia="pt-PT"/>
              </w:rPr>
              <w:t>SOER</w:t>
            </w:r>
          </w:p>
        </w:tc>
        <w:tc>
          <w:tcPr>
            <w:tcW w:w="7612" w:type="dxa"/>
          </w:tcPr>
          <w:p w14:paraId="5D473D01" w14:textId="515BC194" w:rsidR="008B5888" w:rsidRDefault="007666EE" w:rsidP="007666EE">
            <w:pPr>
              <w:rPr>
                <w:lang w:eastAsia="pt-PT"/>
              </w:rPr>
            </w:pPr>
            <w:r>
              <w:rPr>
                <w:lang w:eastAsia="pt-PT"/>
              </w:rPr>
              <w:t>State of the Environment and Outlook Report</w:t>
            </w:r>
          </w:p>
        </w:tc>
      </w:tr>
      <w:tr w:rsidR="008B5888" w14:paraId="5B6AFD23" w14:textId="77777777" w:rsidTr="007666EE">
        <w:tc>
          <w:tcPr>
            <w:tcW w:w="1794" w:type="dxa"/>
          </w:tcPr>
          <w:p w14:paraId="3882B67F" w14:textId="77777777" w:rsidR="008B5888" w:rsidRDefault="008B5888" w:rsidP="007666EE">
            <w:pPr>
              <w:rPr>
                <w:lang w:eastAsia="pt-PT"/>
              </w:rPr>
            </w:pPr>
            <w:r>
              <w:rPr>
                <w:lang w:eastAsia="pt-PT"/>
              </w:rPr>
              <w:t>SOM</w:t>
            </w:r>
          </w:p>
        </w:tc>
        <w:tc>
          <w:tcPr>
            <w:tcW w:w="7612" w:type="dxa"/>
          </w:tcPr>
          <w:p w14:paraId="09A0084C" w14:textId="77777777" w:rsidR="008B5888" w:rsidRDefault="008B5888" w:rsidP="007666EE">
            <w:pPr>
              <w:rPr>
                <w:lang w:eastAsia="pt-PT"/>
              </w:rPr>
            </w:pPr>
            <w:r>
              <w:rPr>
                <w:lang w:eastAsia="pt-PT"/>
              </w:rPr>
              <w:t>Soil organic matter</w:t>
            </w:r>
          </w:p>
        </w:tc>
      </w:tr>
      <w:tr w:rsidR="008B5888" w14:paraId="27EF41C2" w14:textId="77777777" w:rsidTr="007666EE">
        <w:tc>
          <w:tcPr>
            <w:tcW w:w="1794" w:type="dxa"/>
          </w:tcPr>
          <w:p w14:paraId="327E0407" w14:textId="77777777" w:rsidR="008B5888" w:rsidRDefault="008B5888" w:rsidP="007666EE">
            <w:pPr>
              <w:rPr>
                <w:lang w:eastAsia="pt-PT"/>
              </w:rPr>
            </w:pPr>
            <w:r w:rsidRPr="00CC53C9">
              <w:rPr>
                <w:lang w:eastAsia="pt-PT"/>
              </w:rPr>
              <w:t>SSM</w:t>
            </w:r>
          </w:p>
        </w:tc>
        <w:tc>
          <w:tcPr>
            <w:tcW w:w="7612" w:type="dxa"/>
          </w:tcPr>
          <w:p w14:paraId="276D51FE" w14:textId="17C5F9AC" w:rsidR="008B5888" w:rsidRDefault="00CC53C9" w:rsidP="007666EE">
            <w:pPr>
              <w:rPr>
                <w:lang w:eastAsia="pt-PT"/>
              </w:rPr>
            </w:pPr>
            <w:r>
              <w:rPr>
                <w:lang w:eastAsia="pt-PT"/>
              </w:rPr>
              <w:t>Sustainable Soil Management</w:t>
            </w:r>
          </w:p>
        </w:tc>
      </w:tr>
      <w:tr w:rsidR="008B5888" w14:paraId="16DA4D62" w14:textId="77777777" w:rsidTr="007666EE">
        <w:tc>
          <w:tcPr>
            <w:tcW w:w="1794" w:type="dxa"/>
          </w:tcPr>
          <w:p w14:paraId="20BA8A11" w14:textId="77777777" w:rsidR="008B5888" w:rsidRDefault="008B5888" w:rsidP="007666EE">
            <w:pPr>
              <w:rPr>
                <w:lang w:eastAsia="pt-PT"/>
              </w:rPr>
            </w:pPr>
            <w:r>
              <w:rPr>
                <w:lang w:eastAsia="pt-PT"/>
              </w:rPr>
              <w:t>SV</w:t>
            </w:r>
          </w:p>
        </w:tc>
        <w:tc>
          <w:tcPr>
            <w:tcW w:w="7612" w:type="dxa"/>
          </w:tcPr>
          <w:p w14:paraId="2F4F78CE" w14:textId="77777777" w:rsidR="008B5888" w:rsidRDefault="008B5888" w:rsidP="007666EE">
            <w:pPr>
              <w:rPr>
                <w:lang w:eastAsia="pt-PT"/>
              </w:rPr>
            </w:pPr>
            <w:r>
              <w:rPr>
                <w:lang w:eastAsia="pt-PT"/>
              </w:rPr>
              <w:t>Screening value</w:t>
            </w:r>
          </w:p>
        </w:tc>
      </w:tr>
      <w:tr w:rsidR="008B5888" w14:paraId="60F12E0E" w14:textId="77777777" w:rsidTr="007666EE">
        <w:tc>
          <w:tcPr>
            <w:tcW w:w="1794" w:type="dxa"/>
          </w:tcPr>
          <w:p w14:paraId="4FD75436" w14:textId="77777777" w:rsidR="008B5888" w:rsidRDefault="008B5888" w:rsidP="007666EE">
            <w:pPr>
              <w:rPr>
                <w:lang w:eastAsia="pt-PT"/>
              </w:rPr>
            </w:pPr>
            <w:r>
              <w:rPr>
                <w:lang w:eastAsia="pt-PT"/>
              </w:rPr>
              <w:t>TM</w:t>
            </w:r>
          </w:p>
        </w:tc>
        <w:tc>
          <w:tcPr>
            <w:tcW w:w="7612" w:type="dxa"/>
          </w:tcPr>
          <w:p w14:paraId="12C66A85" w14:textId="77777777" w:rsidR="008B5888" w:rsidRDefault="008B5888" w:rsidP="007666EE">
            <w:pPr>
              <w:rPr>
                <w:lang w:eastAsia="pt-PT"/>
              </w:rPr>
            </w:pPr>
            <w:r>
              <w:rPr>
                <w:lang w:eastAsia="pt-PT"/>
              </w:rPr>
              <w:t>Trace metals</w:t>
            </w:r>
          </w:p>
        </w:tc>
      </w:tr>
      <w:tr w:rsidR="008D5F87" w14:paraId="584464D9" w14:textId="77777777" w:rsidTr="003E7E6E">
        <w:tc>
          <w:tcPr>
            <w:tcW w:w="1794" w:type="dxa"/>
          </w:tcPr>
          <w:p w14:paraId="5B4DD956" w14:textId="549A1A93" w:rsidR="008D5F87" w:rsidRDefault="008D5F87" w:rsidP="003E7E6E">
            <w:pPr>
              <w:rPr>
                <w:lang w:eastAsia="pt-PT"/>
              </w:rPr>
            </w:pPr>
            <w:r w:rsidRPr="008D5F87">
              <w:t>US EPA</w:t>
            </w:r>
          </w:p>
        </w:tc>
        <w:tc>
          <w:tcPr>
            <w:tcW w:w="7612" w:type="dxa"/>
          </w:tcPr>
          <w:p w14:paraId="5497A291" w14:textId="5D7D0635" w:rsidR="008D5F87" w:rsidRDefault="008D5F87" w:rsidP="003E7E6E">
            <w:pPr>
              <w:rPr>
                <w:lang w:eastAsia="pt-PT"/>
              </w:rPr>
            </w:pPr>
            <w:r w:rsidRPr="008D5F87">
              <w:t>United States Environmental Protection Agency</w:t>
            </w:r>
          </w:p>
        </w:tc>
      </w:tr>
      <w:tr w:rsidR="00011F24" w14:paraId="6E7C8E78" w14:textId="77777777" w:rsidTr="003E7E6E">
        <w:tc>
          <w:tcPr>
            <w:tcW w:w="1794" w:type="dxa"/>
          </w:tcPr>
          <w:p w14:paraId="1F6C8CEE" w14:textId="080E2869" w:rsidR="00011F24" w:rsidRDefault="00011F24" w:rsidP="003E7E6E">
            <w:pPr>
              <w:rPr>
                <w:lang w:eastAsia="pt-PT"/>
              </w:rPr>
            </w:pPr>
            <w:r>
              <w:rPr>
                <w:lang w:eastAsia="pt-PT"/>
              </w:rPr>
              <w:t>USLE</w:t>
            </w:r>
          </w:p>
        </w:tc>
        <w:tc>
          <w:tcPr>
            <w:tcW w:w="7612" w:type="dxa"/>
          </w:tcPr>
          <w:p w14:paraId="226742DB" w14:textId="11B44D42" w:rsidR="00011F24" w:rsidRDefault="00011F24" w:rsidP="003E7E6E">
            <w:pPr>
              <w:rPr>
                <w:lang w:eastAsia="pt-PT"/>
              </w:rPr>
            </w:pPr>
            <w:r w:rsidRPr="00011F24">
              <w:rPr>
                <w:lang w:eastAsia="pt-PT"/>
              </w:rPr>
              <w:t>U</w:t>
            </w:r>
            <w:r>
              <w:rPr>
                <w:lang w:eastAsia="pt-PT"/>
              </w:rPr>
              <w:t>niversal Soil Loss Equation</w:t>
            </w:r>
          </w:p>
        </w:tc>
      </w:tr>
      <w:tr w:rsidR="00011F24" w14:paraId="4AAD4E4C" w14:textId="77777777" w:rsidTr="003E7E6E">
        <w:tc>
          <w:tcPr>
            <w:tcW w:w="1794" w:type="dxa"/>
          </w:tcPr>
          <w:p w14:paraId="65C80BA2" w14:textId="23FB8875" w:rsidR="00011F24" w:rsidRDefault="00011F24" w:rsidP="003E7E6E">
            <w:pPr>
              <w:rPr>
                <w:lang w:eastAsia="pt-PT"/>
              </w:rPr>
            </w:pPr>
            <w:r>
              <w:rPr>
                <w:lang w:eastAsia="pt-PT"/>
              </w:rPr>
              <w:t>VESS</w:t>
            </w:r>
          </w:p>
        </w:tc>
        <w:tc>
          <w:tcPr>
            <w:tcW w:w="7612" w:type="dxa"/>
          </w:tcPr>
          <w:p w14:paraId="46732709" w14:textId="433EA564" w:rsidR="00011F24" w:rsidRDefault="00011F24" w:rsidP="003E7E6E">
            <w:pPr>
              <w:rPr>
                <w:lang w:eastAsia="pt-PT"/>
              </w:rPr>
            </w:pPr>
            <w:r>
              <w:rPr>
                <w:lang w:eastAsia="pt-PT"/>
              </w:rPr>
              <w:t>Visual Evaluation of Soil Structure</w:t>
            </w:r>
          </w:p>
        </w:tc>
      </w:tr>
      <w:tr w:rsidR="00B16BA5" w14:paraId="707ED7BC" w14:textId="77777777" w:rsidTr="003E7E6E">
        <w:tc>
          <w:tcPr>
            <w:tcW w:w="1794" w:type="dxa"/>
          </w:tcPr>
          <w:p w14:paraId="64BA2BB1" w14:textId="1AD35923" w:rsidR="00B16BA5" w:rsidRDefault="00B16BA5" w:rsidP="003E7E6E">
            <w:pPr>
              <w:rPr>
                <w:lang w:eastAsia="pt-PT"/>
              </w:rPr>
            </w:pPr>
            <w:r>
              <w:rPr>
                <w:lang w:eastAsia="pt-PT"/>
              </w:rPr>
              <w:t>WFD</w:t>
            </w:r>
          </w:p>
        </w:tc>
        <w:tc>
          <w:tcPr>
            <w:tcW w:w="7612" w:type="dxa"/>
          </w:tcPr>
          <w:p w14:paraId="552B12D8" w14:textId="458268FC" w:rsidR="00B16BA5" w:rsidRDefault="00B16BA5" w:rsidP="003E7E6E">
            <w:pPr>
              <w:rPr>
                <w:lang w:eastAsia="pt-PT"/>
              </w:rPr>
            </w:pPr>
            <w:r>
              <w:rPr>
                <w:lang w:eastAsia="pt-PT"/>
              </w:rPr>
              <w:t>Water Framework Directive</w:t>
            </w:r>
          </w:p>
        </w:tc>
      </w:tr>
      <w:tr w:rsidR="00011F24" w14:paraId="463160D9" w14:textId="77777777" w:rsidTr="003E7E6E">
        <w:tc>
          <w:tcPr>
            <w:tcW w:w="1794" w:type="dxa"/>
          </w:tcPr>
          <w:p w14:paraId="5DF74A27" w14:textId="55F88905" w:rsidR="00011F24" w:rsidRDefault="00011F24" w:rsidP="003E7E6E">
            <w:pPr>
              <w:rPr>
                <w:lang w:eastAsia="pt-PT"/>
              </w:rPr>
            </w:pPr>
            <w:r>
              <w:rPr>
                <w:lang w:eastAsia="pt-PT"/>
              </w:rPr>
              <w:t>WEPP</w:t>
            </w:r>
          </w:p>
        </w:tc>
        <w:tc>
          <w:tcPr>
            <w:tcW w:w="7612" w:type="dxa"/>
          </w:tcPr>
          <w:p w14:paraId="72E494E7" w14:textId="07F9DEAE" w:rsidR="00011F24" w:rsidRDefault="00011F24" w:rsidP="003E7E6E">
            <w:pPr>
              <w:rPr>
                <w:lang w:eastAsia="pt-PT"/>
              </w:rPr>
            </w:pPr>
            <w:r w:rsidRPr="00011F24">
              <w:rPr>
                <w:lang w:eastAsia="pt-PT"/>
              </w:rPr>
              <w:t xml:space="preserve">Water </w:t>
            </w:r>
            <w:r>
              <w:rPr>
                <w:lang w:eastAsia="pt-PT"/>
              </w:rPr>
              <w:t>Erosion Prediction Project</w:t>
            </w:r>
          </w:p>
        </w:tc>
      </w:tr>
    </w:tbl>
    <w:p w14:paraId="6F9DC9CC" w14:textId="0749B829" w:rsidR="00D266A8" w:rsidRDefault="00D266A8">
      <w:pPr>
        <w:suppressAutoHyphens w:val="0"/>
        <w:jc w:val="left"/>
        <w:rPr>
          <w:lang w:val="pt-PT"/>
        </w:rPr>
        <w:sectPr w:rsidR="00D266A8" w:rsidSect="002B4D00">
          <w:footerReference w:type="even" r:id="rId21"/>
          <w:footerReference w:type="default" r:id="rId22"/>
          <w:headerReference w:type="first" r:id="rId23"/>
          <w:footerReference w:type="first" r:id="rId24"/>
          <w:type w:val="nextColumn"/>
          <w:pgSz w:w="11900" w:h="16840"/>
          <w:pgMar w:top="1247" w:right="1247" w:bottom="1247" w:left="1247" w:header="0" w:footer="505" w:gutter="0"/>
          <w:pgNumType w:fmt="upperRoman" w:start="1"/>
          <w:cols w:space="708"/>
          <w:titlePg/>
          <w:docGrid w:linePitch="360"/>
        </w:sectPr>
      </w:pPr>
    </w:p>
    <w:p w14:paraId="34C93D9C" w14:textId="1EE2D3F9" w:rsidR="00885BE2" w:rsidRPr="00DA039D" w:rsidRDefault="00885BE2" w:rsidP="00885BE2">
      <w:pPr>
        <w:pStyle w:val="berschrift1"/>
        <w:numPr>
          <w:ilvl w:val="0"/>
          <w:numId w:val="0"/>
        </w:numPr>
        <w:ind w:left="432" w:hanging="432"/>
        <w:rPr>
          <w:lang w:val="pt-PT"/>
        </w:rPr>
      </w:pPr>
      <w:bookmarkStart w:id="7" w:name="_Toc59005175"/>
      <w:bookmarkStart w:id="8" w:name="_Toc83997316"/>
      <w:r>
        <w:rPr>
          <w:lang w:val="pt-PT"/>
        </w:rPr>
        <w:lastRenderedPageBreak/>
        <w:t>About this report</w:t>
      </w:r>
      <w:bookmarkEnd w:id="7"/>
      <w:bookmarkEnd w:id="8"/>
    </w:p>
    <w:p w14:paraId="274D5221" w14:textId="77777777" w:rsidR="00885BE2" w:rsidRDefault="00885BE2" w:rsidP="007C0E26"/>
    <w:p w14:paraId="5C548844" w14:textId="629DDC61" w:rsidR="00885BE2" w:rsidRDefault="00885BE2" w:rsidP="007C0E26">
      <w:r>
        <w:t xml:space="preserve">For the last </w:t>
      </w:r>
      <w:r w:rsidR="008B5888">
        <w:t>f</w:t>
      </w:r>
      <w:r>
        <w:t xml:space="preserve">ew years, the European Topic Centre on Urban Land and Soil Systems (ETC/ULS) has </w:t>
      </w:r>
      <w:r w:rsidR="00DC02A8">
        <w:t>followed</w:t>
      </w:r>
      <w:r>
        <w:t xml:space="preserve"> EU-level research and literature on soil indicators, its relation to soil functions and soil threats, its mapping and assessment. The objective of this report </w:t>
      </w:r>
      <w:r w:rsidR="007A75E3">
        <w:t>is</w:t>
      </w:r>
      <w:r>
        <w:t xml:space="preserve"> to synthesize the current knowledge about soil indicators in the context of land degradation, ecosystem condition and soil resource use efficiency. </w:t>
      </w:r>
    </w:p>
    <w:p w14:paraId="31FC6F19" w14:textId="77777777" w:rsidR="00885BE2" w:rsidRDefault="00885BE2" w:rsidP="007C0E26"/>
    <w:p w14:paraId="3C3ED61E" w14:textId="5E1DB7E9" w:rsidR="00885BE2" w:rsidRDefault="00885BE2" w:rsidP="007C0E26">
      <w:r>
        <w:t xml:space="preserve">The ETC/ULS is a part of the Environmental Information and Observation Network (Eionet), which supports various EEA activity streams, in close cooperation with the National Reference Centres Soil (NRC Soil). Progress and tasks of the ETC/ULS are regularly discussed, </w:t>
      </w:r>
      <w:r w:rsidR="00FB79C7">
        <w:t>reviewed,</w:t>
      </w:r>
      <w:r>
        <w:t xml:space="preserve"> and further supported by the NRC Soil. While this report is deeply anchored in this cooperation, additional experts were consulted to </w:t>
      </w:r>
      <w:r w:rsidR="00FB79C7">
        <w:t>complete,</w:t>
      </w:r>
      <w:r>
        <w:t xml:space="preserve"> and quality assure the various indicators as they cover a broad range of soil threats. In addition, the report has been broadly reviewed</w:t>
      </w:r>
      <w:r w:rsidR="009F28FC">
        <w:t xml:space="preserve"> by researchers and </w:t>
      </w:r>
      <w:r w:rsidR="00F81EB1">
        <w:t>policy representatives.</w:t>
      </w:r>
      <w:r>
        <w:t xml:space="preserve"> </w:t>
      </w:r>
    </w:p>
    <w:p w14:paraId="51A9140A" w14:textId="77777777" w:rsidR="00885BE2" w:rsidRDefault="00885BE2" w:rsidP="007C0E26"/>
    <w:p w14:paraId="5E72A6FC" w14:textId="19CDD1BC" w:rsidR="00885BE2" w:rsidRDefault="00885BE2" w:rsidP="007C0E26">
      <w:r>
        <w:t xml:space="preserve">Both above-mentioned objectives – soil resource use efficiency and soil degradation assessment - are difficult to achieve, provided the vast </w:t>
      </w:r>
      <w:r w:rsidR="00FB79C7">
        <w:t>number</w:t>
      </w:r>
      <w:r>
        <w:t xml:space="preserve"> of available publications, and – in </w:t>
      </w:r>
      <w:r w:rsidR="00451387">
        <w:t>contrast</w:t>
      </w:r>
      <w:r>
        <w:t xml:space="preserve"> - the lack of exhaustive, applicable</w:t>
      </w:r>
      <w:r w:rsidR="00112B64">
        <w:t>,</w:t>
      </w:r>
      <w:r>
        <w:t xml:space="preserve"> </w:t>
      </w:r>
      <w:r w:rsidR="00FB79C7">
        <w:t>repeatable,</w:t>
      </w:r>
      <w:r w:rsidR="00112B64">
        <w:t xml:space="preserve"> and agreed definitions, </w:t>
      </w:r>
      <w:r w:rsidR="00FB79C7">
        <w:t>sampling,</w:t>
      </w:r>
      <w:r w:rsidR="00112B64">
        <w:t xml:space="preserve"> and analytical </w:t>
      </w:r>
      <w:r>
        <w:t xml:space="preserve">methods. This report contains the currently known definitions of </w:t>
      </w:r>
      <w:r w:rsidR="004B5E4F">
        <w:t xml:space="preserve">priority </w:t>
      </w:r>
      <w:r>
        <w:t xml:space="preserve">soil </w:t>
      </w:r>
      <w:r w:rsidR="00FB79C7">
        <w:t>indicators and</w:t>
      </w:r>
      <w:r>
        <w:t xml:space="preserve"> extends these definitions where needed. It also collects relevant information about available thresholds and evaluation schemes.</w:t>
      </w:r>
    </w:p>
    <w:p w14:paraId="6F7D0C34" w14:textId="77777777" w:rsidR="00885BE2" w:rsidRDefault="00885BE2" w:rsidP="007C0E26"/>
    <w:p w14:paraId="2B4A0DFE" w14:textId="5BC18870" w:rsidR="00885BE2" w:rsidRDefault="00885BE2" w:rsidP="007C0E26">
      <w:r>
        <w:t xml:space="preserve">This report will not explain how soil properties can be measured, or how </w:t>
      </w:r>
      <w:r w:rsidR="00DC02A8">
        <w:t xml:space="preserve">a European </w:t>
      </w:r>
      <w:r>
        <w:t xml:space="preserve">soil monitoring </w:t>
      </w:r>
      <w:r w:rsidR="00DC02A8">
        <w:t xml:space="preserve">system </w:t>
      </w:r>
      <w:r>
        <w:t>can look like</w:t>
      </w:r>
      <w:r>
        <w:rPr>
          <w:rStyle w:val="Funotenzeichen"/>
        </w:rPr>
        <w:footnoteReference w:id="1"/>
      </w:r>
      <w:r w:rsidR="00466E77">
        <w:t xml:space="preserve"> - though some specifications are provided</w:t>
      </w:r>
      <w:r>
        <w:t xml:space="preserve">. Rather, this report defines prominent indicators related to soil quality, and how they can be evaluated. </w:t>
      </w:r>
    </w:p>
    <w:p w14:paraId="5307A0B7" w14:textId="77777777" w:rsidR="00885BE2" w:rsidRDefault="00885BE2" w:rsidP="007C0E26"/>
    <w:p w14:paraId="2515CB25" w14:textId="77777777" w:rsidR="00885BE2" w:rsidRDefault="00885BE2" w:rsidP="00885BE2">
      <w:pPr>
        <w:suppressAutoHyphens w:val="0"/>
        <w:jc w:val="left"/>
        <w:rPr>
          <w:b/>
        </w:rPr>
      </w:pPr>
      <w:r>
        <w:rPr>
          <w:b/>
        </w:rPr>
        <w:br w:type="page"/>
      </w:r>
    </w:p>
    <w:p w14:paraId="501F0CAD" w14:textId="5DB52DFA" w:rsidR="00885BE2" w:rsidRPr="00DA039D" w:rsidRDefault="00885BE2" w:rsidP="00885BE2">
      <w:pPr>
        <w:pStyle w:val="berschrift1"/>
        <w:numPr>
          <w:ilvl w:val="0"/>
          <w:numId w:val="0"/>
        </w:numPr>
        <w:ind w:left="432" w:hanging="432"/>
        <w:rPr>
          <w:lang w:val="pt-PT"/>
        </w:rPr>
      </w:pPr>
      <w:bookmarkStart w:id="9" w:name="_Toc55205932"/>
      <w:bookmarkStart w:id="10" w:name="_Toc59005176"/>
      <w:bookmarkStart w:id="11" w:name="_Toc83997317"/>
      <w:r w:rsidRPr="00DA039D">
        <w:rPr>
          <w:lang w:val="pt-PT"/>
        </w:rPr>
        <w:lastRenderedPageBreak/>
        <w:t>Executive Summary</w:t>
      </w:r>
      <w:bookmarkEnd w:id="9"/>
      <w:bookmarkEnd w:id="10"/>
      <w:bookmarkEnd w:id="11"/>
    </w:p>
    <w:p w14:paraId="52363891" w14:textId="77777777" w:rsidR="00885BE2" w:rsidRDefault="00885BE2" w:rsidP="007C0E26"/>
    <w:p w14:paraId="0524E5DA" w14:textId="340D78BF" w:rsidR="00885BE2" w:rsidRDefault="00885BE2" w:rsidP="007C0E26">
      <w:r>
        <w:t xml:space="preserve">Soil is a finite, non-renewable resource because its regeneration takes longer than a human lifetime. </w:t>
      </w:r>
      <w:r w:rsidR="00A33570">
        <w:t>Soil</w:t>
      </w:r>
      <w:r>
        <w:t xml:space="preserve"> is a </w:t>
      </w:r>
      <w:r w:rsidR="00A33570">
        <w:t xml:space="preserve">fundamental resource </w:t>
      </w:r>
      <w:r>
        <w:t xml:space="preserve">of Europe’s natural capital, and it contributes to basic human needs by supporting, </w:t>
      </w:r>
      <w:r w:rsidR="00A33570">
        <w:t>among others</w:t>
      </w:r>
      <w:r>
        <w:t xml:space="preserve">, food provision and water purification, while acting as a major store for organic carbon and a habitat for extremely diverse biological communities. </w:t>
      </w:r>
    </w:p>
    <w:p w14:paraId="73928122" w14:textId="77777777" w:rsidR="00885BE2" w:rsidRDefault="00885BE2" w:rsidP="007C0E26"/>
    <w:p w14:paraId="5670E43F" w14:textId="77777777" w:rsidR="00885BE2" w:rsidRDefault="00885BE2" w:rsidP="007C0E26">
      <w:r>
        <w:t>European soils are under increasing pressure. Key trends are above all:</w:t>
      </w:r>
    </w:p>
    <w:p w14:paraId="43F11822" w14:textId="77777777" w:rsidR="00885BE2" w:rsidRDefault="00885BE2" w:rsidP="008F3498">
      <w:pPr>
        <w:pStyle w:val="EEAbullet"/>
      </w:pPr>
      <w:r>
        <w:t>Urban sprawl and low land recycling rates condition continued soil loss from sealing and soil replacement (e.g. for construction).</w:t>
      </w:r>
    </w:p>
    <w:p w14:paraId="1337A2A0" w14:textId="77777777" w:rsidR="00885BE2" w:rsidRDefault="00885BE2" w:rsidP="008F3498">
      <w:pPr>
        <w:pStyle w:val="EEAbullet"/>
      </w:pPr>
      <w:r>
        <w:t xml:space="preserve">Intensification of agriculture where use of fertilizers and plant protection products is high, </w:t>
      </w:r>
    </w:p>
    <w:p w14:paraId="58669889" w14:textId="0EC26FB7" w:rsidR="00885BE2" w:rsidRDefault="00885BE2" w:rsidP="008F3498">
      <w:pPr>
        <w:pStyle w:val="EEAbullet"/>
      </w:pPr>
      <w:r>
        <w:t xml:space="preserve">Climate change, where it </w:t>
      </w:r>
      <w:r w:rsidR="00FB79C7">
        <w:t>causes</w:t>
      </w:r>
      <w:r>
        <w:t xml:space="preserve"> weather extremes such as drought and wildfires.</w:t>
      </w:r>
    </w:p>
    <w:p w14:paraId="72F69363" w14:textId="77777777" w:rsidR="00885BE2" w:rsidRDefault="00885BE2" w:rsidP="00885BE2"/>
    <w:p w14:paraId="78813213" w14:textId="76FF5797" w:rsidR="00885BE2" w:rsidRDefault="00A33570" w:rsidP="00885BE2">
      <w:r>
        <w:t>However, l</w:t>
      </w:r>
      <w:r w:rsidR="00885BE2">
        <w:t>and management also positively influence</w:t>
      </w:r>
      <w:r>
        <w:t>s</w:t>
      </w:r>
      <w:r w:rsidR="00885BE2">
        <w:t xml:space="preserve"> soil quality. Many soil functions can be improved if appropriate practices are in place, </w:t>
      </w:r>
      <w:r w:rsidR="00036135">
        <w:t>particularly to</w:t>
      </w:r>
      <w:r w:rsidR="00885BE2">
        <w:t xml:space="preserve"> sequester soil carbon and maintain or improve soil biodiversity. Other soil functions can be preserved where certain pressures from intensive land use prevent erosion and compaction.</w:t>
      </w:r>
    </w:p>
    <w:p w14:paraId="0F6AFF83" w14:textId="77777777" w:rsidR="00885BE2" w:rsidRDefault="00885BE2" w:rsidP="00885BE2"/>
    <w:p w14:paraId="16D8FAC4" w14:textId="1B29E25F" w:rsidR="00885BE2" w:rsidRDefault="00885BE2" w:rsidP="00885BE2">
      <w:r w:rsidRPr="00D82805">
        <w:t>Resilient</w:t>
      </w:r>
      <w:r w:rsidR="00A845C8">
        <w:t>, healthy</w:t>
      </w:r>
      <w:r w:rsidRPr="00D82805">
        <w:t xml:space="preserve"> soils are important to help reducing ecological and economic impact from environmental change and extreme conditions. </w:t>
      </w:r>
      <w:r w:rsidR="00A845C8">
        <w:t>They</w:t>
      </w:r>
      <w:r w:rsidRPr="00D82805">
        <w:t xml:space="preserve"> are an integral element of the European Green Deal, and a target of environmental measures under the Common Agricultural Policy. </w:t>
      </w:r>
      <w:r w:rsidR="00036135" w:rsidRPr="00D82805">
        <w:t>To</w:t>
      </w:r>
      <w:r w:rsidRPr="00D82805">
        <w:t xml:space="preserve"> support protection target</w:t>
      </w:r>
      <w:r w:rsidR="00A11189">
        <w:t>s</w:t>
      </w:r>
      <w:r w:rsidRPr="00D82805">
        <w:t xml:space="preserve"> related to soils, its </w:t>
      </w:r>
      <w:r w:rsidR="00A11189">
        <w:t xml:space="preserve">condition and </w:t>
      </w:r>
      <w:r w:rsidRPr="00D82805">
        <w:t>function</w:t>
      </w:r>
      <w:r w:rsidR="00A11189">
        <w:t>ing</w:t>
      </w:r>
      <w:r w:rsidRPr="00D82805">
        <w:t xml:space="preserve"> must be assessed</w:t>
      </w:r>
      <w:r>
        <w:t xml:space="preserve"> using proper indicator sets and thresholds, which signal to practitioners and policy makers the success of the recommended management practices. </w:t>
      </w:r>
    </w:p>
    <w:p w14:paraId="1D18F132" w14:textId="77777777" w:rsidR="00885BE2" w:rsidRDefault="00885BE2" w:rsidP="00885BE2"/>
    <w:p w14:paraId="60E9C349" w14:textId="7A0A0962" w:rsidR="00885BE2" w:rsidRDefault="00885BE2" w:rsidP="00885BE2">
      <w:r>
        <w:t xml:space="preserve">The development of adequate and broadly applicable indicators and thresholds is challenged by the great diversity of European soils and climate, as well as different political, </w:t>
      </w:r>
      <w:r w:rsidR="00036135">
        <w:t>economic,</w:t>
      </w:r>
      <w:r>
        <w:t xml:space="preserve"> and social conditions which lead to different priority settings for targets and indicators. There are 23 main soil types</w:t>
      </w:r>
      <w:r>
        <w:rPr>
          <w:rStyle w:val="Funotenzeichen"/>
        </w:rPr>
        <w:footnoteReference w:id="2"/>
      </w:r>
      <w:r>
        <w:t>, four prevailing macroclimatic zones</w:t>
      </w:r>
      <w:r>
        <w:rPr>
          <w:rStyle w:val="Funotenzeichen"/>
        </w:rPr>
        <w:footnoteReference w:id="3"/>
      </w:r>
      <w:r>
        <w:t>, and eight recognised soil threats</w:t>
      </w:r>
      <w:r>
        <w:rPr>
          <w:rStyle w:val="Funotenzeichen"/>
        </w:rPr>
        <w:footnoteReference w:id="4"/>
      </w:r>
      <w:r>
        <w:t xml:space="preserve">, which all together form a complex matrix of basic different environmental growing conditions, whereas each of them requires specific responses to optimize and sustainably use the available resources. </w:t>
      </w:r>
    </w:p>
    <w:p w14:paraId="02F5A33C" w14:textId="77777777" w:rsidR="00885BE2" w:rsidRDefault="00885BE2" w:rsidP="00885BE2"/>
    <w:p w14:paraId="2483F4DD" w14:textId="48B256D0" w:rsidR="00885BE2" w:rsidRDefault="00885BE2" w:rsidP="00885BE2">
      <w:r>
        <w:t xml:space="preserve">This report describes the rationale for a series of common and broadly accepted soil quality indicators. The indicators were selected in view of their appropriateness to assess the condition of soils, its degradation, its </w:t>
      </w:r>
      <w:r w:rsidR="00036135">
        <w:t>resilience,</w:t>
      </w:r>
      <w:r>
        <w:t xml:space="preserve"> and its valuable services. In particular, the available state-of-the-art knowledge has been compiled to evaluate each indicator using thresholds for the good condition of soils. In this respect, the report provides a framework for the observation of soils, using a broadly accepted indicators; they are herewith specified with the objective to help achieving the best possible degree of harmonization.</w:t>
      </w:r>
    </w:p>
    <w:p w14:paraId="75558160" w14:textId="77777777" w:rsidR="00885BE2" w:rsidRDefault="00885BE2" w:rsidP="00885BE2">
      <w:pPr>
        <w:suppressAutoHyphens w:val="0"/>
        <w:jc w:val="left"/>
        <w:rPr>
          <w:lang w:eastAsia="pt-PT"/>
        </w:rPr>
      </w:pPr>
    </w:p>
    <w:p w14:paraId="6C512E77" w14:textId="77777777" w:rsidR="00885BE2" w:rsidRDefault="00885BE2" w:rsidP="00885BE2">
      <w:pPr>
        <w:suppressAutoHyphens w:val="0"/>
        <w:jc w:val="left"/>
        <w:rPr>
          <w:lang w:eastAsia="pt-PT"/>
        </w:rPr>
      </w:pPr>
    </w:p>
    <w:p w14:paraId="01708F55" w14:textId="77777777" w:rsidR="00885BE2" w:rsidRDefault="00885BE2" w:rsidP="00885BE2">
      <w:pPr>
        <w:rPr>
          <w:lang w:eastAsia="pt-PT"/>
        </w:rPr>
        <w:sectPr w:rsidR="00885BE2" w:rsidSect="00885BE2">
          <w:footerReference w:type="first" r:id="rId25"/>
          <w:type w:val="nextColumn"/>
          <w:pgSz w:w="11900" w:h="16840"/>
          <w:pgMar w:top="1247" w:right="1247" w:bottom="1247" w:left="1247" w:header="0" w:footer="505" w:gutter="0"/>
          <w:pgNumType w:start="1"/>
          <w:cols w:space="708"/>
          <w:titlePg/>
          <w:docGrid w:linePitch="360"/>
        </w:sectPr>
      </w:pPr>
    </w:p>
    <w:p w14:paraId="55C56128" w14:textId="77777777" w:rsidR="006859BE" w:rsidRDefault="006859BE">
      <w:pPr>
        <w:suppressAutoHyphens w:val="0"/>
        <w:jc w:val="left"/>
        <w:rPr>
          <w:rFonts w:cs="Times New Roman"/>
          <w:bCs/>
          <w:color w:val="008173"/>
          <w:sz w:val="28"/>
          <w:szCs w:val="28"/>
        </w:rPr>
      </w:pPr>
      <w:bookmarkStart w:id="12" w:name="_Toc53734618"/>
      <w:bookmarkStart w:id="13" w:name="_Toc55299177"/>
      <w:bookmarkStart w:id="14" w:name="_Toc59005177"/>
      <w:r>
        <w:br w:type="page"/>
      </w:r>
    </w:p>
    <w:p w14:paraId="56376C58" w14:textId="67A96B45" w:rsidR="00885BE2" w:rsidRDefault="00885BE2" w:rsidP="0048743B">
      <w:pPr>
        <w:pStyle w:val="berschrift1"/>
        <w:numPr>
          <w:ilvl w:val="0"/>
          <w:numId w:val="8"/>
        </w:numPr>
        <w:tabs>
          <w:tab w:val="clear" w:pos="567"/>
        </w:tabs>
        <w:ind w:left="426" w:hanging="426"/>
      </w:pPr>
      <w:bookmarkStart w:id="15" w:name="_Toc83997318"/>
      <w:r w:rsidRPr="00E44DEB">
        <w:lastRenderedPageBreak/>
        <w:t xml:space="preserve">Soil </w:t>
      </w:r>
      <w:r>
        <w:t>quality</w:t>
      </w:r>
      <w:r w:rsidRPr="00E44DEB">
        <w:t xml:space="preserve"> assessment</w:t>
      </w:r>
      <w:bookmarkEnd w:id="12"/>
      <w:bookmarkEnd w:id="13"/>
      <w:bookmarkEnd w:id="14"/>
      <w:bookmarkEnd w:id="15"/>
    </w:p>
    <w:p w14:paraId="27445C37" w14:textId="77777777" w:rsidR="00885BE2" w:rsidRDefault="00885BE2" w:rsidP="00885BE2"/>
    <w:tbl>
      <w:tblPr>
        <w:tblW w:w="0" w:type="auto"/>
        <w:shd w:val="clear" w:color="auto" w:fill="D9D9D9" w:themeFill="background1" w:themeFillShade="D9"/>
        <w:tblLook w:val="04A0" w:firstRow="1" w:lastRow="0" w:firstColumn="1" w:lastColumn="0" w:noHBand="0" w:noVBand="1"/>
      </w:tblPr>
      <w:tblGrid>
        <w:gridCol w:w="9406"/>
      </w:tblGrid>
      <w:tr w:rsidR="00885BE2" w14:paraId="5E3F8987" w14:textId="77777777" w:rsidTr="00885BE2">
        <w:tc>
          <w:tcPr>
            <w:tcW w:w="9546" w:type="dxa"/>
            <w:shd w:val="clear" w:color="auto" w:fill="D9D9D9" w:themeFill="background1" w:themeFillShade="D9"/>
          </w:tcPr>
          <w:p w14:paraId="04926CAC" w14:textId="77777777" w:rsidR="00885BE2" w:rsidRDefault="00885BE2" w:rsidP="00885BE2">
            <w:pPr>
              <w:pStyle w:val="EEAspacesm"/>
            </w:pPr>
          </w:p>
          <w:p w14:paraId="005FA8ED" w14:textId="77777777" w:rsidR="00885BE2" w:rsidRDefault="00885BE2" w:rsidP="00885BE2">
            <w:r w:rsidRPr="001E1796">
              <w:t>Th</w:t>
            </w:r>
            <w:r>
              <w:t>is</w:t>
            </w:r>
            <w:r w:rsidRPr="001E1796">
              <w:t xml:space="preserve"> </w:t>
            </w:r>
            <w:r>
              <w:t xml:space="preserve">chapter </w:t>
            </w:r>
          </w:p>
          <w:p w14:paraId="70E0468A" w14:textId="77777777" w:rsidR="00885BE2" w:rsidRDefault="00885BE2" w:rsidP="008F3498">
            <w:pPr>
              <w:pStyle w:val="EEAbullet0"/>
            </w:pPr>
            <w:r>
              <w:t xml:space="preserve">provides definitions for different types of soil degradation, </w:t>
            </w:r>
          </w:p>
          <w:p w14:paraId="66FF100C" w14:textId="77777777" w:rsidR="00885BE2" w:rsidRDefault="00885BE2" w:rsidP="008F3498">
            <w:pPr>
              <w:pStyle w:val="EEAbullet0"/>
            </w:pPr>
            <w:r>
              <w:t>explains the importance of thresholds for specific parameters related to soil degradation,</w:t>
            </w:r>
          </w:p>
          <w:p w14:paraId="62178495" w14:textId="77777777" w:rsidR="00885BE2" w:rsidRDefault="00885BE2" w:rsidP="008F3498">
            <w:pPr>
              <w:pStyle w:val="EEAbullet0"/>
            </w:pPr>
            <w:r>
              <w:t>proposes a methodology for soil quality assessment, and</w:t>
            </w:r>
          </w:p>
          <w:p w14:paraId="3B463B5F" w14:textId="4C1499C0" w:rsidR="00885BE2" w:rsidRDefault="00885BE2" w:rsidP="008F3498">
            <w:pPr>
              <w:pStyle w:val="EEAbullet0"/>
            </w:pPr>
            <w:proofErr w:type="gramStart"/>
            <w:r>
              <w:t>provides</w:t>
            </w:r>
            <w:proofErr w:type="gramEnd"/>
            <w:r>
              <w:t xml:space="preserve"> an overview of current EU policy requirements towards soil protection and gives an outlook to relevant emerging policies and what can be expected from them.</w:t>
            </w:r>
          </w:p>
          <w:p w14:paraId="10606CED" w14:textId="77777777" w:rsidR="00885BE2" w:rsidRDefault="00885BE2" w:rsidP="00885BE2">
            <w:pPr>
              <w:pStyle w:val="EEAspacesm"/>
            </w:pPr>
          </w:p>
        </w:tc>
      </w:tr>
    </w:tbl>
    <w:p w14:paraId="468BDA2E" w14:textId="77777777" w:rsidR="00885BE2" w:rsidRDefault="00885BE2" w:rsidP="00885BE2"/>
    <w:p w14:paraId="5ADB6E00" w14:textId="350D326A" w:rsidR="004C6A4B" w:rsidRDefault="00885BE2" w:rsidP="004C6A4B">
      <w:r w:rsidRPr="00F31706">
        <w:rPr>
          <w:b/>
          <w:bCs/>
        </w:rPr>
        <w:t>Soil quality</w:t>
      </w:r>
      <w:r>
        <w:t xml:space="preserve"> can be viewed as a measure of how </w:t>
      </w:r>
      <w:r w:rsidR="00036135">
        <w:t>soil functions</w:t>
      </w:r>
      <w:r>
        <w:t xml:space="preserve"> (</w:t>
      </w:r>
      <w:r w:rsidRPr="0090359C">
        <w:t>Schjønning</w:t>
      </w:r>
      <w:r>
        <w:t xml:space="preserve"> et al. 2004); it is </w:t>
      </w:r>
      <w:r w:rsidRPr="00DF421C">
        <w:t>the capacity of a soil to sustain its functions, including food and other biomass production, storage, filtering, buffering and transformations of natural and anthropogenic produced substances, a biological habitat and gene reservoir and a sink for carbon.</w:t>
      </w:r>
      <w:r w:rsidR="0089291C">
        <w:t xml:space="preserve"> </w:t>
      </w:r>
      <w:r w:rsidR="005B1F5C">
        <w:t xml:space="preserve">Soil quality is described using </w:t>
      </w:r>
      <w:r w:rsidR="005B1F5C" w:rsidRPr="005B1F5C">
        <w:rPr>
          <w:b/>
          <w:bCs/>
        </w:rPr>
        <w:t>indicators</w:t>
      </w:r>
      <w:r w:rsidR="005B1F5C">
        <w:t xml:space="preserve">, which are observed </w:t>
      </w:r>
      <w:r w:rsidR="00B11E12">
        <w:t xml:space="preserve">and evaluated </w:t>
      </w:r>
      <w:r w:rsidR="005B1F5C">
        <w:t xml:space="preserve">soil </w:t>
      </w:r>
      <w:r w:rsidR="00DF421C">
        <w:t>properties,</w:t>
      </w:r>
      <w:r w:rsidR="005B1F5C">
        <w:t xml:space="preserve"> </w:t>
      </w:r>
      <w:r w:rsidR="002421AC">
        <w:t xml:space="preserve">and which indicate the degree to which </w:t>
      </w:r>
      <w:r w:rsidR="00DF421C">
        <w:t xml:space="preserve">degree </w:t>
      </w:r>
      <w:r w:rsidR="002421AC">
        <w:t>soils fulfils expe</w:t>
      </w:r>
      <w:r w:rsidR="00B11E12">
        <w:t>cted functions</w:t>
      </w:r>
      <w:r w:rsidR="00DF421C">
        <w:t xml:space="preserve"> as </w:t>
      </w:r>
      <w:r>
        <w:t xml:space="preserve">needed for the wellbeing of crops, livestock, and consequently, human health. </w:t>
      </w:r>
      <w:r w:rsidR="004C6A4B">
        <w:t xml:space="preserve">Important selection criteria for indicators, and the underlying soil properties, </w:t>
      </w:r>
      <w:r w:rsidR="00CE5BC9">
        <w:t>are</w:t>
      </w:r>
      <w:r w:rsidR="004C6A4B">
        <w:t xml:space="preserve"> their </w:t>
      </w:r>
      <w:r w:rsidR="004C6A4B" w:rsidRPr="00CC0A60">
        <w:t>responsive</w:t>
      </w:r>
      <w:r w:rsidR="004C6A4B">
        <w:t>ness</w:t>
      </w:r>
      <w:r w:rsidR="004C6A4B" w:rsidRPr="00CC0A60">
        <w:t xml:space="preserve"> to management</w:t>
      </w:r>
      <w:r w:rsidR="004C6A4B">
        <w:t xml:space="preserve"> and </w:t>
      </w:r>
      <w:r w:rsidR="003F7EEA">
        <w:t xml:space="preserve">changed </w:t>
      </w:r>
      <w:r w:rsidR="004C6A4B">
        <w:t xml:space="preserve">environmental </w:t>
      </w:r>
      <w:r w:rsidR="00841E67">
        <w:t>conditions</w:t>
      </w:r>
      <w:r w:rsidR="003F7EEA">
        <w:t xml:space="preserve">; they must correlate with </w:t>
      </w:r>
      <w:r w:rsidR="003572B3">
        <w:t xml:space="preserve">soil functions and the </w:t>
      </w:r>
      <w:r w:rsidR="003F7EEA">
        <w:t>environmental process</w:t>
      </w:r>
      <w:r w:rsidR="003572B3">
        <w:t>es</w:t>
      </w:r>
      <w:r w:rsidR="003F7EEA">
        <w:t xml:space="preserve"> </w:t>
      </w:r>
      <w:r w:rsidR="003572B3">
        <w:t>affected by disturbances</w:t>
      </w:r>
      <w:r w:rsidR="009E523E">
        <w:t xml:space="preserve"> and change</w:t>
      </w:r>
      <w:r w:rsidR="004C6A4B">
        <w:t>.</w:t>
      </w:r>
    </w:p>
    <w:p w14:paraId="2C3620E2" w14:textId="77777777" w:rsidR="00885BE2" w:rsidRDefault="00885BE2" w:rsidP="00885BE2"/>
    <w:p w14:paraId="33984DE7" w14:textId="4557D462" w:rsidR="00885BE2" w:rsidRDefault="00885BE2" w:rsidP="00885BE2">
      <w:r>
        <w:t>In the context of sustainability and resource use efficiency, it appeared that many soils do not fulfil their function to the full potential (</w:t>
      </w:r>
      <w:r w:rsidRPr="004F0CD5">
        <w:t>JRC 2012; EC 2020).</w:t>
      </w:r>
      <w:r>
        <w:t xml:space="preserve"> Such soils are degraded, its functioning is less than optimal or expected; the ability of soils to provide and regulate ecosystem services is reduced. Soil monitoring, targeted to observe soil </w:t>
      </w:r>
      <w:r w:rsidR="00D074C4">
        <w:t xml:space="preserve">properties and its </w:t>
      </w:r>
      <w:r>
        <w:t xml:space="preserve">indicators over time, and in relation to management and environmental change, helps to identify the </w:t>
      </w:r>
      <w:r w:rsidR="00D074C4">
        <w:t>specific region/</w:t>
      </w:r>
      <w:r>
        <w:t xml:space="preserve">location where degradation </w:t>
      </w:r>
      <w:r w:rsidR="00D074C4">
        <w:t>prevails</w:t>
      </w:r>
      <w:r>
        <w:t>, so that measure</w:t>
      </w:r>
      <w:r w:rsidR="00D074C4">
        <w:t>s</w:t>
      </w:r>
      <w:r>
        <w:t xml:space="preserve"> to restore soil function</w:t>
      </w:r>
      <w:r w:rsidR="00D074C4">
        <w:t>s</w:t>
      </w:r>
      <w:r>
        <w:t xml:space="preserve"> can be </w:t>
      </w:r>
      <w:r w:rsidR="00D074C4">
        <w:t>applied</w:t>
      </w:r>
      <w:r>
        <w:t xml:space="preserve">. </w:t>
      </w:r>
    </w:p>
    <w:p w14:paraId="74F15B8D" w14:textId="77777777" w:rsidR="00885BE2" w:rsidRDefault="00885BE2" w:rsidP="00885BE2">
      <w:r>
        <w:t xml:space="preserve"> </w:t>
      </w:r>
    </w:p>
    <w:p w14:paraId="6A5218BF" w14:textId="089A1E22" w:rsidR="00885BE2" w:rsidRDefault="00DF421C" w:rsidP="00885BE2">
      <w:r>
        <w:t>To</w:t>
      </w:r>
      <w:r w:rsidR="00885BE2">
        <w:t xml:space="preserve"> understand at which level of indicator performance a soil fulfils its functions, thresholds are important, being either critical limits or target values. </w:t>
      </w:r>
      <w:r w:rsidR="00A67594" w:rsidRPr="00DF421C">
        <w:rPr>
          <w:b/>
          <w:bCs/>
        </w:rPr>
        <w:t>Thr</w:t>
      </w:r>
      <w:r w:rsidR="00F15CCC" w:rsidRPr="00DF421C">
        <w:rPr>
          <w:b/>
          <w:bCs/>
        </w:rPr>
        <w:t>e</w:t>
      </w:r>
      <w:r w:rsidR="00A67594" w:rsidRPr="00DF421C">
        <w:rPr>
          <w:b/>
          <w:bCs/>
        </w:rPr>
        <w:t>sholds</w:t>
      </w:r>
      <w:r w:rsidR="00A67594">
        <w:t xml:space="preserve"> are perceived as </w:t>
      </w:r>
      <w:r w:rsidR="00A67594" w:rsidRPr="00A67594">
        <w:t xml:space="preserve">values above </w:t>
      </w:r>
      <w:r w:rsidR="00A67594">
        <w:t xml:space="preserve">or below </w:t>
      </w:r>
      <w:r w:rsidR="00A67594" w:rsidRPr="00A67594">
        <w:t>which a significant shift or rapid negative change takes place</w:t>
      </w:r>
      <w:r w:rsidR="001B374E">
        <w:t xml:space="preserve"> (Van Lynden et al., 2004)</w:t>
      </w:r>
      <w:r w:rsidR="00A67594">
        <w:t xml:space="preserve">. </w:t>
      </w:r>
      <w:r w:rsidR="00186890">
        <w:t>Bey</w:t>
      </w:r>
      <w:r w:rsidR="004560E8">
        <w:t>o</w:t>
      </w:r>
      <w:r w:rsidR="00186890">
        <w:t xml:space="preserve">nd such values, </w:t>
      </w:r>
      <w:r w:rsidR="00885BE2">
        <w:t>soils</w:t>
      </w:r>
      <w:r w:rsidR="00186890">
        <w:t xml:space="preserve"> would be considered as degraded</w:t>
      </w:r>
      <w:r w:rsidR="00885BE2">
        <w:t xml:space="preserve">, </w:t>
      </w:r>
      <w:r w:rsidR="00A3552D">
        <w:t>with</w:t>
      </w:r>
      <w:r w:rsidR="00885BE2">
        <w:t xml:space="preserve"> restoring action needed.</w:t>
      </w:r>
    </w:p>
    <w:p w14:paraId="218835E1" w14:textId="77777777" w:rsidR="00885BE2" w:rsidRDefault="00885BE2" w:rsidP="00885BE2"/>
    <w:p w14:paraId="0187BF8D" w14:textId="77EE762E" w:rsidR="00885BE2" w:rsidRDefault="00885BE2" w:rsidP="002C488D">
      <w:pPr>
        <w:pStyle w:val="berschrift2"/>
      </w:pPr>
      <w:bookmarkStart w:id="16" w:name="_Toc53734619"/>
      <w:bookmarkStart w:id="17" w:name="_Toc55299178"/>
      <w:bookmarkStart w:id="18" w:name="_Toc59005178"/>
      <w:bookmarkStart w:id="19" w:name="_Toc83997319"/>
      <w:r>
        <w:t>Definitions</w:t>
      </w:r>
      <w:bookmarkEnd w:id="16"/>
      <w:bookmarkEnd w:id="17"/>
      <w:bookmarkEnd w:id="18"/>
      <w:bookmarkEnd w:id="19"/>
    </w:p>
    <w:p w14:paraId="4FCC2A49" w14:textId="77777777" w:rsidR="00885BE2" w:rsidRDefault="00885BE2" w:rsidP="00885BE2"/>
    <w:p w14:paraId="667F16D9" w14:textId="2E9DC254" w:rsidR="00885BE2" w:rsidRPr="00CD55D6" w:rsidRDefault="00885BE2" w:rsidP="00CD55D6">
      <w:pPr>
        <w:pStyle w:val="EEAStandardbold"/>
      </w:pPr>
      <w:bookmarkStart w:id="20" w:name="soil_health"/>
      <w:r w:rsidRPr="00CD55D6">
        <w:t xml:space="preserve">Soil health </w:t>
      </w:r>
    </w:p>
    <w:p w14:paraId="23CAC7A7" w14:textId="77777777" w:rsidR="00CB5339" w:rsidRDefault="00885BE2" w:rsidP="00CB5339">
      <w:pPr>
        <w:spacing w:before="120"/>
      </w:pPr>
      <w:r w:rsidRPr="008F08EB">
        <w:t xml:space="preserve">Soil health </w:t>
      </w:r>
      <w:bookmarkEnd w:id="20"/>
      <w:r>
        <w:t xml:space="preserve">is often used as a </w:t>
      </w:r>
      <w:r w:rsidRPr="00765BFD">
        <w:rPr>
          <w:b/>
          <w:bCs/>
        </w:rPr>
        <w:t>synonym for soil quality</w:t>
      </w:r>
      <w:r>
        <w:t xml:space="preserve"> </w:t>
      </w:r>
      <w:r w:rsidR="00036135">
        <w:t>to</w:t>
      </w:r>
      <w:r>
        <w:t xml:space="preserve"> help translate science into practice. Doran et al (2002) refers to soil health as a concept </w:t>
      </w:r>
      <w:r w:rsidR="00765BFD">
        <w:t>is embedded in environmental</w:t>
      </w:r>
      <w:r>
        <w:t xml:space="preserve"> sustainability, balancing economic viability with social responsiveness and environment stability. In other </w:t>
      </w:r>
      <w:r w:rsidR="00036135">
        <w:t>words,</w:t>
      </w:r>
      <w:r>
        <w:t xml:space="preserve"> “soil health” emphasizes the importance of soils to fulfil </w:t>
      </w:r>
      <w:r w:rsidR="00765BFD">
        <w:t>various</w:t>
      </w:r>
      <w:r>
        <w:t xml:space="preserve"> societal needs </w:t>
      </w:r>
      <w:r w:rsidR="00ED547A">
        <w:t xml:space="preserve">including, and </w:t>
      </w:r>
      <w:r>
        <w:t>beyond</w:t>
      </w:r>
      <w:r w:rsidR="00ED547A">
        <w:t>,</w:t>
      </w:r>
      <w:r>
        <w:t xml:space="preserve"> food production (Bünemann et al 2018). </w:t>
      </w:r>
    </w:p>
    <w:p w14:paraId="4DF57F0E" w14:textId="724B89C3" w:rsidR="00885BE2" w:rsidRPr="008F3498" w:rsidRDefault="00885BE2" w:rsidP="00CB5339">
      <w:pPr>
        <w:spacing w:before="120"/>
      </w:pPr>
      <w:r>
        <w:t xml:space="preserve">The concept of soil health is also the foundation of the interim report of the Mission Board on Soil </w:t>
      </w:r>
      <w:r w:rsidR="006A4316">
        <w:t xml:space="preserve">Health </w:t>
      </w:r>
      <w:r>
        <w:t xml:space="preserve">and </w:t>
      </w:r>
      <w:r w:rsidRPr="008F08EB">
        <w:t>Food</w:t>
      </w:r>
      <w:r>
        <w:t>.</w:t>
      </w:r>
      <w:r w:rsidR="00CB5339">
        <w:t xml:space="preserve"> </w:t>
      </w:r>
      <w:r w:rsidRPr="008F3498">
        <w:t>Soil health, or quality, can be broadly defined as “</w:t>
      </w:r>
      <w:r w:rsidRPr="00765BFD">
        <w:rPr>
          <w:i/>
          <w:iCs/>
        </w:rPr>
        <w:t>the capacity of a living soil to function, within natural or managed ecosystem boundaries, to sustain plant and animal productivity, maintain or enhance water and air quality, and promote plant and animal health</w:t>
      </w:r>
      <w:r w:rsidRPr="008F3498">
        <w:t>. (…) Criteria for indicators of soil quality and health relate mainly to their utility in defining ecosystem processes and in integrating physical, chemical, and biological properties; their sensitivity to management and climatic variations; and their accessibility and utility to agricultural specialists, producers, conservationists, and policy makers.” (</w:t>
      </w:r>
      <w:proofErr w:type="gramStart"/>
      <w:r w:rsidRPr="008F3498">
        <w:t>cited</w:t>
      </w:r>
      <w:proofErr w:type="gramEnd"/>
      <w:r w:rsidRPr="008F3498">
        <w:t xml:space="preserve"> from Doran et al</w:t>
      </w:r>
      <w:r w:rsidR="00765BFD">
        <w:t>.,</w:t>
      </w:r>
      <w:r w:rsidRPr="008F3498">
        <w:t xml:space="preserve"> 2002</w:t>
      </w:r>
      <w:r w:rsidR="00765BFD">
        <w:t>; see also Arshad and Martin, 2002</w:t>
      </w:r>
      <w:r w:rsidRPr="008F3498">
        <w:t>)</w:t>
      </w:r>
      <w:r w:rsidR="0083175F">
        <w:t xml:space="preserve">. </w:t>
      </w:r>
      <w:r w:rsidR="00F67CD8">
        <w:t xml:space="preserve">The definition emphasizes the </w:t>
      </w:r>
      <w:r w:rsidR="00F67CD8" w:rsidRPr="0029000E">
        <w:rPr>
          <w:bCs/>
        </w:rPr>
        <w:t>multifunctionality</w:t>
      </w:r>
      <w:r w:rsidR="00F67CD8" w:rsidRPr="0029000E">
        <w:t xml:space="preserve"> of soils</w:t>
      </w:r>
      <w:r w:rsidR="00F67CD8">
        <w:t xml:space="preserve"> as well as its</w:t>
      </w:r>
      <w:r w:rsidR="00F67CD8" w:rsidRPr="0029000E">
        <w:t xml:space="preserve"> contribut</w:t>
      </w:r>
      <w:r w:rsidR="00F67CD8">
        <w:t>ion</w:t>
      </w:r>
      <w:r w:rsidR="00F67CD8" w:rsidRPr="0029000E">
        <w:t xml:space="preserve"> to ecosystem services (“</w:t>
      </w:r>
      <w:r w:rsidR="00F67CD8" w:rsidRPr="0029000E">
        <w:rPr>
          <w:bCs/>
        </w:rPr>
        <w:t>soil-based ecosystem services</w:t>
      </w:r>
      <w:r w:rsidR="00F67CD8" w:rsidRPr="0029000E">
        <w:t>”)</w:t>
      </w:r>
      <w:r w:rsidR="00F67CD8">
        <w:t>.</w:t>
      </w:r>
      <w:r w:rsidR="00F67CD8" w:rsidRPr="0029000E">
        <w:t xml:space="preserve"> </w:t>
      </w:r>
      <w:r w:rsidR="00F55EDD" w:rsidRPr="008F3498">
        <w:t xml:space="preserve">Bünemann et al. </w:t>
      </w:r>
      <w:r w:rsidR="00F55EDD">
        <w:t>(</w:t>
      </w:r>
      <w:r w:rsidR="00F55EDD" w:rsidRPr="008F3498">
        <w:t>2018</w:t>
      </w:r>
      <w:r w:rsidR="00F55EDD">
        <w:t xml:space="preserve">) has recently updated </w:t>
      </w:r>
      <w:r w:rsidR="00CF0EB1">
        <w:t>t</w:t>
      </w:r>
      <w:r w:rsidR="0083175F">
        <w:t xml:space="preserve">he definition </w:t>
      </w:r>
      <w:r w:rsidR="00CF0EB1">
        <w:t xml:space="preserve">of soil </w:t>
      </w:r>
      <w:r w:rsidRPr="008F3498">
        <w:t xml:space="preserve">quality </w:t>
      </w:r>
      <w:r w:rsidR="00CF0EB1">
        <w:t>a</w:t>
      </w:r>
      <w:r w:rsidRPr="008F3498">
        <w:t>s “</w:t>
      </w:r>
      <w:r w:rsidRPr="00CF0EB1">
        <w:rPr>
          <w:i/>
          <w:iCs/>
        </w:rPr>
        <w:t>the capacity of a soil to function within ecosystem</w:t>
      </w:r>
      <w:r w:rsidR="006A4316" w:rsidRPr="00CF0EB1">
        <w:rPr>
          <w:i/>
          <w:iCs/>
        </w:rPr>
        <w:t>s</w:t>
      </w:r>
      <w:r w:rsidRPr="00CF0EB1">
        <w:rPr>
          <w:i/>
          <w:iCs/>
        </w:rPr>
        <w:t xml:space="preserve"> </w:t>
      </w:r>
      <w:r w:rsidRPr="00CF0EB1">
        <w:rPr>
          <w:i/>
          <w:iCs/>
        </w:rPr>
        <w:lastRenderedPageBreak/>
        <w:t>and land-use boundaries to sustain biological productivity, maintain environmental quality, and promote plant and animal health</w:t>
      </w:r>
      <w:r w:rsidRPr="008F3498">
        <w:t xml:space="preserve">”. </w:t>
      </w:r>
    </w:p>
    <w:p w14:paraId="26CF796F" w14:textId="77777777" w:rsidR="00885BE2" w:rsidRDefault="00885BE2" w:rsidP="008F3498"/>
    <w:p w14:paraId="00724E07" w14:textId="77777777" w:rsidR="00885BE2" w:rsidRPr="00D84F68" w:rsidRDefault="00885BE2" w:rsidP="00CD55D6">
      <w:pPr>
        <w:pStyle w:val="EEAStandardbold"/>
      </w:pPr>
      <w:r w:rsidRPr="00D84F68">
        <w:t>Soil threats</w:t>
      </w:r>
    </w:p>
    <w:p w14:paraId="3C280696" w14:textId="77777777" w:rsidR="00885BE2" w:rsidRDefault="00885BE2" w:rsidP="004918B7">
      <w:pPr>
        <w:spacing w:before="120"/>
      </w:pPr>
      <w:r>
        <w:t xml:space="preserve">Soil threats represent the main structural element for soil protection according to the EU Soil Thematic Strategy 2006. It has also been adopted in the Status of the World’s Soil Resources Report </w:t>
      </w:r>
      <w:r w:rsidRPr="00AB4382">
        <w:t>(FAO, ITPS, 2015)</w:t>
      </w:r>
      <w:r>
        <w:t>. Soil threats indicate processes and damages towards soils and its functional properties. These damages then reduce the soil’s capacity to provide ecosystem services. Spatial data about soil threats indicate focal areas for sensitive management and soil restauration</w:t>
      </w:r>
      <w:r w:rsidRPr="00AB4382">
        <w:t xml:space="preserve"> (Huber et al. 2008). </w:t>
      </w:r>
    </w:p>
    <w:p w14:paraId="66916A21" w14:textId="77777777" w:rsidR="00885BE2" w:rsidRDefault="00885BE2" w:rsidP="0077012B">
      <w:pPr>
        <w:spacing w:before="120"/>
      </w:pPr>
    </w:p>
    <w:p w14:paraId="73A15DC9" w14:textId="77777777" w:rsidR="00885BE2" w:rsidRPr="00D84F68" w:rsidRDefault="00885BE2" w:rsidP="0077012B">
      <w:pPr>
        <w:pStyle w:val="EEAStandardbold"/>
        <w:spacing w:before="120"/>
      </w:pPr>
      <w:bookmarkStart w:id="21" w:name="_Hlk53991065"/>
      <w:r w:rsidRPr="00D84F68">
        <w:t xml:space="preserve">Soil degradation </w:t>
      </w:r>
    </w:p>
    <w:p w14:paraId="1097D425" w14:textId="729DAF8D" w:rsidR="00885BE2" w:rsidRDefault="00885BE2" w:rsidP="0077012B">
      <w:pPr>
        <w:spacing w:before="120"/>
      </w:pPr>
      <w:r>
        <w:t xml:space="preserve">Soil degradation can be defined </w:t>
      </w:r>
      <w:r w:rsidRPr="0084048D">
        <w:t>as a decline in soil quality</w:t>
      </w:r>
      <w:r>
        <w:t>,</w:t>
      </w:r>
      <w:r w:rsidRPr="0084048D">
        <w:t xml:space="preserve"> resulting in </w:t>
      </w:r>
      <w:r>
        <w:t>the reduced functioning of the soil</w:t>
      </w:r>
      <w:r>
        <w:rPr>
          <w:rStyle w:val="Funotenzeichen"/>
        </w:rPr>
        <w:footnoteReference w:id="5"/>
      </w:r>
      <w:r>
        <w:t xml:space="preserve">. Minimizing or eliminating significant soil degradation is essential to maintain the services provided by all soils and is substantially more cost-effective than rehabilitating soils after degradation has </w:t>
      </w:r>
      <w:r w:rsidRPr="00AB4382">
        <w:t>occurred (FAO, ITPS, 2015).</w:t>
      </w:r>
      <w:r>
        <w:t xml:space="preserve"> As such</w:t>
      </w:r>
      <w:r w:rsidRPr="006738DF">
        <w:t>, is soil degradation a subset of land degradation, which is itself a subset of environmental degradation (Johnson et al. 1997)</w:t>
      </w:r>
      <w:proofErr w:type="gramStart"/>
      <w:r w:rsidRPr="006738DF">
        <w:t>.</w:t>
      </w:r>
      <w:proofErr w:type="gramEnd"/>
    </w:p>
    <w:p w14:paraId="2BB2471D" w14:textId="77777777" w:rsidR="00885BE2" w:rsidRDefault="00885BE2" w:rsidP="0077012B">
      <w:pPr>
        <w:spacing w:before="120"/>
      </w:pPr>
      <w:r w:rsidRPr="00AB4382">
        <w:t>Any</w:t>
      </w:r>
      <w:r>
        <w:t xml:space="preserve"> assessment of soil degradation needs to address the functions of soil, or more specifically: functions are assessed targeting the good status (health) of </w:t>
      </w:r>
      <w:r w:rsidRPr="0012422B">
        <w:rPr>
          <w:b/>
          <w:bCs/>
        </w:rPr>
        <w:t>endpoints</w:t>
      </w:r>
      <w:r>
        <w:t xml:space="preserve">, i.e. food quality, human health, water and air quality, and soil biodiversity. The effect of soil degradation on endpoints, thus the reduced performance or loss of soil functions, is observed by specific soil quality indicators, and is characterized by specific </w:t>
      </w:r>
      <w:r w:rsidRPr="0012422B">
        <w:rPr>
          <w:b/>
          <w:bCs/>
        </w:rPr>
        <w:t>thresholds</w:t>
      </w:r>
      <w:r>
        <w:t xml:space="preserve">. </w:t>
      </w:r>
    </w:p>
    <w:bookmarkEnd w:id="21"/>
    <w:p w14:paraId="715EFBCC" w14:textId="77777777" w:rsidR="00885BE2" w:rsidRDefault="00885BE2" w:rsidP="0077012B">
      <w:pPr>
        <w:spacing w:before="120"/>
      </w:pPr>
    </w:p>
    <w:p w14:paraId="63EEC043" w14:textId="77777777" w:rsidR="00885BE2" w:rsidRPr="00D84F68" w:rsidRDefault="00885BE2" w:rsidP="0077012B">
      <w:pPr>
        <w:pStyle w:val="EEAStandardbold"/>
        <w:spacing w:before="120"/>
      </w:pPr>
      <w:r w:rsidRPr="00D84F68">
        <w:t>Thresholds</w:t>
      </w:r>
    </w:p>
    <w:p w14:paraId="5952AD9E" w14:textId="5A414529" w:rsidR="00885BE2" w:rsidRDefault="00885BE2" w:rsidP="0077012B">
      <w:pPr>
        <w:spacing w:before="120"/>
      </w:pPr>
      <w:r>
        <w:t xml:space="preserve">Thresholds in this context are relevant limits in the </w:t>
      </w:r>
      <w:r w:rsidR="008B5888">
        <w:t xml:space="preserve">environmental media of consideration </w:t>
      </w:r>
      <w:r>
        <w:t>(water, air, soil, animals, or food quality). For example, water quality standards (</w:t>
      </w:r>
      <w:r w:rsidRPr="006A4316">
        <w:rPr>
          <w:i/>
          <w:iCs/>
        </w:rPr>
        <w:t>the threshold</w:t>
      </w:r>
      <w:r>
        <w:t xml:space="preserve">) as set by the </w:t>
      </w:r>
      <w:r w:rsidR="008D243E">
        <w:t>Nitrate</w:t>
      </w:r>
      <w:r>
        <w:t xml:space="preserve"> Directive for surface water</w:t>
      </w:r>
      <w:r w:rsidR="00F52994">
        <w:t xml:space="preserve"> when use</w:t>
      </w:r>
      <w:r w:rsidR="00762D76">
        <w:t>d</w:t>
      </w:r>
      <w:r w:rsidR="00F52994">
        <w:t xml:space="preserve"> for drinking water, and for groundwater</w:t>
      </w:r>
      <w:r>
        <w:t xml:space="preserve"> (</w:t>
      </w:r>
      <w:r w:rsidRPr="006A4316">
        <w:rPr>
          <w:i/>
          <w:iCs/>
        </w:rPr>
        <w:t>the endpoint</w:t>
      </w:r>
      <w:r w:rsidR="00F52994">
        <w:rPr>
          <w:i/>
          <w:iCs/>
        </w:rPr>
        <w:t>s</w:t>
      </w:r>
      <w:r>
        <w:t>)</w:t>
      </w:r>
      <w:r w:rsidR="00F52994">
        <w:t>,</w:t>
      </w:r>
      <w:r>
        <w:t xml:space="preserve"> </w:t>
      </w:r>
      <w:r w:rsidR="0082094F">
        <w:t>can be used as</w:t>
      </w:r>
      <w:r>
        <w:t xml:space="preserve"> relevant criteria to evaluate the soil filter function to protect surface </w:t>
      </w:r>
      <w:r w:rsidR="00EE352C">
        <w:t xml:space="preserve">and ground </w:t>
      </w:r>
      <w:r>
        <w:t xml:space="preserve">water quality. At the same time, various soil properties (as well as land use, climate etc) are relevant parameters of the system that </w:t>
      </w:r>
      <w:r w:rsidR="00036135">
        <w:t>determine the</w:t>
      </w:r>
      <w:r w:rsidR="00F061CD">
        <w:t xml:space="preserve"> intensity of soil processes </w:t>
      </w:r>
      <w:r w:rsidR="00D44E12">
        <w:t xml:space="preserve">related to functions of the soil. Thresholds are needed to inform </w:t>
      </w:r>
      <w:r w:rsidR="00131116">
        <w:t xml:space="preserve">to which extend </w:t>
      </w:r>
      <w:r>
        <w:t>soil function</w:t>
      </w:r>
      <w:r w:rsidR="003B2648">
        <w:t>s</w:t>
      </w:r>
      <w:r>
        <w:t xml:space="preserve"> </w:t>
      </w:r>
      <w:r w:rsidR="00131116">
        <w:t xml:space="preserve">are </w:t>
      </w:r>
      <w:r>
        <w:t>at risk (or degraded).</w:t>
      </w:r>
    </w:p>
    <w:p w14:paraId="53DB7A16" w14:textId="77777777" w:rsidR="00885BE2" w:rsidRDefault="00885BE2" w:rsidP="008F3498"/>
    <w:p w14:paraId="25E78937" w14:textId="39648C03" w:rsidR="00885BE2" w:rsidRDefault="00885BE2" w:rsidP="002C488D">
      <w:pPr>
        <w:pStyle w:val="berschrift2"/>
      </w:pPr>
      <w:bookmarkStart w:id="22" w:name="_Toc59005179"/>
      <w:bookmarkStart w:id="23" w:name="_Ref64641959"/>
      <w:bookmarkStart w:id="24" w:name="_Toc83997320"/>
      <w:r>
        <w:t>From soil quality to ecosystem services</w:t>
      </w:r>
      <w:bookmarkEnd w:id="22"/>
      <w:bookmarkEnd w:id="23"/>
      <w:bookmarkEnd w:id="24"/>
    </w:p>
    <w:p w14:paraId="67EADD5A" w14:textId="3945AB2E" w:rsidR="001A69D1" w:rsidRDefault="00E00C9B" w:rsidP="0079498E">
      <w:pPr>
        <w:spacing w:before="120"/>
      </w:pPr>
      <w:r>
        <w:t xml:space="preserve">Ecosystem services </w:t>
      </w:r>
      <w:r w:rsidR="006D0851">
        <w:t>can be summarized</w:t>
      </w:r>
      <w:r w:rsidR="00721FC6">
        <w:t xml:space="preserve"> as</w:t>
      </w:r>
      <w:r>
        <w:t xml:space="preserve"> the </w:t>
      </w:r>
      <w:r w:rsidR="00721FC6">
        <w:t xml:space="preserve">goods and </w:t>
      </w:r>
      <w:r>
        <w:t xml:space="preserve">benefits people and societies receive from ecosystems. Soil </w:t>
      </w:r>
      <w:r w:rsidR="00721FC6">
        <w:t>as</w:t>
      </w:r>
      <w:r>
        <w:t xml:space="preserve"> the belowground compartment of </w:t>
      </w:r>
      <w:r w:rsidR="000D6482">
        <w:t xml:space="preserve">all </w:t>
      </w:r>
      <w:r>
        <w:t xml:space="preserve">terrestrial ecosystems </w:t>
      </w:r>
      <w:r w:rsidR="0077183D">
        <w:t>plays a</w:t>
      </w:r>
      <w:r w:rsidR="008D2508">
        <w:t xml:space="preserve"> key role </w:t>
      </w:r>
      <w:r w:rsidR="00E61BC4">
        <w:t xml:space="preserve">in the capacity of ecosystems to </w:t>
      </w:r>
      <w:r w:rsidR="003B30E3">
        <w:t xml:space="preserve">provide their </w:t>
      </w:r>
      <w:r w:rsidR="00993609">
        <w:t xml:space="preserve">supporting, regulating, </w:t>
      </w:r>
      <w:r w:rsidR="0077183D">
        <w:t>provisioning and cultural services</w:t>
      </w:r>
      <w:r>
        <w:t xml:space="preserve">. Paul et al. (2020) </w:t>
      </w:r>
      <w:r w:rsidR="00036135">
        <w:t>considers</w:t>
      </w:r>
      <w:r>
        <w:t xml:space="preserve"> 29 of 83 ecosystem service classes in the Common International Classification of Ecosystem Services (CICES 5.1, </w:t>
      </w:r>
      <w:r w:rsidR="0054672B" w:rsidRPr="0054672B">
        <w:t xml:space="preserve">Haines-Young and Potschin 2017) to be related to soil and 40 classes to be </w:t>
      </w:r>
      <w:r>
        <w:t>affected by agricultural soil management. The potential supply of soil-related ecosystem services is reduced on degraded / eroded soils.</w:t>
      </w:r>
      <w:r w:rsidR="0079498E">
        <w:t xml:space="preserve"> </w:t>
      </w:r>
      <w:r w:rsidR="00885BE2" w:rsidRPr="003473DE">
        <w:t xml:space="preserve">To be able to </w:t>
      </w:r>
      <w:r w:rsidR="00885BE2">
        <w:t xml:space="preserve">relate soil quality to </w:t>
      </w:r>
      <w:r w:rsidR="00885BE2" w:rsidRPr="003473DE">
        <w:t>ecosystem services (or soil functions that make up for a specific service)</w:t>
      </w:r>
      <w:r w:rsidR="00885BE2">
        <w:t>,</w:t>
      </w:r>
      <w:r w:rsidR="00885BE2" w:rsidRPr="003473DE">
        <w:t xml:space="preserve"> it is therefore imperative to be able to connect </w:t>
      </w:r>
      <w:r w:rsidR="00885BE2">
        <w:t>a specific</w:t>
      </w:r>
      <w:r w:rsidR="00885BE2" w:rsidRPr="003473DE">
        <w:t xml:space="preserve"> service</w:t>
      </w:r>
      <w:r w:rsidR="00885BE2">
        <w:t xml:space="preserve"> </w:t>
      </w:r>
      <w:r w:rsidR="00885BE2" w:rsidRPr="003473DE">
        <w:t xml:space="preserve">to </w:t>
      </w:r>
      <w:r w:rsidR="00885BE2">
        <w:t xml:space="preserve">a </w:t>
      </w:r>
      <w:r w:rsidR="00885BE2" w:rsidRPr="003473DE">
        <w:t xml:space="preserve">specific </w:t>
      </w:r>
      <w:r w:rsidR="00885BE2">
        <w:t xml:space="preserve">soil </w:t>
      </w:r>
      <w:r w:rsidR="00885BE2" w:rsidRPr="003473DE">
        <w:t xml:space="preserve">quality standard or limit in relevant </w:t>
      </w:r>
      <w:r w:rsidR="004918B7">
        <w:t>protection targ</w:t>
      </w:r>
      <w:r w:rsidR="0079498E">
        <w:t>ets</w:t>
      </w:r>
      <w:r w:rsidR="00FE388F">
        <w:t>, such as human health or drinking water quality</w:t>
      </w:r>
      <w:r w:rsidR="00885BE2" w:rsidRPr="003473DE">
        <w:t>.</w:t>
      </w:r>
    </w:p>
    <w:p w14:paraId="12670434" w14:textId="3ECE418C" w:rsidR="00885BE2" w:rsidRDefault="00885BE2" w:rsidP="008F3498"/>
    <w:p w14:paraId="2F485C97" w14:textId="394D763E" w:rsidR="008B5888" w:rsidRDefault="00FE388F" w:rsidP="008F3498">
      <w:r>
        <w:fldChar w:fldCharType="begin"/>
      </w:r>
      <w:r>
        <w:instrText xml:space="preserve"> REF _Ref82784589 \h </w:instrText>
      </w:r>
      <w:r>
        <w:fldChar w:fldCharType="separate"/>
      </w:r>
      <w:r w:rsidR="0067767C" w:rsidRPr="00305F7C">
        <w:t xml:space="preserve">Figure </w:t>
      </w:r>
      <w:r w:rsidR="0067767C">
        <w:rPr>
          <w:noProof/>
        </w:rPr>
        <w:t>1</w:t>
      </w:r>
      <w:r w:rsidR="0067767C">
        <w:noBreakHyphen/>
      </w:r>
      <w:r w:rsidR="0067767C">
        <w:rPr>
          <w:noProof/>
        </w:rPr>
        <w:t>1</w:t>
      </w:r>
      <w:r>
        <w:fldChar w:fldCharType="end"/>
      </w:r>
      <w:r>
        <w:t xml:space="preserve"> presents a conceptual framework for soil degradation assessments. </w:t>
      </w:r>
      <w:r w:rsidR="008B5888" w:rsidRPr="008F3498">
        <w:t xml:space="preserve">In order to apply this framework </w:t>
      </w:r>
      <w:r w:rsidR="0067523A">
        <w:t xml:space="preserve">for </w:t>
      </w:r>
      <w:r w:rsidR="008B5888" w:rsidRPr="008F3498">
        <w:t>nutrient</w:t>
      </w:r>
      <w:r w:rsidR="0067523A">
        <w:t xml:space="preserve"> losses </w:t>
      </w:r>
      <w:r w:rsidR="008B5888" w:rsidRPr="008F3498">
        <w:t>and contaminat</w:t>
      </w:r>
      <w:r w:rsidR="0067523A">
        <w:t>ion</w:t>
      </w:r>
      <w:r w:rsidR="008B5888" w:rsidRPr="008F3498">
        <w:t xml:space="preserve"> but also for physical forms of degradation like erosion </w:t>
      </w:r>
      <w:r w:rsidR="008B5888" w:rsidRPr="008F3498">
        <w:lastRenderedPageBreak/>
        <w:t xml:space="preserve">and compaction, it is important to understand the relationship between soil dynamics (processes which respond to a pressure, indicated by soil properties which can be monitored) and the critical limits for </w:t>
      </w:r>
      <w:r w:rsidR="0079498E">
        <w:t>so-called ‘</w:t>
      </w:r>
      <w:r w:rsidR="008B5888" w:rsidRPr="008F3498">
        <w:t>endpoints</w:t>
      </w:r>
      <w:r w:rsidR="0079498E">
        <w:t>’</w:t>
      </w:r>
      <w:r w:rsidR="008B5888" w:rsidRPr="008F3498">
        <w:t>. This usually requires models which describe the behaviour of a soil under stress, and which help to define thresholds. The key principle underlying this</w:t>
      </w:r>
      <w:r w:rsidR="008B5888">
        <w:t xml:space="preserve"> approach is that critical limits (thresholds) in what is called endpoints (e.g. water quality, human health, ecosystem functioning) are converted to equivalent thresholds (or screening values) in soil. If actual levels in soil exceed such threshold levels, further action is required. This can include measures to reduce inputs to soil, clean-up measures or measures to control the impact of the pressure.</w:t>
      </w:r>
    </w:p>
    <w:p w14:paraId="7941EFE1" w14:textId="12EE77E3" w:rsidR="00885BE2" w:rsidRDefault="00885BE2" w:rsidP="0067523A">
      <w:pPr>
        <w:spacing w:before="120"/>
      </w:pPr>
    </w:p>
    <w:p w14:paraId="6179EFA4" w14:textId="0010E9E6" w:rsidR="00305F7C" w:rsidRPr="00305F7C" w:rsidRDefault="00AF3399" w:rsidP="008F3498">
      <w:pPr>
        <w:pStyle w:val="FormatvorlageBeschriftung"/>
      </w:pPr>
      <w:bookmarkStart w:id="25" w:name="_Ref82784589"/>
      <w:bookmarkStart w:id="26" w:name="_Toc83997428"/>
      <w:r w:rsidRPr="00287522">
        <w:rPr>
          <w:noProof/>
          <w:lang w:eastAsia="en-GB"/>
        </w:rPr>
        <w:drawing>
          <wp:anchor distT="0" distB="0" distL="114300" distR="114300" simplePos="0" relativeHeight="251714048" behindDoc="0" locked="0" layoutInCell="1" allowOverlap="1" wp14:anchorId="6961AEC1" wp14:editId="0E46E4C7">
            <wp:simplePos x="0" y="0"/>
            <wp:positionH relativeFrom="column">
              <wp:posOffset>-1905</wp:posOffset>
            </wp:positionH>
            <wp:positionV relativeFrom="paragraph">
              <wp:posOffset>336550</wp:posOffset>
            </wp:positionV>
            <wp:extent cx="5972175" cy="3614420"/>
            <wp:effectExtent l="0" t="0" r="9525" b="5080"/>
            <wp:wrapTopAndBottom/>
            <wp:docPr id="12" name="Grafik 12" descr="\\umweltbundesamt.at\Projekte\10000\10595_ETC-ULS\Intern\183_Soil_2019\1832_Soil_Quality_Monitoring\Rep_Soil_Quality_Indicators\Figures_Tables\soil_degr_assessment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weltbundesamt.at\Projekte\10000\10595_ETC-ULS\Intern\183_Soil_2019\1832_Soil_Quality_Monitoring\Rep_Soil_Quality_Indicators\Figures_Tables\soil_degr_assessment_v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217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5F7C" w:rsidRPr="00305F7C">
        <w:t xml:space="preserve">Figure </w:t>
      </w:r>
      <w:r w:rsidR="00CA7716">
        <w:fldChar w:fldCharType="begin"/>
      </w:r>
      <w:r w:rsidR="00CA7716">
        <w:instrText xml:space="preserve"> STYLEREF 1 \s </w:instrText>
      </w:r>
      <w:r w:rsidR="00CA7716">
        <w:fldChar w:fldCharType="separate"/>
      </w:r>
      <w:r w:rsidR="0067767C">
        <w:rPr>
          <w:noProof/>
        </w:rPr>
        <w:t>1</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25"/>
      <w:r w:rsidR="00305F7C" w:rsidRPr="00305F7C">
        <w:t>:</w:t>
      </w:r>
      <w:r w:rsidR="00305F7C" w:rsidRPr="00305F7C">
        <w:tab/>
        <w:t>Conceptual framework for soil degradation assessment</w:t>
      </w:r>
      <w:bookmarkEnd w:id="26"/>
    </w:p>
    <w:p w14:paraId="7C8EA175" w14:textId="350363D5" w:rsidR="008B5888" w:rsidRDefault="008B5888" w:rsidP="008F3498"/>
    <w:p w14:paraId="6DFE832A" w14:textId="77777777" w:rsidR="00885BE2" w:rsidRDefault="00885BE2" w:rsidP="008F3498"/>
    <w:p w14:paraId="57FACFE0" w14:textId="351FE7AE" w:rsidR="00885BE2" w:rsidRDefault="00885BE2" w:rsidP="008F3498">
      <w:bookmarkStart w:id="27" w:name="_Hlk53991573"/>
      <w:r>
        <w:t xml:space="preserve">The level of soil degradation can be quantified locally or regionally as the degree to which the </w:t>
      </w:r>
      <w:r w:rsidRPr="00081856">
        <w:rPr>
          <w:i/>
          <w:iCs/>
        </w:rPr>
        <w:t xml:space="preserve">current </w:t>
      </w:r>
      <w:r>
        <w:rPr>
          <w:i/>
          <w:iCs/>
        </w:rPr>
        <w:t xml:space="preserve">soil </w:t>
      </w:r>
      <w:r w:rsidRPr="00081856">
        <w:rPr>
          <w:i/>
          <w:iCs/>
        </w:rPr>
        <w:t>condition</w:t>
      </w:r>
      <w:r>
        <w:t xml:space="preserve"> suffers from an exceedance of relevant thresholds in view of specific functions. This approach is also </w:t>
      </w:r>
      <w:r w:rsidR="0090218A">
        <w:t>a key element</w:t>
      </w:r>
      <w:r>
        <w:t xml:space="preserve"> </w:t>
      </w:r>
      <w:r w:rsidR="002122CB">
        <w:t xml:space="preserve">of </w:t>
      </w:r>
      <w:r w:rsidRPr="00E42C75">
        <w:rPr>
          <w:b/>
          <w:bCs/>
        </w:rPr>
        <w:t>Risk</w:t>
      </w:r>
      <w:r>
        <w:rPr>
          <w:b/>
          <w:bCs/>
        </w:rPr>
        <w:t>-</w:t>
      </w:r>
      <w:r w:rsidRPr="00E42C75">
        <w:rPr>
          <w:b/>
          <w:bCs/>
        </w:rPr>
        <w:t xml:space="preserve">Based Land Management </w:t>
      </w:r>
      <w:r w:rsidRPr="001525C0">
        <w:t>(</w:t>
      </w:r>
      <w:r w:rsidRPr="00E42C75">
        <w:rPr>
          <w:b/>
          <w:bCs/>
        </w:rPr>
        <w:t>RBLM</w:t>
      </w:r>
      <w:r>
        <w:t>; Vegter et al., 2003</w:t>
      </w:r>
      <w:r w:rsidRPr="008C1AB4">
        <w:t>)</w:t>
      </w:r>
      <w:r w:rsidR="00692874">
        <w:t>,</w:t>
      </w:r>
      <w:r w:rsidR="00B928E5">
        <w:t xml:space="preserve"> </w:t>
      </w:r>
      <w:r w:rsidR="00692874">
        <w:t xml:space="preserve">in particular </w:t>
      </w:r>
      <w:r w:rsidR="001F5705">
        <w:t>regarding</w:t>
      </w:r>
      <w:r w:rsidR="00692874">
        <w:t xml:space="preserve"> </w:t>
      </w:r>
      <w:r w:rsidR="00692874" w:rsidRPr="00692874">
        <w:t>contaminated land</w:t>
      </w:r>
      <w:r w:rsidR="002122CB">
        <w:t xml:space="preserve">; it </w:t>
      </w:r>
      <w:r>
        <w:t xml:space="preserve">is not necessarily in line with other definitions </w:t>
      </w:r>
      <w:r w:rsidR="002122CB">
        <w:t xml:space="preserve">of soil degradation, </w:t>
      </w:r>
      <w:proofErr w:type="gramStart"/>
      <w:r w:rsidR="0022342E">
        <w:t>where</w:t>
      </w:r>
      <w:proofErr w:type="gramEnd"/>
      <w:r>
        <w:t xml:space="preserve"> any (undesirable) change in soil properties </w:t>
      </w:r>
      <w:r w:rsidR="0022342E">
        <w:t xml:space="preserve">is seen </w:t>
      </w:r>
      <w:r>
        <w:t xml:space="preserve">as degradation. An example of this is the commonly observed accumulation of heavy metals in soil. In most arable cropping systems where animal manure is applied, copper and zinc tend to accumulate in soil. Accumulation may be wanted in case of adding nutrients, like phosphorus (P) in a situation of P limitation, but it is considered unwanted in P saturated soils or when adding toxic pollutants (e.g. Cd). From a risk point of view, accumulation </w:t>
      </w:r>
      <w:r>
        <w:rPr>
          <w:i/>
          <w:iCs/>
        </w:rPr>
        <w:t>can</w:t>
      </w:r>
      <w:r>
        <w:t xml:space="preserve"> be equivalent to degradation if this leads to exceedance of critical limits in relevant endpoints. </w:t>
      </w:r>
    </w:p>
    <w:p w14:paraId="4C05BAB0" w14:textId="77777777" w:rsidR="00885BE2" w:rsidRDefault="00885BE2" w:rsidP="008F3498"/>
    <w:p w14:paraId="12D7C483" w14:textId="2080A3C2" w:rsidR="00885BE2" w:rsidRDefault="00885BE2" w:rsidP="008F3498">
      <w:r>
        <w:t xml:space="preserve">This also adds the second relevant aspect of the risk analysis according to the RBLM principle, which is the </w:t>
      </w:r>
      <w:r w:rsidRPr="00081856">
        <w:rPr>
          <w:i/>
          <w:iCs/>
        </w:rPr>
        <w:t>dynamic aspect</w:t>
      </w:r>
      <w:r>
        <w:t>. Current conditions (soil properties or concentrations of unwanted substances) in soil and water, can be such that thresholds for relevant endpoints are not yet exceeded. However, depending on e.g. land use</w:t>
      </w:r>
      <w:r>
        <w:rPr>
          <w:rStyle w:val="Funotenzeichen"/>
        </w:rPr>
        <w:footnoteReference w:id="6"/>
      </w:r>
      <w:r>
        <w:t xml:space="preserve"> (and changes of inputs and/or atmospheric deposition), conditions can change so that thresholds can be exceeded at a certain point in time (</w:t>
      </w:r>
      <w:r w:rsidR="002D36BA">
        <w:rPr>
          <w:szCs w:val="22"/>
        </w:rPr>
        <w:fldChar w:fldCharType="begin"/>
      </w:r>
      <w:r w:rsidR="002D36BA">
        <w:instrText xml:space="preserve"> REF _Ref82783561 \h </w:instrText>
      </w:r>
      <w:r w:rsidR="002D36BA">
        <w:rPr>
          <w:szCs w:val="22"/>
        </w:rPr>
      </w:r>
      <w:r w:rsidR="002D36BA">
        <w:rPr>
          <w:szCs w:val="22"/>
        </w:rPr>
        <w:fldChar w:fldCharType="separate"/>
      </w:r>
      <w:r w:rsidR="0067767C" w:rsidRPr="00305F7C">
        <w:t xml:space="preserve">Figure </w:t>
      </w:r>
      <w:r w:rsidR="0067767C">
        <w:rPr>
          <w:noProof/>
        </w:rPr>
        <w:t>1</w:t>
      </w:r>
      <w:r w:rsidR="0067767C">
        <w:noBreakHyphen/>
      </w:r>
      <w:r w:rsidR="0067767C">
        <w:rPr>
          <w:noProof/>
        </w:rPr>
        <w:t>2</w:t>
      </w:r>
      <w:r w:rsidR="002D36BA">
        <w:rPr>
          <w:szCs w:val="22"/>
        </w:rPr>
        <w:fldChar w:fldCharType="end"/>
      </w:r>
      <w:r>
        <w:t xml:space="preserve">). </w:t>
      </w:r>
    </w:p>
    <w:bookmarkEnd w:id="27"/>
    <w:p w14:paraId="7A9A8F82" w14:textId="77777777" w:rsidR="00885BE2" w:rsidRDefault="00885BE2" w:rsidP="008F3498"/>
    <w:p w14:paraId="168057BA" w14:textId="5C5163E3" w:rsidR="00885BE2" w:rsidRDefault="00885BE2" w:rsidP="008F3498">
      <w:r w:rsidRPr="008F3498">
        <w:t xml:space="preserve">Hence, soil degradation and the impact on soil functions basically can be characterised by </w:t>
      </w:r>
      <w:r w:rsidR="001F5705" w:rsidRPr="008F3498">
        <w:t>four possible scenarios</w:t>
      </w:r>
      <w:r w:rsidRPr="008F3498">
        <w:t xml:space="preserve"> (A to D, as illustrated below). The dashed line represents the relevant threshold in view of the function for a specific soil. Scenario A reflects the best outcome, there is no risk at present and current conditions and land use are such that the risk limit is not exceeded at any point in time or relevant time frame considered. Opposite to this is scenario D where current and future conditions are such that the system is at risk. This would call for either measures to reduce the impact or change land use such that less stringent risk limits can be used. Scenario B (current risk but no risk in the future) and C (currently no</w:t>
      </w:r>
      <w:r>
        <w:t xml:space="preserve"> risk but thresholds will be exceeded at some point in time) are intermediate outcomes which call for different kind of actions (or acceptance).</w:t>
      </w:r>
    </w:p>
    <w:p w14:paraId="54B24AD1" w14:textId="582C9D44" w:rsidR="00885BE2" w:rsidRDefault="00885BE2" w:rsidP="008F3498"/>
    <w:p w14:paraId="644AED0C" w14:textId="1018B03A" w:rsidR="008F3498" w:rsidRPr="00305F7C" w:rsidRDefault="00AF3399" w:rsidP="008F3498">
      <w:pPr>
        <w:pStyle w:val="FormatvorlageBeschriftung"/>
      </w:pPr>
      <w:bookmarkStart w:id="28" w:name="_Ref82783561"/>
      <w:bookmarkStart w:id="29" w:name="_Toc83997429"/>
      <w:r w:rsidRPr="00287522">
        <w:rPr>
          <w:noProof/>
          <w:lang w:eastAsia="en-GB"/>
        </w:rPr>
        <w:drawing>
          <wp:anchor distT="0" distB="0" distL="114300" distR="114300" simplePos="0" relativeHeight="251715072" behindDoc="0" locked="0" layoutInCell="1" allowOverlap="1" wp14:anchorId="4D3FE103" wp14:editId="7DAF3787">
            <wp:simplePos x="0" y="0"/>
            <wp:positionH relativeFrom="column">
              <wp:posOffset>-1905</wp:posOffset>
            </wp:positionH>
            <wp:positionV relativeFrom="paragraph">
              <wp:posOffset>328930</wp:posOffset>
            </wp:positionV>
            <wp:extent cx="5991225" cy="2592705"/>
            <wp:effectExtent l="0" t="0" r="9525" b="0"/>
            <wp:wrapTopAndBottom/>
            <wp:docPr id="27" name="Grafik 27" descr="\\umweltbundesamt.at\Projekte\10000\10595_ETC-ULS\Intern\183_Soil_2019\1832_Soil_Quality_Monitoring\Rep_Soil_Quality_Indicators\Figures_Tables\dynamic_soil_degr_assess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weltbundesamt.at\Projekte\10000\10595_ETC-ULS\Intern\183_Soil_2019\1832_Soil_Quality_Monitoring\Rep_Soil_Quality_Indicators\Figures_Tables\dynamic_soil_degr_assessmen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91225"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498" w:rsidRPr="00305F7C">
        <w:t xml:space="preserve">Figure </w:t>
      </w:r>
      <w:r w:rsidR="00CA7716">
        <w:fldChar w:fldCharType="begin"/>
      </w:r>
      <w:r w:rsidR="00CA7716">
        <w:instrText xml:space="preserve"> STYLEREF 1 \s </w:instrText>
      </w:r>
      <w:r w:rsidR="00CA7716">
        <w:fldChar w:fldCharType="separate"/>
      </w:r>
      <w:r w:rsidR="0067767C">
        <w:rPr>
          <w:noProof/>
        </w:rPr>
        <w:t>1</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2</w:t>
      </w:r>
      <w:r w:rsidR="00CA7716">
        <w:fldChar w:fldCharType="end"/>
      </w:r>
      <w:bookmarkEnd w:id="28"/>
      <w:r w:rsidR="008F3498" w:rsidRPr="00305F7C">
        <w:t>:</w:t>
      </w:r>
      <w:r w:rsidR="008F3498" w:rsidRPr="00305F7C">
        <w:tab/>
        <w:t>Dynamic assessment of soil degradation (4 scenarios)</w:t>
      </w:r>
      <w:bookmarkEnd w:id="29"/>
    </w:p>
    <w:p w14:paraId="6439DDDA" w14:textId="74304FC4" w:rsidR="00364E2E" w:rsidRDefault="00364E2E" w:rsidP="008F3498"/>
    <w:p w14:paraId="098133BF" w14:textId="77777777" w:rsidR="00364E2E" w:rsidRDefault="00364E2E" w:rsidP="008F3498"/>
    <w:p w14:paraId="11ADC231" w14:textId="6270825C" w:rsidR="00885BE2" w:rsidRDefault="00885BE2" w:rsidP="008F3498">
      <w:r>
        <w:t xml:space="preserve">As far as types of soil degradation are concerned, 4 main types are </w:t>
      </w:r>
      <w:r w:rsidRPr="00D82805">
        <w:t>distinguished (Lal, 2015):</w:t>
      </w:r>
    </w:p>
    <w:p w14:paraId="1145F132" w14:textId="77777777" w:rsidR="008F3498" w:rsidRDefault="008F3498" w:rsidP="008F3498"/>
    <w:p w14:paraId="51FF82BA" w14:textId="1107E554" w:rsidR="00885BE2" w:rsidRDefault="00885BE2" w:rsidP="008F3498">
      <w:pPr>
        <w:pStyle w:val="EEAbullet0"/>
      </w:pPr>
      <w:r w:rsidRPr="002D3396">
        <w:rPr>
          <w:b/>
        </w:rPr>
        <w:t>Soil physical degradation</w:t>
      </w:r>
      <w:r>
        <w:t xml:space="preserve"> is a reduction in structural attributes including pore geometry and continuity, thus aggravating a soil’s susceptibility to crusting, compaction, reduced water infiltration, </w:t>
      </w:r>
      <w:proofErr w:type="gramStart"/>
      <w:r>
        <w:t>increased</w:t>
      </w:r>
      <w:proofErr w:type="gramEnd"/>
      <w:r>
        <w:t xml:space="preserve"> surface runoff, wind and water erosion, greater soil temperature fluctuations and an increased propensity for desertification. </w:t>
      </w:r>
    </w:p>
    <w:p w14:paraId="52470ADC" w14:textId="29F50C87" w:rsidR="00885BE2" w:rsidRDefault="00885BE2" w:rsidP="008F3498">
      <w:pPr>
        <w:pStyle w:val="EEAbullet0"/>
      </w:pPr>
      <w:r w:rsidRPr="002D3396">
        <w:rPr>
          <w:b/>
        </w:rPr>
        <w:t>Soil chemical degradation</w:t>
      </w:r>
      <w:r>
        <w:t xml:space="preserve"> can be characterized by changes in soil processes including nutrient depletion, acidification, </w:t>
      </w:r>
      <w:r w:rsidR="001F5705">
        <w:t>salinization,</w:t>
      </w:r>
      <w:r>
        <w:t xml:space="preserve"> and contamination, which in turn leads to a reduced cation exchange capacity, increased aluminium or manganese toxicities, calcium or magnesium deficiencies, leaching of NO</w:t>
      </w:r>
      <w:r w:rsidRPr="00DF7C9A">
        <w:rPr>
          <w:vertAlign w:val="subscript"/>
        </w:rPr>
        <w:t>3</w:t>
      </w:r>
      <w:r>
        <w:t xml:space="preserve">-N or other essential plant nutrients. For nutrients and contaminants, annual inputs such as those from agricultural management (inputs of N, P, K but also copper, zinc, cadmium and antibiotics via animal manure or mineral </w:t>
      </w:r>
      <w:r w:rsidR="001F5705">
        <w:t>fertilisers) or</w:t>
      </w:r>
      <w:r>
        <w:t xml:space="preserve"> from additional sources including inputs via air or sedimentation are also considered as chemical degradation</w:t>
      </w:r>
      <w:r w:rsidR="00AA0AA8">
        <w:t>.</w:t>
      </w:r>
    </w:p>
    <w:p w14:paraId="0A788C57" w14:textId="2C343962" w:rsidR="00885BE2" w:rsidRDefault="00885BE2" w:rsidP="008F3498">
      <w:pPr>
        <w:pStyle w:val="EEAbullet0"/>
      </w:pPr>
      <w:r w:rsidRPr="002D3396">
        <w:rPr>
          <w:b/>
        </w:rPr>
        <w:t>Soil biological degradation</w:t>
      </w:r>
      <w:r>
        <w:t xml:space="preserve"> refers to reduced soil biological activity, which can be accompanied by loss in soil biodiversity. This leads to lower levels of mineralization and respiration, and an accumulation of incompletely decomposed dead organic matter (necromass). Nutrient availability is reduced, and, in forests, organic matter accumulates in the forest </w:t>
      </w:r>
      <w:r w:rsidR="001F5705">
        <w:t>topsoil</w:t>
      </w:r>
      <w:r>
        <w:t>.</w:t>
      </w:r>
    </w:p>
    <w:p w14:paraId="4DACA718" w14:textId="77777777" w:rsidR="00885BE2" w:rsidRDefault="00885BE2" w:rsidP="008F3498">
      <w:pPr>
        <w:pStyle w:val="EEAbullet0"/>
      </w:pPr>
      <w:r w:rsidRPr="002D3396">
        <w:rPr>
          <w:b/>
        </w:rPr>
        <w:t>Soil ecological degradation</w:t>
      </w:r>
      <w:r>
        <w:t>: Even though a clear characterization of the soil ecological condition, and what is to be considered a reference, is largely lacking, ecological degradation reflects a combination of the other three types of degradation. This leads to a disruption in ecosystem functions such as elemental cycling, water infiltration and purification, perturbations of the hydrological cycle and a decline in net biome productivity.</w:t>
      </w:r>
    </w:p>
    <w:p w14:paraId="7393141D" w14:textId="77777777" w:rsidR="00885BE2" w:rsidRDefault="00885BE2" w:rsidP="008F3498"/>
    <w:p w14:paraId="6C7798EA" w14:textId="5029010E" w:rsidR="00885BE2" w:rsidRDefault="00885BE2" w:rsidP="008F3498">
      <w:r>
        <w:lastRenderedPageBreak/>
        <w:t xml:space="preserve">Each of these forms of degradation can be linked to soil threats and the impact thereof as </w:t>
      </w:r>
      <w:r w:rsidRPr="00BC7545">
        <w:rPr>
          <w:szCs w:val="22"/>
        </w:rPr>
        <w:t xml:space="preserve">shown in </w:t>
      </w:r>
      <w:r w:rsidR="00675216" w:rsidRPr="00BC7545">
        <w:rPr>
          <w:szCs w:val="22"/>
        </w:rPr>
        <w:fldChar w:fldCharType="begin"/>
      </w:r>
      <w:r w:rsidR="00675216" w:rsidRPr="00BC7545">
        <w:rPr>
          <w:szCs w:val="22"/>
        </w:rPr>
        <w:instrText xml:space="preserve"> REF _Ref61593935 \h  \* MERGEFORMAT </w:instrText>
      </w:r>
      <w:r w:rsidR="00675216" w:rsidRPr="00BC7545">
        <w:rPr>
          <w:szCs w:val="22"/>
        </w:rPr>
      </w:r>
      <w:r w:rsidR="00675216" w:rsidRPr="00BC7545">
        <w:rPr>
          <w:szCs w:val="22"/>
        </w:rPr>
        <w:fldChar w:fldCharType="separate"/>
      </w:r>
      <w:r w:rsidR="0067767C" w:rsidRPr="0067767C">
        <w:rPr>
          <w:bCs/>
          <w:szCs w:val="22"/>
        </w:rPr>
        <w:t xml:space="preserve">Table </w:t>
      </w:r>
      <w:r w:rsidR="0067767C" w:rsidRPr="0067767C">
        <w:rPr>
          <w:bCs/>
          <w:noProof/>
          <w:szCs w:val="22"/>
        </w:rPr>
        <w:t>1</w:t>
      </w:r>
      <w:r w:rsidR="0067767C" w:rsidRPr="0067767C">
        <w:rPr>
          <w:bCs/>
          <w:noProof/>
          <w:szCs w:val="22"/>
        </w:rPr>
        <w:noBreakHyphen/>
        <w:t>1</w:t>
      </w:r>
      <w:r w:rsidR="00675216" w:rsidRPr="00BC7545">
        <w:rPr>
          <w:szCs w:val="22"/>
        </w:rPr>
        <w:fldChar w:fldCharType="end"/>
      </w:r>
      <w:r w:rsidRPr="00BC7545">
        <w:rPr>
          <w:szCs w:val="22"/>
        </w:rPr>
        <w:t>;</w:t>
      </w:r>
      <w:r w:rsidRPr="00675216">
        <w:rPr>
          <w:sz w:val="20"/>
        </w:rPr>
        <w:t xml:space="preserve"> </w:t>
      </w:r>
      <w:r>
        <w:t>it combines soil degradation type</w:t>
      </w:r>
      <w:r w:rsidR="003B1736">
        <w:t>s</w:t>
      </w:r>
      <w:r>
        <w:t xml:space="preserve"> with soil threat</w:t>
      </w:r>
      <w:r w:rsidR="003B1736">
        <w:t>s</w:t>
      </w:r>
      <w:r>
        <w:t xml:space="preserve"> and soil service</w:t>
      </w:r>
      <w:r w:rsidR="003B1736">
        <w:t>s</w:t>
      </w:r>
      <w:r>
        <w:t xml:space="preserve">. </w:t>
      </w:r>
    </w:p>
    <w:p w14:paraId="433236EE" w14:textId="77777777" w:rsidR="00885BE2" w:rsidRDefault="00885BE2" w:rsidP="00885BE2">
      <w:pPr>
        <w:spacing w:before="120"/>
      </w:pPr>
    </w:p>
    <w:p w14:paraId="78720DEB" w14:textId="21651322" w:rsidR="00885BE2" w:rsidRPr="00BC7545" w:rsidRDefault="00E64A10" w:rsidP="00C36DBE">
      <w:pPr>
        <w:pStyle w:val="EEALabel"/>
      </w:pPr>
      <w:bookmarkStart w:id="30" w:name="_Ref61593935"/>
      <w:bookmarkStart w:id="31" w:name="_Ref61593923"/>
      <w:bookmarkStart w:id="32" w:name="_Toc83997495"/>
      <w:r w:rsidRPr="00BC7545">
        <w:t xml:space="preserve">Table </w:t>
      </w:r>
      <w:r w:rsidR="00C76C23">
        <w:fldChar w:fldCharType="begin"/>
      </w:r>
      <w:r w:rsidR="00C76C23">
        <w:instrText xml:space="preserve"> STYLEREF 1 \s </w:instrText>
      </w:r>
      <w:r w:rsidR="00C76C23">
        <w:fldChar w:fldCharType="separate"/>
      </w:r>
      <w:r w:rsidR="0067767C">
        <w:rPr>
          <w:noProof/>
        </w:rPr>
        <w:t>1</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bookmarkEnd w:id="30"/>
      <w:r w:rsidRPr="00BC7545">
        <w:t>:</w:t>
      </w:r>
      <w:r w:rsidRPr="00BC7545">
        <w:tab/>
        <w:t>Soil degradation types, corresponding soil threats and affected soil services</w:t>
      </w:r>
      <w:bookmarkEnd w:id="31"/>
      <w:bookmarkEnd w:id="32"/>
    </w:p>
    <w:p w14:paraId="45070FE4" w14:textId="77777777" w:rsidR="00C36DBE" w:rsidRDefault="00C36DBE"/>
    <w:tbl>
      <w:tblPr>
        <w:tblStyle w:val="Tabellenraster"/>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985"/>
        <w:gridCol w:w="3569"/>
        <w:gridCol w:w="3802"/>
      </w:tblGrid>
      <w:tr w:rsidR="00885BE2" w:rsidRPr="00C36DBE" w14:paraId="277DCC25" w14:textId="77777777" w:rsidTr="00E40DF8">
        <w:trPr>
          <w:jc w:val="center"/>
        </w:trPr>
        <w:tc>
          <w:tcPr>
            <w:tcW w:w="1985" w:type="dxa"/>
            <w:shd w:val="pct10" w:color="auto" w:fill="auto"/>
          </w:tcPr>
          <w:p w14:paraId="1866D239" w14:textId="77777777" w:rsidR="00885BE2" w:rsidRPr="00C36DBE" w:rsidRDefault="00885BE2" w:rsidP="00C36DBE">
            <w:pPr>
              <w:pStyle w:val="EEAtableleft"/>
              <w:rPr>
                <w:b/>
                <w:bCs/>
              </w:rPr>
            </w:pPr>
            <w:r w:rsidRPr="00C36DBE">
              <w:rPr>
                <w:b/>
                <w:bCs/>
              </w:rPr>
              <w:t>Degradation type</w:t>
            </w:r>
          </w:p>
        </w:tc>
        <w:tc>
          <w:tcPr>
            <w:tcW w:w="3569" w:type="dxa"/>
            <w:shd w:val="pct10" w:color="auto" w:fill="auto"/>
          </w:tcPr>
          <w:p w14:paraId="3B9B97B2" w14:textId="54274C97" w:rsidR="00885BE2" w:rsidRPr="00C36DBE" w:rsidRDefault="00885BE2" w:rsidP="005464BA">
            <w:pPr>
              <w:pStyle w:val="EEAtableleft"/>
              <w:rPr>
                <w:b/>
                <w:bCs/>
              </w:rPr>
            </w:pPr>
            <w:r w:rsidRPr="00C36DBE">
              <w:rPr>
                <w:b/>
                <w:bCs/>
              </w:rPr>
              <w:t>Impact of threats</w:t>
            </w:r>
            <w:r w:rsidR="005464BA">
              <w:rPr>
                <w:b/>
                <w:bCs/>
              </w:rPr>
              <w:t xml:space="preserve"> </w:t>
            </w:r>
            <w:r w:rsidR="005464BA" w:rsidRPr="005464BA">
              <w:rPr>
                <w:b/>
                <w:bCs/>
                <w:vertAlign w:val="superscript"/>
              </w:rPr>
              <w:t>(1)</w:t>
            </w:r>
          </w:p>
        </w:tc>
        <w:tc>
          <w:tcPr>
            <w:tcW w:w="3802" w:type="dxa"/>
            <w:shd w:val="pct10" w:color="auto" w:fill="auto"/>
          </w:tcPr>
          <w:p w14:paraId="5B1749F9" w14:textId="2B24191B" w:rsidR="00885BE2" w:rsidRPr="00C36DBE" w:rsidRDefault="00885BE2" w:rsidP="005464BA">
            <w:pPr>
              <w:pStyle w:val="EEAtableleft"/>
              <w:rPr>
                <w:b/>
                <w:bCs/>
              </w:rPr>
            </w:pPr>
            <w:r w:rsidRPr="00C36DBE">
              <w:rPr>
                <w:b/>
                <w:bCs/>
              </w:rPr>
              <w:t>Affected soil services</w:t>
            </w:r>
            <w:r w:rsidR="005464BA">
              <w:rPr>
                <w:b/>
                <w:bCs/>
              </w:rPr>
              <w:t xml:space="preserve"> </w:t>
            </w:r>
            <w:r w:rsidR="005464BA" w:rsidRPr="005464BA">
              <w:rPr>
                <w:b/>
                <w:bCs/>
                <w:vertAlign w:val="superscript"/>
              </w:rPr>
              <w:t>(2)</w:t>
            </w:r>
          </w:p>
        </w:tc>
      </w:tr>
      <w:tr w:rsidR="00885BE2" w:rsidRPr="00C36DBE" w14:paraId="21665CD0" w14:textId="77777777" w:rsidTr="00E40DF8">
        <w:trPr>
          <w:jc w:val="center"/>
        </w:trPr>
        <w:tc>
          <w:tcPr>
            <w:tcW w:w="1985" w:type="dxa"/>
            <w:vAlign w:val="center"/>
          </w:tcPr>
          <w:p w14:paraId="200D767E" w14:textId="77777777" w:rsidR="00885BE2" w:rsidRPr="00C36DBE" w:rsidRDefault="00885BE2" w:rsidP="00C36DBE">
            <w:pPr>
              <w:pStyle w:val="EEAtableleft"/>
            </w:pPr>
            <w:r w:rsidRPr="00C36DBE">
              <w:t>Soil physical degradation</w:t>
            </w:r>
          </w:p>
        </w:tc>
        <w:tc>
          <w:tcPr>
            <w:tcW w:w="3569" w:type="dxa"/>
            <w:vAlign w:val="center"/>
          </w:tcPr>
          <w:p w14:paraId="3F878B74" w14:textId="77777777" w:rsidR="00885BE2" w:rsidRPr="00C36DBE" w:rsidRDefault="00885BE2" w:rsidP="00C36DBE">
            <w:pPr>
              <w:pStyle w:val="EEAtableleft"/>
            </w:pPr>
            <w:r w:rsidRPr="00C36DBE">
              <w:t>Subsoil compaction</w:t>
            </w:r>
          </w:p>
          <w:p w14:paraId="4DFDA626" w14:textId="77777777" w:rsidR="00885BE2" w:rsidRPr="00C36DBE" w:rsidRDefault="00885BE2" w:rsidP="00C36DBE">
            <w:pPr>
              <w:pStyle w:val="EEAtableleft"/>
            </w:pPr>
            <w:r w:rsidRPr="00C36DBE">
              <w:t>Soil erosion</w:t>
            </w:r>
          </w:p>
          <w:p w14:paraId="16DBE4D0" w14:textId="77777777" w:rsidR="00885BE2" w:rsidRPr="00C36DBE" w:rsidRDefault="00885BE2" w:rsidP="00C36DBE">
            <w:pPr>
              <w:pStyle w:val="EEAtableleft"/>
            </w:pPr>
            <w:r w:rsidRPr="00C36DBE">
              <w:t>Landslides</w:t>
            </w:r>
          </w:p>
        </w:tc>
        <w:tc>
          <w:tcPr>
            <w:tcW w:w="3802" w:type="dxa"/>
            <w:vAlign w:val="center"/>
          </w:tcPr>
          <w:p w14:paraId="0CE5AD59" w14:textId="77777777" w:rsidR="00885BE2" w:rsidRPr="00C36DBE" w:rsidRDefault="00885BE2" w:rsidP="00C36DBE">
            <w:pPr>
              <w:pStyle w:val="EEAtableleft"/>
            </w:pPr>
            <w:r w:rsidRPr="00C36DBE">
              <w:t>Growth of crops</w:t>
            </w:r>
          </w:p>
          <w:p w14:paraId="6237E222" w14:textId="77777777" w:rsidR="00885BE2" w:rsidRPr="00C36DBE" w:rsidRDefault="00885BE2" w:rsidP="00C36DBE">
            <w:pPr>
              <w:pStyle w:val="EEAtableleft"/>
            </w:pPr>
            <w:r w:rsidRPr="00C36DBE">
              <w:t>Wood &amp; fibre production</w:t>
            </w:r>
          </w:p>
          <w:p w14:paraId="14EB120A" w14:textId="77777777" w:rsidR="00885BE2" w:rsidRPr="00C36DBE" w:rsidRDefault="00885BE2" w:rsidP="00C36DBE">
            <w:pPr>
              <w:pStyle w:val="EEAtableleft"/>
            </w:pPr>
            <w:r w:rsidRPr="00C36DBE">
              <w:t>Water storage</w:t>
            </w:r>
          </w:p>
          <w:p w14:paraId="191FBB63" w14:textId="77777777" w:rsidR="00885BE2" w:rsidRPr="00C36DBE" w:rsidRDefault="00885BE2" w:rsidP="00C36DBE">
            <w:pPr>
              <w:pStyle w:val="EEAtableleft"/>
            </w:pPr>
            <w:r w:rsidRPr="00C36DBE">
              <w:t>Substance filtering</w:t>
            </w:r>
          </w:p>
          <w:p w14:paraId="71648FD1" w14:textId="77777777" w:rsidR="00885BE2" w:rsidRPr="00C36DBE" w:rsidRDefault="00885BE2" w:rsidP="00C36DBE">
            <w:pPr>
              <w:pStyle w:val="EEAtableleft"/>
            </w:pPr>
            <w:r w:rsidRPr="00C36DBE">
              <w:t>Storage of geological material</w:t>
            </w:r>
          </w:p>
          <w:p w14:paraId="39EE3060" w14:textId="77777777" w:rsidR="00885BE2" w:rsidRPr="00C36DBE" w:rsidRDefault="00885BE2" w:rsidP="00C36DBE">
            <w:pPr>
              <w:pStyle w:val="EEAtableleft"/>
            </w:pPr>
            <w:r w:rsidRPr="00C36DBE">
              <w:t>Carbon storage</w:t>
            </w:r>
          </w:p>
          <w:p w14:paraId="4E71BBFD" w14:textId="77777777" w:rsidR="00885BE2" w:rsidRDefault="00885BE2" w:rsidP="00C36DBE">
            <w:pPr>
              <w:pStyle w:val="EEAtableleft"/>
            </w:pPr>
            <w:r w:rsidRPr="00C36DBE">
              <w:t>Habitat for plants, insects, microbes, etc.</w:t>
            </w:r>
          </w:p>
          <w:p w14:paraId="01C298A3" w14:textId="597564DB" w:rsidR="008B5888" w:rsidRPr="00C36DBE" w:rsidRDefault="008B5888" w:rsidP="008B5888">
            <w:pPr>
              <w:pStyle w:val="EEAtableleft"/>
            </w:pPr>
            <w:r>
              <w:t>Support for buildings or transport network</w:t>
            </w:r>
          </w:p>
        </w:tc>
      </w:tr>
      <w:tr w:rsidR="00885BE2" w:rsidRPr="00C36DBE" w14:paraId="0EFEB922" w14:textId="77777777" w:rsidTr="00E40DF8">
        <w:trPr>
          <w:jc w:val="center"/>
        </w:trPr>
        <w:tc>
          <w:tcPr>
            <w:tcW w:w="1985" w:type="dxa"/>
            <w:vAlign w:val="center"/>
          </w:tcPr>
          <w:p w14:paraId="6F0368DC" w14:textId="77777777" w:rsidR="00885BE2" w:rsidRPr="00C36DBE" w:rsidRDefault="00885BE2" w:rsidP="00C36DBE">
            <w:pPr>
              <w:pStyle w:val="EEAtableleft"/>
            </w:pPr>
            <w:r w:rsidRPr="00C36DBE">
              <w:t>Soil chemical degradation</w:t>
            </w:r>
          </w:p>
        </w:tc>
        <w:tc>
          <w:tcPr>
            <w:tcW w:w="3569" w:type="dxa"/>
            <w:vAlign w:val="center"/>
          </w:tcPr>
          <w:p w14:paraId="70DAB3D5" w14:textId="77777777" w:rsidR="00885BE2" w:rsidRPr="00C36DBE" w:rsidRDefault="00885BE2" w:rsidP="00C36DBE">
            <w:pPr>
              <w:pStyle w:val="EEAtableleft"/>
            </w:pPr>
            <w:r w:rsidRPr="00C36DBE">
              <w:t>Accumulation of contaminants and nutrients in soil</w:t>
            </w:r>
          </w:p>
          <w:p w14:paraId="1131F296" w14:textId="77777777" w:rsidR="00885BE2" w:rsidRPr="00C36DBE" w:rsidRDefault="00885BE2" w:rsidP="00C36DBE">
            <w:pPr>
              <w:pStyle w:val="EEAtableleft"/>
            </w:pPr>
            <w:r w:rsidRPr="00C36DBE">
              <w:t>Salinisation</w:t>
            </w:r>
          </w:p>
          <w:p w14:paraId="44340FE0" w14:textId="77777777" w:rsidR="00885BE2" w:rsidRPr="00C36DBE" w:rsidRDefault="00885BE2" w:rsidP="00C36DBE">
            <w:pPr>
              <w:pStyle w:val="EEAtableleft"/>
            </w:pPr>
            <w:r w:rsidRPr="00C36DBE">
              <w:t>Acidification</w:t>
            </w:r>
          </w:p>
        </w:tc>
        <w:tc>
          <w:tcPr>
            <w:tcW w:w="3802" w:type="dxa"/>
            <w:vAlign w:val="center"/>
          </w:tcPr>
          <w:p w14:paraId="1C51E4BC" w14:textId="77777777" w:rsidR="00885BE2" w:rsidRPr="00C36DBE" w:rsidRDefault="00885BE2" w:rsidP="00C36DBE">
            <w:pPr>
              <w:pStyle w:val="EEAtableleft"/>
            </w:pPr>
            <w:r w:rsidRPr="00C36DBE">
              <w:t>Growth of crops</w:t>
            </w:r>
          </w:p>
          <w:p w14:paraId="0CC0CA68" w14:textId="77777777" w:rsidR="00885BE2" w:rsidRPr="00C36DBE" w:rsidRDefault="00885BE2" w:rsidP="00C36DBE">
            <w:pPr>
              <w:pStyle w:val="EEAtableleft"/>
            </w:pPr>
            <w:r w:rsidRPr="00C36DBE">
              <w:t>Wood &amp; fibre production</w:t>
            </w:r>
          </w:p>
          <w:p w14:paraId="5B219D8B" w14:textId="77777777" w:rsidR="00885BE2" w:rsidRPr="00C36DBE" w:rsidRDefault="00885BE2" w:rsidP="00C36DBE">
            <w:pPr>
              <w:pStyle w:val="EEAtableleft"/>
            </w:pPr>
            <w:r w:rsidRPr="00C36DBE">
              <w:t>Water storage</w:t>
            </w:r>
          </w:p>
          <w:p w14:paraId="33A5CC51" w14:textId="77777777" w:rsidR="00885BE2" w:rsidRPr="00C36DBE" w:rsidRDefault="00885BE2" w:rsidP="00C36DBE">
            <w:pPr>
              <w:pStyle w:val="EEAtableleft"/>
            </w:pPr>
            <w:r w:rsidRPr="00C36DBE">
              <w:t>Substance filtering</w:t>
            </w:r>
          </w:p>
          <w:p w14:paraId="7A9C0BB3" w14:textId="77777777" w:rsidR="00885BE2" w:rsidRPr="00C36DBE" w:rsidRDefault="00885BE2" w:rsidP="00C36DBE">
            <w:pPr>
              <w:pStyle w:val="EEAtableleft"/>
            </w:pPr>
            <w:r w:rsidRPr="00C36DBE">
              <w:t>Carbon storage</w:t>
            </w:r>
          </w:p>
          <w:p w14:paraId="4F79CEC8" w14:textId="77777777" w:rsidR="00885BE2" w:rsidRPr="00C36DBE" w:rsidRDefault="00885BE2" w:rsidP="00C36DBE">
            <w:pPr>
              <w:pStyle w:val="EEAtableleft"/>
            </w:pPr>
            <w:r w:rsidRPr="00C36DBE">
              <w:t>Habitat for plants, insects, microbes, etc.</w:t>
            </w:r>
          </w:p>
        </w:tc>
      </w:tr>
      <w:tr w:rsidR="00885BE2" w:rsidRPr="00C36DBE" w14:paraId="419EDA0B" w14:textId="77777777" w:rsidTr="00E40DF8">
        <w:trPr>
          <w:jc w:val="center"/>
        </w:trPr>
        <w:tc>
          <w:tcPr>
            <w:tcW w:w="1985" w:type="dxa"/>
            <w:vAlign w:val="center"/>
          </w:tcPr>
          <w:p w14:paraId="5D110519" w14:textId="77777777" w:rsidR="00885BE2" w:rsidRPr="00C36DBE" w:rsidRDefault="00885BE2" w:rsidP="00C36DBE">
            <w:pPr>
              <w:pStyle w:val="EEAtableleft"/>
            </w:pPr>
            <w:r w:rsidRPr="00C36DBE">
              <w:t>Soil biological degradation</w:t>
            </w:r>
          </w:p>
        </w:tc>
        <w:tc>
          <w:tcPr>
            <w:tcW w:w="3569" w:type="dxa"/>
            <w:vAlign w:val="center"/>
          </w:tcPr>
          <w:p w14:paraId="70FD6F50" w14:textId="77777777" w:rsidR="00885BE2" w:rsidRPr="00C36DBE" w:rsidRDefault="00885BE2" w:rsidP="00C36DBE">
            <w:pPr>
              <w:pStyle w:val="EEAtableleft"/>
            </w:pPr>
            <w:r w:rsidRPr="00C36DBE">
              <w:t>Accumulation of contaminants and nutrients in soil</w:t>
            </w:r>
          </w:p>
          <w:p w14:paraId="45A44B18" w14:textId="5C73C648" w:rsidR="00885BE2" w:rsidRPr="00C36DBE" w:rsidRDefault="00885BE2" w:rsidP="00C36DBE">
            <w:pPr>
              <w:pStyle w:val="EEAtableleft"/>
            </w:pPr>
            <w:r w:rsidRPr="00C36DBE">
              <w:t xml:space="preserve">Reduced humus formation and reduced </w:t>
            </w:r>
            <w:r w:rsidR="006F554A" w:rsidRPr="00C36DBE">
              <w:t>metabolization</w:t>
            </w:r>
            <w:r w:rsidRPr="00C36DBE">
              <w:t xml:space="preserve"> of contaminants</w:t>
            </w:r>
          </w:p>
          <w:p w14:paraId="4AE1BB73" w14:textId="77777777" w:rsidR="00885BE2" w:rsidRPr="00C36DBE" w:rsidRDefault="00885BE2" w:rsidP="00C36DBE">
            <w:pPr>
              <w:pStyle w:val="EEAtableleft"/>
            </w:pPr>
            <w:r w:rsidRPr="00C36DBE">
              <w:t>SOM/SOC decline</w:t>
            </w:r>
          </w:p>
        </w:tc>
        <w:tc>
          <w:tcPr>
            <w:tcW w:w="3802" w:type="dxa"/>
            <w:vAlign w:val="center"/>
          </w:tcPr>
          <w:p w14:paraId="6C26A729" w14:textId="77777777" w:rsidR="008B5888" w:rsidRDefault="008B5888" w:rsidP="00C36DBE">
            <w:pPr>
              <w:pStyle w:val="EEAtableleft"/>
            </w:pPr>
            <w:r w:rsidRPr="00C36DBE">
              <w:t>Habitat for plants, insects, microbes, etc.</w:t>
            </w:r>
          </w:p>
          <w:p w14:paraId="50E0FB8D" w14:textId="2851FB69" w:rsidR="00885BE2" w:rsidRPr="00C36DBE" w:rsidRDefault="00885BE2" w:rsidP="00C36DBE">
            <w:pPr>
              <w:pStyle w:val="EEAtableleft"/>
            </w:pPr>
            <w:r w:rsidRPr="00C36DBE">
              <w:t>Water storage</w:t>
            </w:r>
          </w:p>
          <w:p w14:paraId="621F22B8" w14:textId="77777777" w:rsidR="00885BE2" w:rsidRPr="00C36DBE" w:rsidRDefault="00885BE2" w:rsidP="00C36DBE">
            <w:pPr>
              <w:pStyle w:val="EEAtableleft"/>
            </w:pPr>
            <w:r w:rsidRPr="00C36DBE">
              <w:t>Substance filtering</w:t>
            </w:r>
          </w:p>
          <w:p w14:paraId="5D55DA26" w14:textId="6660D00A" w:rsidR="00885BE2" w:rsidRPr="00C36DBE" w:rsidRDefault="00885BE2" w:rsidP="00C36DBE">
            <w:pPr>
              <w:pStyle w:val="EEAtableleft"/>
            </w:pPr>
            <w:r w:rsidRPr="00C36DBE">
              <w:t>Carbon storage</w:t>
            </w:r>
          </w:p>
        </w:tc>
      </w:tr>
      <w:tr w:rsidR="00885BE2" w:rsidRPr="00C36DBE" w14:paraId="60795E41" w14:textId="77777777" w:rsidTr="00E40DF8">
        <w:trPr>
          <w:jc w:val="center"/>
        </w:trPr>
        <w:tc>
          <w:tcPr>
            <w:tcW w:w="1985" w:type="dxa"/>
            <w:vAlign w:val="center"/>
          </w:tcPr>
          <w:p w14:paraId="061FA39A" w14:textId="77777777" w:rsidR="00885BE2" w:rsidRPr="00C36DBE" w:rsidRDefault="00885BE2" w:rsidP="00C36DBE">
            <w:pPr>
              <w:pStyle w:val="EEAtableleft"/>
            </w:pPr>
            <w:r w:rsidRPr="00C36DBE">
              <w:t>Soil ecological degradation</w:t>
            </w:r>
          </w:p>
        </w:tc>
        <w:tc>
          <w:tcPr>
            <w:tcW w:w="3569" w:type="dxa"/>
            <w:vAlign w:val="center"/>
          </w:tcPr>
          <w:p w14:paraId="06D408FD" w14:textId="77777777" w:rsidR="00885BE2" w:rsidRPr="00C36DBE" w:rsidRDefault="00885BE2" w:rsidP="00C36DBE">
            <w:pPr>
              <w:pStyle w:val="EEAtableleft"/>
            </w:pPr>
            <w:r w:rsidRPr="00C36DBE">
              <w:t>Combination of above</w:t>
            </w:r>
          </w:p>
        </w:tc>
        <w:tc>
          <w:tcPr>
            <w:tcW w:w="3802" w:type="dxa"/>
            <w:vAlign w:val="center"/>
          </w:tcPr>
          <w:p w14:paraId="0F6994AD" w14:textId="77777777" w:rsidR="00885BE2" w:rsidRPr="00C36DBE" w:rsidRDefault="00885BE2" w:rsidP="00C36DBE">
            <w:pPr>
              <w:pStyle w:val="EEAtableleft"/>
            </w:pPr>
            <w:r w:rsidRPr="00C36DBE">
              <w:t>Combination of above</w:t>
            </w:r>
          </w:p>
        </w:tc>
      </w:tr>
    </w:tbl>
    <w:p w14:paraId="1830A8CD" w14:textId="26D19D9C" w:rsidR="00885BE2" w:rsidRDefault="00AA0AA8" w:rsidP="00C36DBE">
      <w:pPr>
        <w:pStyle w:val="FormatvorlageEEATabfootnoteLinks0cmErsteZeile0cm"/>
      </w:pPr>
      <w:r w:rsidRPr="00E319FC">
        <w:rPr>
          <w:b/>
        </w:rPr>
        <w:t>Note:</w:t>
      </w:r>
      <w:r>
        <w:tab/>
      </w:r>
      <w:r w:rsidR="00AC4033" w:rsidRPr="005464BA">
        <w:rPr>
          <w:b/>
          <w:bCs/>
          <w:vertAlign w:val="superscript"/>
        </w:rPr>
        <w:t>(1)</w:t>
      </w:r>
      <w:r>
        <w:t xml:space="preserve"> </w:t>
      </w:r>
      <w:r w:rsidR="00885BE2">
        <w:t xml:space="preserve">The listed soil threats are a combination of those mentioned in the Soil Thematic Strategy and the RECARE project according </w:t>
      </w:r>
      <w:r w:rsidR="00885BE2" w:rsidRPr="00903438">
        <w:t xml:space="preserve">to </w:t>
      </w:r>
      <w:r w:rsidR="00903438" w:rsidRPr="00903438">
        <w:t xml:space="preserve">Stolte </w:t>
      </w:r>
      <w:r w:rsidR="00885BE2" w:rsidRPr="00903438">
        <w:t>et al. (201</w:t>
      </w:r>
      <w:r w:rsidR="00903438" w:rsidRPr="00903438">
        <w:t>8</w:t>
      </w:r>
      <w:proofErr w:type="gramStart"/>
      <w:r w:rsidR="00885BE2">
        <w:t>)</w:t>
      </w:r>
      <w:proofErr w:type="gramEnd"/>
      <w:r w:rsidR="00AC4033">
        <w:br/>
      </w:r>
      <w:r w:rsidR="00AC4033" w:rsidRPr="005464BA">
        <w:rPr>
          <w:b/>
          <w:bCs/>
          <w:vertAlign w:val="superscript"/>
        </w:rPr>
        <w:t>(2)</w:t>
      </w:r>
      <w:r w:rsidR="00AC4033">
        <w:rPr>
          <w:b/>
          <w:bCs/>
          <w:vertAlign w:val="superscript"/>
        </w:rPr>
        <w:t xml:space="preserve"> </w:t>
      </w:r>
      <w:r w:rsidR="00AC4033">
        <w:t xml:space="preserve"> </w:t>
      </w:r>
      <w:r w:rsidR="00885BE2">
        <w:t xml:space="preserve">According to </w:t>
      </w:r>
      <w:r w:rsidR="00885BE2" w:rsidRPr="002D3396">
        <w:t>Adhikari and Hartemink (2016)</w:t>
      </w:r>
    </w:p>
    <w:p w14:paraId="1DC87693" w14:textId="77777777" w:rsidR="00885BE2" w:rsidRDefault="00885BE2" w:rsidP="00885BE2"/>
    <w:p w14:paraId="0ABF77D8" w14:textId="0FB502E9" w:rsidR="00885BE2" w:rsidRDefault="00885BE2" w:rsidP="002C488D">
      <w:pPr>
        <w:pStyle w:val="berschrift2"/>
      </w:pPr>
      <w:bookmarkStart w:id="33" w:name="_Toc53734620"/>
      <w:bookmarkStart w:id="34" w:name="_Toc55299180"/>
      <w:bookmarkStart w:id="35" w:name="_Toc59005182"/>
      <w:bookmarkStart w:id="36" w:name="_Toc83997321"/>
      <w:r>
        <w:t>Assessing soil degradation by soil quality indicators</w:t>
      </w:r>
      <w:bookmarkEnd w:id="33"/>
      <w:bookmarkEnd w:id="34"/>
      <w:bookmarkEnd w:id="35"/>
      <w:bookmarkEnd w:id="36"/>
    </w:p>
    <w:p w14:paraId="6E654E71" w14:textId="77777777" w:rsidR="00885BE2" w:rsidRDefault="00885BE2" w:rsidP="00885BE2"/>
    <w:p w14:paraId="3F7F2F00" w14:textId="77777777" w:rsidR="00885BE2" w:rsidRDefault="00885BE2" w:rsidP="00885BE2">
      <w:r>
        <w:t xml:space="preserve">The fact that different soil functions have different endpoints implies that soil degradation and the assessment thereof cannot be performed based on one or few soil parameters, valid for all circumstances. Each type of connection between a specific endpoint, be it a critical limit in water or a critical erosion rate, requires a specific approach. Indicators, or soil properties such as pH, organic matter or texture, can be used in risk-based models (e.g. fate of substances) in order to connect the endpoint to the current status of the system. </w:t>
      </w:r>
    </w:p>
    <w:p w14:paraId="0D3AE6D9" w14:textId="77777777" w:rsidR="00885BE2" w:rsidRDefault="00885BE2" w:rsidP="00885BE2"/>
    <w:p w14:paraId="27B6D020" w14:textId="3F96CF3B" w:rsidR="00885BE2" w:rsidRDefault="00885BE2" w:rsidP="00885BE2">
      <w:r>
        <w:t xml:space="preserve">At present, many risk assessment models are still being developed, while some models are already in use, e.g. to assess the soil status regarding </w:t>
      </w:r>
      <w:r w:rsidRPr="00ED0DA5">
        <w:t xml:space="preserve">pollution </w:t>
      </w:r>
      <w:r w:rsidRPr="00BA59A3">
        <w:t xml:space="preserve">(e.g the Dutch risk assessment model </w:t>
      </w:r>
      <w:r w:rsidRPr="003F2DEF">
        <w:t>SansCrit</w:t>
      </w:r>
      <w:r>
        <w:rPr>
          <w:rStyle w:val="Funotenzeichen"/>
        </w:rPr>
        <w:footnoteReference w:id="7"/>
      </w:r>
      <w:r w:rsidRPr="005B76DC">
        <w:t xml:space="preserve"> and the Risk Assessment Toolbox (www.rivm.nl); the </w:t>
      </w:r>
      <w:r w:rsidRPr="003F2DEF">
        <w:t>CLEA model</w:t>
      </w:r>
      <w:r>
        <w:rPr>
          <w:rStyle w:val="Funotenzeichen"/>
        </w:rPr>
        <w:footnoteReference w:id="8"/>
      </w:r>
      <w:r w:rsidRPr="005B76DC">
        <w:t xml:space="preserve"> used in the UK</w:t>
      </w:r>
      <w:r>
        <w:t>)</w:t>
      </w:r>
      <w:r w:rsidRPr="00ED0DA5">
        <w:t>. This means that it is not possible to assess soil degradation at large with one single indicator. At present</w:t>
      </w:r>
      <w:r>
        <w:t>, soil degradation assessment a</w:t>
      </w:r>
      <w:r w:rsidRPr="008116A4">
        <w:t>ccording to the current state of research</w:t>
      </w:r>
      <w:r>
        <w:t xml:space="preserve">, can only be carried out for specific soil services. For these, it is imperative to </w:t>
      </w:r>
      <w:r w:rsidR="006F554A">
        <w:t>consider</w:t>
      </w:r>
      <w:r>
        <w:t>, in addition to general soil properties (or indicators) used in these models, specific regional conditions like for example climate, crop type etc.</w:t>
      </w:r>
    </w:p>
    <w:p w14:paraId="2B5B256E" w14:textId="77777777" w:rsidR="00885BE2" w:rsidRDefault="00885BE2" w:rsidP="00885BE2"/>
    <w:p w14:paraId="01802C45" w14:textId="49679DB0" w:rsidR="008B5888" w:rsidRDefault="00885BE2" w:rsidP="008B5888">
      <w:r>
        <w:t xml:space="preserve">In this report, </w:t>
      </w:r>
      <w:r w:rsidR="00467D91">
        <w:t xml:space="preserve">8 soil threats and 12 </w:t>
      </w:r>
      <w:r>
        <w:t>soil quality indicators were selected</w:t>
      </w:r>
      <w:r w:rsidR="00467D91">
        <w:t xml:space="preserve"> </w:t>
      </w:r>
      <w:r w:rsidR="00467D91" w:rsidRPr="00663A3F">
        <w:t>(see Table 10-</w:t>
      </w:r>
      <w:r w:rsidR="00663A3F" w:rsidRPr="00663A3F">
        <w:t>2</w:t>
      </w:r>
      <w:r w:rsidR="00467D91" w:rsidRPr="00663A3F">
        <w:t>)</w:t>
      </w:r>
      <w:r w:rsidRPr="00663A3F">
        <w:t>,</w:t>
      </w:r>
      <w:r>
        <w:t xml:space="preserve"> in view of their appropriateness to assess soil degradation related to various important soil functions or ecosystem services. These are described and discussed in chapters 2 to 8. For most cases, the selected indicators are well established, data availability is, at the European level, at least acceptable and they are appropriate to describe key soil degradation types and impairment of key soil services. As stated, several indicators, like for example soil organic carbon, have multiple functions and are used to assess several forms of soil degradation related to different soil services. </w:t>
      </w:r>
      <w:r w:rsidR="006445E9">
        <w:fldChar w:fldCharType="begin"/>
      </w:r>
      <w:r w:rsidR="006445E9">
        <w:instrText xml:space="preserve"> REF _Ref61594179 \h </w:instrText>
      </w:r>
      <w:r w:rsidR="006445E9">
        <w:fldChar w:fldCharType="separate"/>
      </w:r>
      <w:r w:rsidR="0067767C" w:rsidRPr="00BC7545">
        <w:t xml:space="preserve">Table </w:t>
      </w:r>
      <w:r w:rsidR="0067767C">
        <w:rPr>
          <w:noProof/>
        </w:rPr>
        <w:t>1</w:t>
      </w:r>
      <w:r w:rsidR="0067767C">
        <w:noBreakHyphen/>
      </w:r>
      <w:r w:rsidR="0067767C">
        <w:rPr>
          <w:noProof/>
        </w:rPr>
        <w:t>2</w:t>
      </w:r>
      <w:r w:rsidR="006445E9">
        <w:fldChar w:fldCharType="end"/>
      </w:r>
      <w:r w:rsidR="006445E9">
        <w:t xml:space="preserve"> </w:t>
      </w:r>
      <w:r>
        <w:t>illustrates where the proposed indicators are needed to assess the degree of soil degradation, as related to different soil services.</w:t>
      </w:r>
    </w:p>
    <w:p w14:paraId="3ED6DDB5" w14:textId="77777777" w:rsidR="00885BE2" w:rsidRDefault="00885BE2" w:rsidP="00C8114B">
      <w:pPr>
        <w:spacing w:before="120"/>
      </w:pPr>
    </w:p>
    <w:p w14:paraId="5147CEB1" w14:textId="0534B832" w:rsidR="00E64A10" w:rsidRPr="00BC7545" w:rsidRDefault="006906E7" w:rsidP="00571832">
      <w:pPr>
        <w:pStyle w:val="EEALabel"/>
        <w:spacing w:after="120"/>
      </w:pPr>
      <w:bookmarkStart w:id="37" w:name="_Ref61594179"/>
      <w:bookmarkStart w:id="38" w:name="_Toc83997496"/>
      <w:r w:rsidRPr="00E319FC">
        <w:rPr>
          <w:noProof/>
          <w:lang w:eastAsia="en-GB"/>
        </w:rPr>
        <w:drawing>
          <wp:anchor distT="0" distB="0" distL="114300" distR="114300" simplePos="0" relativeHeight="251716096" behindDoc="0" locked="0" layoutInCell="1" allowOverlap="1" wp14:anchorId="14979590" wp14:editId="52E409E6">
            <wp:simplePos x="0" y="0"/>
            <wp:positionH relativeFrom="margin">
              <wp:posOffset>-635</wp:posOffset>
            </wp:positionH>
            <wp:positionV relativeFrom="paragraph">
              <wp:posOffset>264520</wp:posOffset>
            </wp:positionV>
            <wp:extent cx="5736590" cy="4201795"/>
            <wp:effectExtent l="0" t="0" r="0" b="8255"/>
            <wp:wrapTopAndBottom/>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6590" cy="420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A10" w:rsidRPr="00BC7545">
        <w:t xml:space="preserve">Table </w:t>
      </w:r>
      <w:r w:rsidR="00C76C23">
        <w:fldChar w:fldCharType="begin"/>
      </w:r>
      <w:r w:rsidR="00C76C23">
        <w:instrText xml:space="preserve"> STYLEREF 1 \s </w:instrText>
      </w:r>
      <w:r w:rsidR="00C76C23">
        <w:fldChar w:fldCharType="separate"/>
      </w:r>
      <w:r w:rsidR="0067767C">
        <w:rPr>
          <w:noProof/>
        </w:rPr>
        <w:t>1</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37"/>
      <w:r w:rsidR="00E64A10" w:rsidRPr="00BC7545">
        <w:t>:</w:t>
      </w:r>
      <w:r w:rsidR="00E64A10" w:rsidRPr="00BC7545">
        <w:tab/>
        <w:t xml:space="preserve">Soil </w:t>
      </w:r>
      <w:r w:rsidR="006951A4">
        <w:t>threats</w:t>
      </w:r>
      <w:r w:rsidR="00E64A10" w:rsidRPr="00BC7545">
        <w:t xml:space="preserve"> and their linkage to soil services and key societal needs</w:t>
      </w:r>
      <w:bookmarkEnd w:id="38"/>
    </w:p>
    <w:p w14:paraId="3AA64FD0" w14:textId="7FFAE54B" w:rsidR="00885BE2" w:rsidRPr="000164CC" w:rsidRDefault="00885BE2" w:rsidP="00D03A96">
      <w:pPr>
        <w:rPr>
          <w:szCs w:val="22"/>
        </w:rPr>
      </w:pPr>
    </w:p>
    <w:p w14:paraId="1950BBA0" w14:textId="77777777" w:rsidR="00885BE2" w:rsidRPr="000164CC" w:rsidRDefault="00885BE2" w:rsidP="00885BE2">
      <w:pPr>
        <w:rPr>
          <w:szCs w:val="22"/>
        </w:rPr>
      </w:pPr>
    </w:p>
    <w:p w14:paraId="493AB387" w14:textId="013F21CB" w:rsidR="00885BE2" w:rsidRDefault="00885BE2" w:rsidP="002C488D">
      <w:pPr>
        <w:pStyle w:val="berschrift2"/>
        <w:spacing w:before="0"/>
        <w:ind w:left="578" w:hanging="578"/>
      </w:pPr>
      <w:bookmarkStart w:id="39" w:name="_Toc59005183"/>
      <w:bookmarkStart w:id="40" w:name="_Toc83997322"/>
      <w:r>
        <w:t>Existing indicator systems including soil quality</w:t>
      </w:r>
      <w:bookmarkEnd w:id="39"/>
      <w:bookmarkEnd w:id="40"/>
    </w:p>
    <w:p w14:paraId="6C062A0B" w14:textId="6F4A34C1" w:rsidR="00885BE2" w:rsidRPr="009D5972" w:rsidRDefault="00885BE2" w:rsidP="002C488D">
      <w:pPr>
        <w:pStyle w:val="berschrift2"/>
        <w:numPr>
          <w:ilvl w:val="2"/>
          <w:numId w:val="3"/>
        </w:numPr>
        <w:rPr>
          <w:rStyle w:val="FormatvorlageFormatvorlageberschrift3Zchn1"/>
        </w:rPr>
      </w:pPr>
      <w:bookmarkStart w:id="41" w:name="_Toc59005184"/>
      <w:bookmarkStart w:id="42" w:name="_Toc83997323"/>
      <w:r w:rsidRPr="009D5972">
        <w:rPr>
          <w:rStyle w:val="FormatvorlageFormatvorlageberschrift3Zchn1"/>
        </w:rPr>
        <w:t xml:space="preserve">Global and European </w:t>
      </w:r>
      <w:r w:rsidR="00C8114B">
        <w:rPr>
          <w:rStyle w:val="FormatvorlageFormatvorlageberschrift3Zchn1"/>
        </w:rPr>
        <w:t xml:space="preserve">soil </w:t>
      </w:r>
      <w:r w:rsidRPr="009D5972">
        <w:rPr>
          <w:rStyle w:val="FormatvorlageFormatvorlageberschrift3Zchn1"/>
        </w:rPr>
        <w:t>indicator systems</w:t>
      </w:r>
      <w:bookmarkEnd w:id="41"/>
      <w:bookmarkEnd w:id="42"/>
    </w:p>
    <w:p w14:paraId="4387C655" w14:textId="77777777" w:rsidR="00885BE2" w:rsidRDefault="00885BE2" w:rsidP="00885BE2"/>
    <w:p w14:paraId="057C7847" w14:textId="45718D74" w:rsidR="0076720F" w:rsidRDefault="00885BE2" w:rsidP="000164CC">
      <w:r>
        <w:t>Table 1-</w:t>
      </w:r>
      <w:r w:rsidR="0076720F">
        <w:t>3</w:t>
      </w:r>
      <w:r>
        <w:t xml:space="preserve"> provides an overview of commonly discussed European and global soil indicators. The sorting element for these indicators is the </w:t>
      </w:r>
      <w:r w:rsidRPr="009559C7">
        <w:t>Soil Thematic Strat</w:t>
      </w:r>
      <w:r w:rsidR="00903438">
        <w:t>egy</w:t>
      </w:r>
      <w:r w:rsidR="00903438">
        <w:rPr>
          <w:rStyle w:val="Funotenzeichen"/>
        </w:rPr>
        <w:footnoteReference w:id="9"/>
      </w:r>
      <w:r w:rsidR="00903438">
        <w:t xml:space="preserve"> of the European Commission</w:t>
      </w:r>
      <w:r>
        <w:t xml:space="preserve">. It shall be mentioned that Eurostat, FAOSTAT and OECD also maintain indicator systems, which contain soil-related indicators as an element of agri-environmental indicator sets. Soil indicators are also included in EEA’s indicator </w:t>
      </w:r>
      <w:r w:rsidR="009A390F">
        <w:t>system</w:t>
      </w:r>
      <w:r>
        <w:t xml:space="preserve">, which is populated by the members of the Environmental Information and Observation Network (EIONET), and which is – among others - used for the regular Status and Outlook of the Environment reporting. EEA’s system also includes indicators under different EU legislation, for which EEA </w:t>
      </w:r>
      <w:r w:rsidR="00445C9D">
        <w:t xml:space="preserve">acts </w:t>
      </w:r>
      <w:r>
        <w:t>the knowledge centre and data hub (</w:t>
      </w:r>
      <w:r w:rsidR="001D64BA">
        <w:t xml:space="preserve">reporting </w:t>
      </w:r>
      <w:r>
        <w:t>in the context of soil</w:t>
      </w:r>
      <w:r w:rsidR="00DE2E59">
        <w:t xml:space="preserve"> for</w:t>
      </w:r>
      <w:r>
        <w:t xml:space="preserve"> LULUCF and NEC– see </w:t>
      </w:r>
      <w:r w:rsidR="00714D8B">
        <w:fldChar w:fldCharType="begin"/>
      </w:r>
      <w:r w:rsidR="00714D8B">
        <w:instrText xml:space="preserve"> REF _Ref82783779 \h </w:instrText>
      </w:r>
      <w:r w:rsidR="00714D8B">
        <w:fldChar w:fldCharType="separate"/>
      </w:r>
      <w:r w:rsidR="0067767C" w:rsidRPr="006445E9">
        <w:t xml:space="preserve">Table </w:t>
      </w:r>
      <w:r w:rsidR="0067767C">
        <w:rPr>
          <w:noProof/>
        </w:rPr>
        <w:t>1</w:t>
      </w:r>
      <w:r w:rsidR="0067767C">
        <w:noBreakHyphen/>
      </w:r>
      <w:r w:rsidR="0067767C">
        <w:rPr>
          <w:noProof/>
        </w:rPr>
        <w:t>3</w:t>
      </w:r>
      <w:r w:rsidR="00714D8B">
        <w:fldChar w:fldCharType="end"/>
      </w:r>
      <w:r>
        <w:t>).</w:t>
      </w:r>
      <w:r w:rsidR="0076720F">
        <w:br w:type="page"/>
      </w:r>
    </w:p>
    <w:p w14:paraId="598E87BC" w14:textId="20C34F2D" w:rsidR="00965D32" w:rsidRPr="006445E9" w:rsidRDefault="00965D32" w:rsidP="00965D32">
      <w:pPr>
        <w:pStyle w:val="EEALabel"/>
      </w:pPr>
      <w:bookmarkStart w:id="43" w:name="_Ref82783779"/>
      <w:bookmarkStart w:id="44" w:name="_Toc83997497"/>
      <w:r w:rsidRPr="006445E9">
        <w:lastRenderedPageBreak/>
        <w:t xml:space="preserve">Table </w:t>
      </w:r>
      <w:r>
        <w:fldChar w:fldCharType="begin"/>
      </w:r>
      <w:r>
        <w:instrText xml:space="preserve"> STYLEREF 1 \s </w:instrText>
      </w:r>
      <w:r>
        <w:fldChar w:fldCharType="separate"/>
      </w:r>
      <w:r w:rsidR="0067767C">
        <w:rPr>
          <w:noProof/>
        </w:rPr>
        <w:t>1</w:t>
      </w:r>
      <w:r>
        <w:fldChar w:fldCharType="end"/>
      </w:r>
      <w:r>
        <w:noBreakHyphen/>
      </w:r>
      <w:r>
        <w:fldChar w:fldCharType="begin"/>
      </w:r>
      <w:r>
        <w:instrText xml:space="preserve"> SEQ Table \* ARABIC \s 1 </w:instrText>
      </w:r>
      <w:r>
        <w:fldChar w:fldCharType="separate"/>
      </w:r>
      <w:r w:rsidR="0067767C">
        <w:rPr>
          <w:noProof/>
        </w:rPr>
        <w:t>3</w:t>
      </w:r>
      <w:r>
        <w:fldChar w:fldCharType="end"/>
      </w:r>
      <w:bookmarkEnd w:id="43"/>
      <w:r w:rsidRPr="006445E9">
        <w:t>:</w:t>
      </w:r>
      <w:r w:rsidRPr="006445E9">
        <w:tab/>
        <w:t>Overview of broadly discussed soil indicators</w:t>
      </w:r>
      <w:bookmarkEnd w:id="44"/>
      <w:r w:rsidRPr="006445E9">
        <w:t xml:space="preserve"> </w:t>
      </w:r>
    </w:p>
    <w:p w14:paraId="4B5A168E" w14:textId="46BEAC5D" w:rsidR="00C36DBE" w:rsidRDefault="00C36DBE"/>
    <w:tbl>
      <w:tblPr>
        <w:tblW w:w="9776"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1271"/>
        <w:gridCol w:w="567"/>
        <w:gridCol w:w="567"/>
        <w:gridCol w:w="2835"/>
        <w:gridCol w:w="2740"/>
        <w:gridCol w:w="1796"/>
      </w:tblGrid>
      <w:tr w:rsidR="007631E4" w:rsidRPr="00753431" w14:paraId="14486C18" w14:textId="77777777" w:rsidTr="002D36BA">
        <w:tc>
          <w:tcPr>
            <w:tcW w:w="1271" w:type="dxa"/>
            <w:shd w:val="pct5" w:color="auto" w:fill="auto"/>
            <w:tcMar>
              <w:left w:w="28" w:type="dxa"/>
              <w:right w:w="28" w:type="dxa"/>
            </w:tcMar>
            <w:vAlign w:val="center"/>
          </w:tcPr>
          <w:p w14:paraId="618827D1" w14:textId="77777777" w:rsidR="007631E4" w:rsidRPr="00753431" w:rsidRDefault="007631E4" w:rsidP="00753431">
            <w:pPr>
              <w:pStyle w:val="EEAtableleft"/>
              <w:rPr>
                <w:b/>
                <w:bCs/>
              </w:rPr>
            </w:pPr>
            <w:r w:rsidRPr="00753431">
              <w:rPr>
                <w:b/>
                <w:bCs/>
              </w:rPr>
              <w:t>Degradation types/soil threats</w:t>
            </w:r>
          </w:p>
        </w:tc>
        <w:tc>
          <w:tcPr>
            <w:tcW w:w="567" w:type="dxa"/>
            <w:shd w:val="pct5" w:color="auto" w:fill="auto"/>
            <w:tcMar>
              <w:left w:w="28" w:type="dxa"/>
              <w:right w:w="28" w:type="dxa"/>
            </w:tcMar>
            <w:vAlign w:val="center"/>
          </w:tcPr>
          <w:p w14:paraId="3F6C67C6" w14:textId="143DADFE" w:rsidR="007631E4" w:rsidRPr="00753431" w:rsidRDefault="007631E4" w:rsidP="00753431">
            <w:pPr>
              <w:pStyle w:val="EEAtableleft"/>
              <w:rPr>
                <w:b/>
                <w:bCs/>
              </w:rPr>
            </w:pPr>
            <w:r w:rsidRPr="00753431">
              <w:rPr>
                <w:b/>
                <w:bCs/>
              </w:rPr>
              <w:t>GLASOD</w:t>
            </w:r>
            <w:r w:rsidR="000B3FEE" w:rsidRPr="00753431">
              <w:rPr>
                <w:b/>
                <w:bCs/>
              </w:rPr>
              <w:t>1)</w:t>
            </w:r>
          </w:p>
        </w:tc>
        <w:tc>
          <w:tcPr>
            <w:tcW w:w="567" w:type="dxa"/>
            <w:shd w:val="pct5" w:color="auto" w:fill="auto"/>
            <w:tcMar>
              <w:left w:w="28" w:type="dxa"/>
              <w:right w:w="28" w:type="dxa"/>
            </w:tcMar>
            <w:vAlign w:val="center"/>
          </w:tcPr>
          <w:p w14:paraId="3CD5F185" w14:textId="09C2D49C" w:rsidR="007631E4" w:rsidRPr="00753431" w:rsidRDefault="007631E4" w:rsidP="00753431">
            <w:pPr>
              <w:pStyle w:val="EEAtableleft"/>
              <w:rPr>
                <w:b/>
                <w:bCs/>
              </w:rPr>
            </w:pPr>
            <w:r w:rsidRPr="00753431">
              <w:rPr>
                <w:b/>
                <w:bCs/>
              </w:rPr>
              <w:t>EU</w:t>
            </w:r>
            <w:r w:rsidR="000B3FEE" w:rsidRPr="00753431">
              <w:rPr>
                <w:b/>
                <w:bCs/>
              </w:rPr>
              <w:t>2</w:t>
            </w:r>
            <w:r w:rsidRPr="00753431">
              <w:rPr>
                <w:b/>
                <w:bCs/>
              </w:rPr>
              <w:t>)</w:t>
            </w:r>
          </w:p>
        </w:tc>
        <w:tc>
          <w:tcPr>
            <w:tcW w:w="2835" w:type="dxa"/>
            <w:shd w:val="pct5" w:color="auto" w:fill="auto"/>
            <w:tcMar>
              <w:left w:w="28" w:type="dxa"/>
              <w:right w:w="28" w:type="dxa"/>
            </w:tcMar>
            <w:vAlign w:val="center"/>
          </w:tcPr>
          <w:p w14:paraId="769F45F1" w14:textId="4ADDB384" w:rsidR="007631E4" w:rsidRPr="00753431" w:rsidRDefault="007631E4" w:rsidP="00753431">
            <w:pPr>
              <w:pStyle w:val="EEAtableleft"/>
              <w:rPr>
                <w:b/>
                <w:bCs/>
              </w:rPr>
            </w:pPr>
            <w:r w:rsidRPr="00753431">
              <w:rPr>
                <w:b/>
                <w:bCs/>
              </w:rPr>
              <w:t>ENVASSO</w:t>
            </w:r>
            <w:r w:rsidR="00DB34C0" w:rsidRPr="00753431">
              <w:rPr>
                <w:b/>
                <w:bCs/>
              </w:rPr>
              <w:t xml:space="preserve"> </w:t>
            </w:r>
            <w:r w:rsidRPr="00753431">
              <w:rPr>
                <w:b/>
                <w:bCs/>
              </w:rPr>
              <w:t>indicators, modified</w:t>
            </w:r>
            <w:r w:rsidR="00DB34C0" w:rsidRPr="00753431">
              <w:rPr>
                <w:b/>
                <w:bCs/>
              </w:rPr>
              <w:t>3)</w:t>
            </w:r>
          </w:p>
        </w:tc>
        <w:tc>
          <w:tcPr>
            <w:tcW w:w="2740" w:type="dxa"/>
            <w:shd w:val="pct5" w:color="auto" w:fill="auto"/>
            <w:tcMar>
              <w:left w:w="28" w:type="dxa"/>
              <w:right w:w="28" w:type="dxa"/>
            </w:tcMar>
            <w:vAlign w:val="center"/>
          </w:tcPr>
          <w:p w14:paraId="574B2B75" w14:textId="32B1EED0" w:rsidR="007631E4" w:rsidRPr="00753431" w:rsidRDefault="007631E4" w:rsidP="00753431">
            <w:pPr>
              <w:pStyle w:val="EEAtableleft"/>
              <w:rPr>
                <w:b/>
                <w:bCs/>
              </w:rPr>
            </w:pPr>
            <w:r w:rsidRPr="00753431">
              <w:rPr>
                <w:b/>
                <w:bCs/>
              </w:rPr>
              <w:t>Indicators mentioned in Status of the World Soil Resources Report</w:t>
            </w:r>
            <w:r w:rsidR="00DB34C0" w:rsidRPr="00753431">
              <w:rPr>
                <w:b/>
                <w:bCs/>
              </w:rPr>
              <w:t>4)</w:t>
            </w:r>
          </w:p>
        </w:tc>
        <w:tc>
          <w:tcPr>
            <w:tcW w:w="1796" w:type="dxa"/>
            <w:shd w:val="pct5" w:color="auto" w:fill="auto"/>
            <w:tcMar>
              <w:left w:w="28" w:type="dxa"/>
              <w:right w:w="28" w:type="dxa"/>
            </w:tcMar>
            <w:vAlign w:val="center"/>
          </w:tcPr>
          <w:p w14:paraId="79CEF98C" w14:textId="14A452D0" w:rsidR="007631E4" w:rsidRPr="00753431" w:rsidRDefault="007631E4" w:rsidP="00753431">
            <w:pPr>
              <w:pStyle w:val="EEAtableleft"/>
              <w:rPr>
                <w:b/>
                <w:bCs/>
              </w:rPr>
            </w:pPr>
            <w:r w:rsidRPr="00753431">
              <w:rPr>
                <w:b/>
                <w:bCs/>
              </w:rPr>
              <w:t>SEEA</w:t>
            </w:r>
            <w:r w:rsidR="0012572E" w:rsidRPr="00753431">
              <w:rPr>
                <w:b/>
                <w:bCs/>
              </w:rPr>
              <w:t>5</w:t>
            </w:r>
            <w:r w:rsidR="00DB34C0" w:rsidRPr="00753431">
              <w:rPr>
                <w:b/>
                <w:bCs/>
              </w:rPr>
              <w:t>)</w:t>
            </w:r>
            <w:r w:rsidRPr="00753431">
              <w:rPr>
                <w:b/>
                <w:bCs/>
              </w:rPr>
              <w:t xml:space="preserve"> and FDES</w:t>
            </w:r>
            <w:r w:rsidR="0012572E" w:rsidRPr="00753431">
              <w:rPr>
                <w:b/>
                <w:bCs/>
              </w:rPr>
              <w:t>6) 7</w:t>
            </w:r>
            <w:r w:rsidRPr="00753431">
              <w:rPr>
                <w:b/>
                <w:bCs/>
              </w:rPr>
              <w:t>)</w:t>
            </w:r>
          </w:p>
        </w:tc>
      </w:tr>
      <w:tr w:rsidR="007631E4" w:rsidRPr="007676A4" w14:paraId="3E9A850C" w14:textId="77777777" w:rsidTr="002D36BA">
        <w:trPr>
          <w:trHeight w:val="599"/>
        </w:trPr>
        <w:tc>
          <w:tcPr>
            <w:tcW w:w="1271" w:type="dxa"/>
            <w:tcMar>
              <w:left w:w="28" w:type="dxa"/>
              <w:right w:w="28" w:type="dxa"/>
            </w:tcMar>
            <w:vAlign w:val="center"/>
          </w:tcPr>
          <w:p w14:paraId="39678E7D" w14:textId="77777777" w:rsidR="007631E4" w:rsidRDefault="007631E4" w:rsidP="00753431">
            <w:pPr>
              <w:pStyle w:val="EEAtableleft"/>
            </w:pPr>
            <w:r>
              <w:t>Water erosion</w:t>
            </w:r>
          </w:p>
        </w:tc>
        <w:tc>
          <w:tcPr>
            <w:tcW w:w="567" w:type="dxa"/>
            <w:tcMar>
              <w:left w:w="28" w:type="dxa"/>
              <w:right w:w="28" w:type="dxa"/>
            </w:tcMar>
            <w:vAlign w:val="center"/>
          </w:tcPr>
          <w:p w14:paraId="54D22CF9" w14:textId="77777777" w:rsidR="007631E4" w:rsidRDefault="007631E4" w:rsidP="00753431">
            <w:pPr>
              <w:pStyle w:val="EEATabcenter"/>
            </w:pPr>
            <w:r>
              <w:t>X</w:t>
            </w:r>
          </w:p>
        </w:tc>
        <w:tc>
          <w:tcPr>
            <w:tcW w:w="567" w:type="dxa"/>
            <w:vMerge w:val="restart"/>
            <w:tcMar>
              <w:left w:w="28" w:type="dxa"/>
              <w:right w:w="28" w:type="dxa"/>
            </w:tcMar>
            <w:vAlign w:val="center"/>
          </w:tcPr>
          <w:p w14:paraId="1E1424F3" w14:textId="77777777" w:rsidR="007631E4" w:rsidRDefault="007631E4" w:rsidP="00753431">
            <w:pPr>
              <w:pStyle w:val="EEATabcenter"/>
            </w:pPr>
            <w:r>
              <w:t>X</w:t>
            </w:r>
          </w:p>
        </w:tc>
        <w:tc>
          <w:tcPr>
            <w:tcW w:w="2835" w:type="dxa"/>
            <w:vMerge w:val="restart"/>
            <w:tcMar>
              <w:left w:w="28" w:type="dxa"/>
              <w:right w:w="28" w:type="dxa"/>
            </w:tcMar>
            <w:vAlign w:val="center"/>
          </w:tcPr>
          <w:p w14:paraId="05DA459D" w14:textId="77777777" w:rsidR="007631E4" w:rsidRPr="007676A4" w:rsidRDefault="007631E4" w:rsidP="00753431">
            <w:pPr>
              <w:pStyle w:val="EEAtabbull"/>
            </w:pPr>
            <w:r w:rsidRPr="007676A4">
              <w:t>Soil loss [t/ha]</w:t>
            </w:r>
          </w:p>
          <w:p w14:paraId="21AD4884" w14:textId="77777777" w:rsidR="007631E4" w:rsidRPr="007676A4" w:rsidRDefault="007631E4" w:rsidP="00753431">
            <w:pPr>
              <w:pStyle w:val="EEAtabbull"/>
            </w:pPr>
            <w:r w:rsidRPr="007676A4">
              <w:t>Observed erosion features [type/amount per area]</w:t>
            </w:r>
          </w:p>
        </w:tc>
        <w:tc>
          <w:tcPr>
            <w:tcW w:w="2740" w:type="dxa"/>
            <w:vMerge w:val="restart"/>
            <w:tcMar>
              <w:left w:w="28" w:type="dxa"/>
              <w:right w:w="28" w:type="dxa"/>
            </w:tcMar>
            <w:vAlign w:val="center"/>
          </w:tcPr>
          <w:p w14:paraId="0FC3B770" w14:textId="77777777" w:rsidR="007631E4" w:rsidRPr="007676A4" w:rsidRDefault="007631E4" w:rsidP="00753431">
            <w:pPr>
              <w:pStyle w:val="EEAtableleft"/>
            </w:pPr>
            <w:r w:rsidRPr="007676A4">
              <w:t>Soil loss</w:t>
            </w:r>
          </w:p>
        </w:tc>
        <w:tc>
          <w:tcPr>
            <w:tcW w:w="1796" w:type="dxa"/>
            <w:vMerge w:val="restart"/>
            <w:tcMar>
              <w:left w:w="28" w:type="dxa"/>
              <w:right w:w="28" w:type="dxa"/>
            </w:tcMar>
            <w:vAlign w:val="center"/>
          </w:tcPr>
          <w:p w14:paraId="6261021A" w14:textId="77777777" w:rsidR="007631E4" w:rsidRPr="007676A4" w:rsidRDefault="007631E4" w:rsidP="00753431">
            <w:pPr>
              <w:pStyle w:val="EEAtableleft"/>
            </w:pPr>
            <w:r w:rsidRPr="007676A4">
              <w:t>Area affected by soil erosion**</w:t>
            </w:r>
          </w:p>
        </w:tc>
      </w:tr>
      <w:tr w:rsidR="007631E4" w:rsidRPr="007676A4" w14:paraId="0626B453" w14:textId="77777777" w:rsidTr="002D36BA">
        <w:tc>
          <w:tcPr>
            <w:tcW w:w="1271" w:type="dxa"/>
            <w:tcMar>
              <w:left w:w="28" w:type="dxa"/>
              <w:right w:w="28" w:type="dxa"/>
            </w:tcMar>
            <w:vAlign w:val="center"/>
          </w:tcPr>
          <w:p w14:paraId="48EF02E3" w14:textId="77777777" w:rsidR="007631E4" w:rsidRDefault="007631E4" w:rsidP="00753431">
            <w:pPr>
              <w:pStyle w:val="EEAtableleft"/>
            </w:pPr>
            <w:r>
              <w:t>Wind erosion</w:t>
            </w:r>
          </w:p>
        </w:tc>
        <w:tc>
          <w:tcPr>
            <w:tcW w:w="567" w:type="dxa"/>
            <w:tcMar>
              <w:left w:w="28" w:type="dxa"/>
              <w:right w:w="28" w:type="dxa"/>
            </w:tcMar>
            <w:vAlign w:val="center"/>
          </w:tcPr>
          <w:p w14:paraId="144E9D07" w14:textId="77777777" w:rsidR="007631E4" w:rsidRDefault="007631E4" w:rsidP="00753431">
            <w:pPr>
              <w:pStyle w:val="EEATabcenter"/>
            </w:pPr>
            <w:r>
              <w:t>X</w:t>
            </w:r>
          </w:p>
        </w:tc>
        <w:tc>
          <w:tcPr>
            <w:tcW w:w="567" w:type="dxa"/>
            <w:vMerge/>
            <w:tcMar>
              <w:left w:w="28" w:type="dxa"/>
              <w:right w:w="28" w:type="dxa"/>
            </w:tcMar>
            <w:vAlign w:val="center"/>
          </w:tcPr>
          <w:p w14:paraId="26EAD1DD" w14:textId="77777777" w:rsidR="007631E4" w:rsidRDefault="007631E4" w:rsidP="00753431">
            <w:pPr>
              <w:pStyle w:val="EEATabcenter"/>
            </w:pPr>
          </w:p>
        </w:tc>
        <w:tc>
          <w:tcPr>
            <w:tcW w:w="2835" w:type="dxa"/>
            <w:vMerge/>
            <w:tcMar>
              <w:left w:w="28" w:type="dxa"/>
              <w:right w:w="28" w:type="dxa"/>
            </w:tcMar>
            <w:vAlign w:val="center"/>
          </w:tcPr>
          <w:p w14:paraId="1981C73B" w14:textId="77777777" w:rsidR="007631E4" w:rsidRPr="007676A4" w:rsidRDefault="007631E4" w:rsidP="00753431">
            <w:pPr>
              <w:pStyle w:val="EEAtabbull"/>
            </w:pPr>
          </w:p>
        </w:tc>
        <w:tc>
          <w:tcPr>
            <w:tcW w:w="2740" w:type="dxa"/>
            <w:vMerge/>
            <w:tcMar>
              <w:left w:w="28" w:type="dxa"/>
              <w:right w:w="28" w:type="dxa"/>
            </w:tcMar>
            <w:vAlign w:val="center"/>
          </w:tcPr>
          <w:p w14:paraId="22C4E1E6" w14:textId="77777777" w:rsidR="007631E4" w:rsidRPr="007676A4" w:rsidRDefault="007631E4" w:rsidP="00753431">
            <w:pPr>
              <w:pStyle w:val="EEAtableleft"/>
            </w:pPr>
          </w:p>
        </w:tc>
        <w:tc>
          <w:tcPr>
            <w:tcW w:w="1796" w:type="dxa"/>
            <w:vMerge/>
            <w:tcMar>
              <w:left w:w="28" w:type="dxa"/>
              <w:right w:w="28" w:type="dxa"/>
            </w:tcMar>
            <w:vAlign w:val="center"/>
          </w:tcPr>
          <w:p w14:paraId="761B089F" w14:textId="77777777" w:rsidR="007631E4" w:rsidRPr="007676A4" w:rsidRDefault="007631E4" w:rsidP="00753431">
            <w:pPr>
              <w:pStyle w:val="EEAtableleft"/>
            </w:pPr>
          </w:p>
        </w:tc>
      </w:tr>
      <w:tr w:rsidR="007631E4" w:rsidRPr="007676A4" w14:paraId="6C74ABAA" w14:textId="77777777" w:rsidTr="002D36BA">
        <w:tc>
          <w:tcPr>
            <w:tcW w:w="1271" w:type="dxa"/>
            <w:tcMar>
              <w:left w:w="28" w:type="dxa"/>
              <w:right w:w="28" w:type="dxa"/>
            </w:tcMar>
            <w:vAlign w:val="center"/>
          </w:tcPr>
          <w:p w14:paraId="15E091AC" w14:textId="77777777" w:rsidR="007631E4" w:rsidRDefault="007631E4" w:rsidP="00753431">
            <w:pPr>
              <w:pStyle w:val="EEAtableleft"/>
            </w:pPr>
            <w:r>
              <w:t>Overblowing</w:t>
            </w:r>
          </w:p>
        </w:tc>
        <w:tc>
          <w:tcPr>
            <w:tcW w:w="567" w:type="dxa"/>
            <w:tcMar>
              <w:left w:w="28" w:type="dxa"/>
              <w:right w:w="28" w:type="dxa"/>
            </w:tcMar>
            <w:vAlign w:val="center"/>
          </w:tcPr>
          <w:p w14:paraId="63412BD4" w14:textId="77777777" w:rsidR="007631E4" w:rsidRDefault="007631E4" w:rsidP="00753431">
            <w:pPr>
              <w:pStyle w:val="EEATabcenter"/>
            </w:pPr>
            <w:r>
              <w:t>X</w:t>
            </w:r>
          </w:p>
        </w:tc>
        <w:tc>
          <w:tcPr>
            <w:tcW w:w="567" w:type="dxa"/>
            <w:tcMar>
              <w:left w:w="28" w:type="dxa"/>
              <w:right w:w="28" w:type="dxa"/>
            </w:tcMar>
            <w:vAlign w:val="center"/>
          </w:tcPr>
          <w:p w14:paraId="563B54A2" w14:textId="77777777" w:rsidR="007631E4" w:rsidRDefault="007631E4" w:rsidP="00753431">
            <w:pPr>
              <w:pStyle w:val="EEATabcenter"/>
            </w:pPr>
          </w:p>
        </w:tc>
        <w:tc>
          <w:tcPr>
            <w:tcW w:w="2835" w:type="dxa"/>
            <w:tcMar>
              <w:left w:w="28" w:type="dxa"/>
              <w:right w:w="28" w:type="dxa"/>
            </w:tcMar>
            <w:vAlign w:val="center"/>
          </w:tcPr>
          <w:p w14:paraId="3D2AA4EA" w14:textId="77777777" w:rsidR="007631E4" w:rsidRPr="007676A4" w:rsidRDefault="007631E4" w:rsidP="00753431">
            <w:pPr>
              <w:pStyle w:val="EEAtabbull"/>
            </w:pPr>
            <w:r w:rsidRPr="007676A4">
              <w:t>deposited soil [to/ha]</w:t>
            </w:r>
          </w:p>
        </w:tc>
        <w:tc>
          <w:tcPr>
            <w:tcW w:w="2740" w:type="dxa"/>
            <w:tcMar>
              <w:left w:w="28" w:type="dxa"/>
              <w:right w:w="28" w:type="dxa"/>
            </w:tcMar>
            <w:vAlign w:val="center"/>
          </w:tcPr>
          <w:p w14:paraId="28058B96" w14:textId="77777777" w:rsidR="007631E4" w:rsidRPr="007676A4" w:rsidRDefault="007631E4" w:rsidP="00753431">
            <w:pPr>
              <w:pStyle w:val="EEAtableleft"/>
            </w:pPr>
          </w:p>
        </w:tc>
        <w:tc>
          <w:tcPr>
            <w:tcW w:w="1796" w:type="dxa"/>
            <w:tcMar>
              <w:left w:w="28" w:type="dxa"/>
              <w:right w:w="28" w:type="dxa"/>
            </w:tcMar>
            <w:vAlign w:val="center"/>
          </w:tcPr>
          <w:p w14:paraId="77C8C684" w14:textId="77777777" w:rsidR="007631E4" w:rsidRPr="007676A4" w:rsidRDefault="007631E4" w:rsidP="00753431">
            <w:pPr>
              <w:pStyle w:val="EEAtableleft"/>
            </w:pPr>
          </w:p>
        </w:tc>
      </w:tr>
      <w:tr w:rsidR="007631E4" w:rsidRPr="007676A4" w14:paraId="1033C673" w14:textId="77777777" w:rsidTr="002D36BA">
        <w:tc>
          <w:tcPr>
            <w:tcW w:w="1271" w:type="dxa"/>
            <w:tcMar>
              <w:left w:w="28" w:type="dxa"/>
              <w:right w:w="28" w:type="dxa"/>
            </w:tcMar>
            <w:vAlign w:val="center"/>
          </w:tcPr>
          <w:p w14:paraId="52EA8062" w14:textId="77777777" w:rsidR="007631E4" w:rsidRDefault="007631E4" w:rsidP="00753431">
            <w:pPr>
              <w:pStyle w:val="EEAtableleft"/>
            </w:pPr>
            <w:r>
              <w:t>Loss of organic matter</w:t>
            </w:r>
          </w:p>
        </w:tc>
        <w:tc>
          <w:tcPr>
            <w:tcW w:w="567" w:type="dxa"/>
            <w:tcMar>
              <w:left w:w="28" w:type="dxa"/>
              <w:right w:w="28" w:type="dxa"/>
            </w:tcMar>
            <w:vAlign w:val="center"/>
          </w:tcPr>
          <w:p w14:paraId="094C1189" w14:textId="77777777" w:rsidR="007631E4" w:rsidRDefault="007631E4" w:rsidP="00753431">
            <w:pPr>
              <w:pStyle w:val="EEATabcenter"/>
            </w:pPr>
            <w:r>
              <w:t>X</w:t>
            </w:r>
          </w:p>
        </w:tc>
        <w:tc>
          <w:tcPr>
            <w:tcW w:w="567" w:type="dxa"/>
            <w:tcMar>
              <w:left w:w="28" w:type="dxa"/>
              <w:right w:w="28" w:type="dxa"/>
            </w:tcMar>
            <w:vAlign w:val="center"/>
          </w:tcPr>
          <w:p w14:paraId="464977C1" w14:textId="77777777" w:rsidR="007631E4" w:rsidRDefault="007631E4" w:rsidP="00753431">
            <w:pPr>
              <w:pStyle w:val="EEATabcenter"/>
            </w:pPr>
            <w:r>
              <w:t>X</w:t>
            </w:r>
          </w:p>
        </w:tc>
        <w:tc>
          <w:tcPr>
            <w:tcW w:w="2835" w:type="dxa"/>
            <w:tcMar>
              <w:left w:w="28" w:type="dxa"/>
              <w:right w:w="28" w:type="dxa"/>
            </w:tcMar>
            <w:vAlign w:val="center"/>
          </w:tcPr>
          <w:p w14:paraId="0B840FCB" w14:textId="77777777" w:rsidR="007631E4" w:rsidRPr="007676A4" w:rsidRDefault="007631E4" w:rsidP="00753431">
            <w:pPr>
              <w:pStyle w:val="EEAtabbull"/>
            </w:pPr>
            <w:r w:rsidRPr="007676A4">
              <w:t>Topsoil organic matter (SOM) or carbon (SOC) content</w:t>
            </w:r>
          </w:p>
          <w:p w14:paraId="645E88B4" w14:textId="77777777" w:rsidR="007631E4" w:rsidRPr="007676A4" w:rsidRDefault="007631E4" w:rsidP="00753431">
            <w:pPr>
              <w:pStyle w:val="EEAtabbull"/>
            </w:pPr>
            <w:r w:rsidRPr="007676A4">
              <w:t>SOC stock [t/ha]</w:t>
            </w:r>
          </w:p>
          <w:p w14:paraId="19AF56CE" w14:textId="77777777" w:rsidR="007631E4" w:rsidRPr="007676A4" w:rsidRDefault="007631E4" w:rsidP="00753431">
            <w:pPr>
              <w:pStyle w:val="EEAtabbull"/>
            </w:pPr>
            <w:r w:rsidRPr="007676A4">
              <w:t>Peat stock [t/ha]</w:t>
            </w:r>
          </w:p>
        </w:tc>
        <w:tc>
          <w:tcPr>
            <w:tcW w:w="2740" w:type="dxa"/>
            <w:tcMar>
              <w:left w:w="28" w:type="dxa"/>
              <w:right w:w="28" w:type="dxa"/>
            </w:tcMar>
            <w:vAlign w:val="center"/>
          </w:tcPr>
          <w:p w14:paraId="76A1E883" w14:textId="77777777" w:rsidR="007631E4" w:rsidRPr="007676A4" w:rsidRDefault="007631E4" w:rsidP="00753431">
            <w:pPr>
              <w:pStyle w:val="EEAtableleft"/>
              <w:rPr>
                <w:color w:val="000000"/>
              </w:rPr>
            </w:pPr>
            <w:r w:rsidRPr="007676A4">
              <w:t>C pool: Organic C stocks</w:t>
            </w:r>
          </w:p>
        </w:tc>
        <w:tc>
          <w:tcPr>
            <w:tcW w:w="1796" w:type="dxa"/>
            <w:tcMar>
              <w:left w:w="28" w:type="dxa"/>
              <w:right w:w="28" w:type="dxa"/>
            </w:tcMar>
            <w:vAlign w:val="center"/>
          </w:tcPr>
          <w:p w14:paraId="3C61D4F6" w14:textId="77777777" w:rsidR="007631E4" w:rsidRPr="007676A4" w:rsidRDefault="007631E4" w:rsidP="00753431">
            <w:pPr>
              <w:pStyle w:val="EEAtableleft"/>
            </w:pPr>
            <w:r w:rsidRPr="007676A4">
              <w:t>Soil carbon*</w:t>
            </w:r>
          </w:p>
        </w:tc>
      </w:tr>
      <w:tr w:rsidR="007631E4" w:rsidRPr="007676A4" w14:paraId="0B66BE4E" w14:textId="77777777" w:rsidTr="002D36BA">
        <w:tc>
          <w:tcPr>
            <w:tcW w:w="1271" w:type="dxa"/>
            <w:tcMar>
              <w:left w:w="28" w:type="dxa"/>
              <w:right w:w="28" w:type="dxa"/>
            </w:tcMar>
            <w:vAlign w:val="center"/>
          </w:tcPr>
          <w:p w14:paraId="2D50DE87" w14:textId="77777777" w:rsidR="007631E4" w:rsidRDefault="007631E4" w:rsidP="00753431">
            <w:pPr>
              <w:pStyle w:val="EEAtableleft"/>
            </w:pPr>
            <w:r>
              <w:t xml:space="preserve">Salinization </w:t>
            </w:r>
          </w:p>
        </w:tc>
        <w:tc>
          <w:tcPr>
            <w:tcW w:w="567" w:type="dxa"/>
            <w:tcMar>
              <w:left w:w="28" w:type="dxa"/>
              <w:right w:w="28" w:type="dxa"/>
            </w:tcMar>
            <w:vAlign w:val="center"/>
          </w:tcPr>
          <w:p w14:paraId="1275B617" w14:textId="77777777" w:rsidR="007631E4" w:rsidRDefault="007631E4" w:rsidP="00753431">
            <w:pPr>
              <w:pStyle w:val="EEATabcenter"/>
            </w:pPr>
            <w:r>
              <w:t>X</w:t>
            </w:r>
          </w:p>
        </w:tc>
        <w:tc>
          <w:tcPr>
            <w:tcW w:w="567" w:type="dxa"/>
            <w:tcMar>
              <w:left w:w="28" w:type="dxa"/>
              <w:right w:w="28" w:type="dxa"/>
            </w:tcMar>
            <w:vAlign w:val="center"/>
          </w:tcPr>
          <w:p w14:paraId="48D74A0D" w14:textId="77777777" w:rsidR="007631E4" w:rsidRDefault="007631E4" w:rsidP="00753431">
            <w:pPr>
              <w:pStyle w:val="EEATabcenter"/>
            </w:pPr>
            <w:r>
              <w:t>X</w:t>
            </w:r>
          </w:p>
        </w:tc>
        <w:tc>
          <w:tcPr>
            <w:tcW w:w="2835" w:type="dxa"/>
            <w:tcMar>
              <w:left w:w="28" w:type="dxa"/>
              <w:right w:w="28" w:type="dxa"/>
            </w:tcMar>
            <w:vAlign w:val="center"/>
          </w:tcPr>
          <w:p w14:paraId="0640A952" w14:textId="77777777" w:rsidR="007631E4" w:rsidRPr="007676A4" w:rsidRDefault="007631E4" w:rsidP="00753431">
            <w:pPr>
              <w:pStyle w:val="EEAtabbull"/>
            </w:pPr>
            <w:r w:rsidRPr="007676A4">
              <w:t>Salinity state: total salt content [% EC]</w:t>
            </w:r>
          </w:p>
          <w:p w14:paraId="79AC6509" w14:textId="77777777" w:rsidR="007631E4" w:rsidRPr="007676A4" w:rsidRDefault="007631E4" w:rsidP="00753431">
            <w:pPr>
              <w:pStyle w:val="EEAtabbull"/>
            </w:pPr>
            <w:r w:rsidRPr="007676A4">
              <w:t>Exchangeable sodium [pH unit ESP %]</w:t>
            </w:r>
          </w:p>
        </w:tc>
        <w:tc>
          <w:tcPr>
            <w:tcW w:w="2740" w:type="dxa"/>
            <w:tcMar>
              <w:left w:w="28" w:type="dxa"/>
              <w:right w:w="28" w:type="dxa"/>
            </w:tcMar>
            <w:vAlign w:val="center"/>
          </w:tcPr>
          <w:p w14:paraId="65ACF797" w14:textId="77777777" w:rsidR="007631E4" w:rsidRPr="007676A4" w:rsidRDefault="007631E4" w:rsidP="00753431">
            <w:pPr>
              <w:pStyle w:val="EEAtableleft"/>
              <w:rPr>
                <w:color w:val="000000"/>
              </w:rPr>
            </w:pPr>
            <w:r w:rsidRPr="007676A4">
              <w:rPr>
                <w:color w:val="000000"/>
              </w:rPr>
              <w:t>Spatial distribution of salt-affected soils</w:t>
            </w:r>
          </w:p>
        </w:tc>
        <w:tc>
          <w:tcPr>
            <w:tcW w:w="1796" w:type="dxa"/>
            <w:tcMar>
              <w:left w:w="28" w:type="dxa"/>
              <w:right w:w="28" w:type="dxa"/>
            </w:tcMar>
            <w:vAlign w:val="center"/>
          </w:tcPr>
          <w:p w14:paraId="37A3364B" w14:textId="77777777" w:rsidR="007631E4" w:rsidRPr="007676A4" w:rsidRDefault="007631E4" w:rsidP="00753431">
            <w:pPr>
              <w:pStyle w:val="EEAtableleft"/>
              <w:rPr>
                <w:color w:val="000000"/>
              </w:rPr>
            </w:pPr>
            <w:r w:rsidRPr="007676A4">
              <w:t>Area affected by salinization**</w:t>
            </w:r>
          </w:p>
        </w:tc>
      </w:tr>
      <w:tr w:rsidR="007631E4" w:rsidRPr="007676A4" w14:paraId="73D9EEC3" w14:textId="77777777" w:rsidTr="002D36BA">
        <w:tc>
          <w:tcPr>
            <w:tcW w:w="1271" w:type="dxa"/>
            <w:tcMar>
              <w:left w:w="28" w:type="dxa"/>
              <w:right w:w="28" w:type="dxa"/>
            </w:tcMar>
            <w:vAlign w:val="center"/>
          </w:tcPr>
          <w:p w14:paraId="7F9F6EC1" w14:textId="77777777" w:rsidR="007631E4" w:rsidRDefault="007631E4" w:rsidP="00753431">
            <w:pPr>
              <w:pStyle w:val="EEAtableleft"/>
            </w:pPr>
            <w:r>
              <w:t>Acidification</w:t>
            </w:r>
          </w:p>
        </w:tc>
        <w:tc>
          <w:tcPr>
            <w:tcW w:w="567" w:type="dxa"/>
            <w:tcMar>
              <w:left w:w="28" w:type="dxa"/>
              <w:right w:w="28" w:type="dxa"/>
            </w:tcMar>
            <w:vAlign w:val="center"/>
          </w:tcPr>
          <w:p w14:paraId="2268D9B3" w14:textId="77777777" w:rsidR="007631E4" w:rsidRDefault="007631E4" w:rsidP="00753431">
            <w:pPr>
              <w:pStyle w:val="EEATabcenter"/>
            </w:pPr>
            <w:r>
              <w:t>X</w:t>
            </w:r>
          </w:p>
        </w:tc>
        <w:tc>
          <w:tcPr>
            <w:tcW w:w="567" w:type="dxa"/>
            <w:tcMar>
              <w:left w:w="28" w:type="dxa"/>
              <w:right w:w="28" w:type="dxa"/>
            </w:tcMar>
            <w:vAlign w:val="center"/>
          </w:tcPr>
          <w:p w14:paraId="2B747DF9" w14:textId="77777777" w:rsidR="007631E4" w:rsidRDefault="007631E4" w:rsidP="00753431">
            <w:pPr>
              <w:pStyle w:val="EEATabcenter"/>
            </w:pPr>
            <w:r>
              <w:t>(X)</w:t>
            </w:r>
          </w:p>
        </w:tc>
        <w:tc>
          <w:tcPr>
            <w:tcW w:w="2835" w:type="dxa"/>
            <w:tcMar>
              <w:left w:w="28" w:type="dxa"/>
              <w:right w:w="28" w:type="dxa"/>
            </w:tcMar>
            <w:vAlign w:val="center"/>
          </w:tcPr>
          <w:p w14:paraId="2F117A0C" w14:textId="77777777" w:rsidR="007631E4" w:rsidRPr="007676A4" w:rsidRDefault="007631E4" w:rsidP="00753431">
            <w:pPr>
              <w:pStyle w:val="EEAtabbull"/>
            </w:pPr>
            <w:r w:rsidRPr="007676A4">
              <w:t>Top soil pH</w:t>
            </w:r>
          </w:p>
          <w:p w14:paraId="4C83E7DD" w14:textId="77777777" w:rsidR="007631E4" w:rsidRPr="007676A4" w:rsidRDefault="007631E4" w:rsidP="00753431">
            <w:pPr>
              <w:pStyle w:val="EEAtabbull"/>
            </w:pPr>
            <w:r w:rsidRPr="007676A4">
              <w:t>% exchangeable acid cations (Mn, Al, Fe)</w:t>
            </w:r>
          </w:p>
        </w:tc>
        <w:tc>
          <w:tcPr>
            <w:tcW w:w="2740" w:type="dxa"/>
            <w:tcMar>
              <w:left w:w="28" w:type="dxa"/>
              <w:right w:w="28" w:type="dxa"/>
            </w:tcMar>
            <w:vAlign w:val="center"/>
          </w:tcPr>
          <w:p w14:paraId="7B62EA64" w14:textId="77777777" w:rsidR="007631E4" w:rsidRPr="007676A4" w:rsidRDefault="007631E4" w:rsidP="00753431">
            <w:pPr>
              <w:pStyle w:val="EEAtableleft"/>
              <w:rPr>
                <w:color w:val="000000"/>
              </w:rPr>
            </w:pPr>
            <w:r w:rsidRPr="007676A4">
              <w:rPr>
                <w:color w:val="000000"/>
              </w:rPr>
              <w:t>pH</w:t>
            </w:r>
          </w:p>
          <w:p w14:paraId="1CC6E7C1" w14:textId="77777777" w:rsidR="007631E4" w:rsidRPr="007676A4" w:rsidRDefault="007631E4" w:rsidP="00753431">
            <w:pPr>
              <w:pStyle w:val="EEAtableleft"/>
              <w:rPr>
                <w:color w:val="000000"/>
              </w:rPr>
            </w:pPr>
            <w:r w:rsidRPr="007676A4">
              <w:rPr>
                <w:color w:val="000000"/>
              </w:rPr>
              <w:t>acid neutralization capacity</w:t>
            </w:r>
          </w:p>
        </w:tc>
        <w:tc>
          <w:tcPr>
            <w:tcW w:w="1796" w:type="dxa"/>
            <w:tcMar>
              <w:left w:w="28" w:type="dxa"/>
              <w:right w:w="28" w:type="dxa"/>
            </w:tcMar>
            <w:vAlign w:val="center"/>
          </w:tcPr>
          <w:p w14:paraId="15B5A079" w14:textId="77777777" w:rsidR="007631E4" w:rsidRPr="007676A4" w:rsidRDefault="007631E4" w:rsidP="00753431">
            <w:pPr>
              <w:pStyle w:val="EEAtableleft"/>
              <w:rPr>
                <w:color w:val="000000"/>
              </w:rPr>
            </w:pPr>
            <w:r w:rsidRPr="007676A4">
              <w:t>Area affected by acidification**</w:t>
            </w:r>
          </w:p>
        </w:tc>
      </w:tr>
      <w:tr w:rsidR="007631E4" w:rsidRPr="007676A4" w14:paraId="4F6C46C4" w14:textId="77777777" w:rsidTr="002D36BA">
        <w:tc>
          <w:tcPr>
            <w:tcW w:w="1271" w:type="dxa"/>
            <w:tcMar>
              <w:left w:w="28" w:type="dxa"/>
              <w:right w:w="28" w:type="dxa"/>
            </w:tcMar>
            <w:vAlign w:val="center"/>
          </w:tcPr>
          <w:p w14:paraId="0AA9A082" w14:textId="77777777" w:rsidR="007631E4" w:rsidRDefault="007631E4" w:rsidP="00753431">
            <w:pPr>
              <w:pStyle w:val="EEAtableleft"/>
            </w:pPr>
            <w:r>
              <w:t>Loss of nutrients</w:t>
            </w:r>
          </w:p>
        </w:tc>
        <w:tc>
          <w:tcPr>
            <w:tcW w:w="567" w:type="dxa"/>
            <w:tcMar>
              <w:left w:w="28" w:type="dxa"/>
              <w:right w:w="28" w:type="dxa"/>
            </w:tcMar>
            <w:vAlign w:val="center"/>
          </w:tcPr>
          <w:p w14:paraId="287F63D5" w14:textId="77777777" w:rsidR="007631E4" w:rsidRDefault="007631E4" w:rsidP="00753431">
            <w:pPr>
              <w:pStyle w:val="EEATabcenter"/>
            </w:pPr>
            <w:r>
              <w:t>X</w:t>
            </w:r>
          </w:p>
        </w:tc>
        <w:tc>
          <w:tcPr>
            <w:tcW w:w="567" w:type="dxa"/>
            <w:tcMar>
              <w:left w:w="28" w:type="dxa"/>
              <w:right w:w="28" w:type="dxa"/>
            </w:tcMar>
            <w:vAlign w:val="center"/>
          </w:tcPr>
          <w:p w14:paraId="3A25BC98" w14:textId="77777777" w:rsidR="007631E4" w:rsidRDefault="007631E4" w:rsidP="00753431">
            <w:pPr>
              <w:pStyle w:val="EEATabcenter"/>
            </w:pPr>
            <w:r>
              <w:t>(X)</w:t>
            </w:r>
          </w:p>
        </w:tc>
        <w:tc>
          <w:tcPr>
            <w:tcW w:w="2835" w:type="dxa"/>
            <w:tcMar>
              <w:left w:w="28" w:type="dxa"/>
              <w:right w:w="28" w:type="dxa"/>
            </w:tcMar>
            <w:vAlign w:val="center"/>
          </w:tcPr>
          <w:p w14:paraId="54C0E15E" w14:textId="77777777" w:rsidR="007631E4" w:rsidRPr="007676A4" w:rsidRDefault="007631E4" w:rsidP="00753431">
            <w:pPr>
              <w:pStyle w:val="EEAtabbull"/>
            </w:pPr>
            <w:r w:rsidRPr="007676A4">
              <w:t>% exchangeable basic cations</w:t>
            </w:r>
          </w:p>
          <w:p w14:paraId="0692BE4D" w14:textId="77777777" w:rsidR="007631E4" w:rsidRPr="007676A4" w:rsidRDefault="007631E4" w:rsidP="00753431">
            <w:pPr>
              <w:pStyle w:val="EEAtabbull"/>
            </w:pPr>
            <w:r w:rsidRPr="007676A4">
              <w:t>% trace elements (includes micronutrients)</w:t>
            </w:r>
          </w:p>
        </w:tc>
        <w:tc>
          <w:tcPr>
            <w:tcW w:w="2740" w:type="dxa"/>
            <w:tcMar>
              <w:left w:w="28" w:type="dxa"/>
              <w:right w:w="28" w:type="dxa"/>
            </w:tcMar>
            <w:vAlign w:val="center"/>
          </w:tcPr>
          <w:p w14:paraId="469B39B5" w14:textId="77777777" w:rsidR="007631E4" w:rsidRPr="007676A4" w:rsidRDefault="007631E4" w:rsidP="00753431">
            <w:pPr>
              <w:pStyle w:val="EEAtableleft"/>
            </w:pPr>
            <w:r w:rsidRPr="007676A4">
              <w:rPr>
                <w:b/>
              </w:rPr>
              <w:t>Soil fertility:</w:t>
            </w:r>
            <w:r w:rsidRPr="007676A4">
              <w:t xml:space="preserve"> % nutrients, pH</w:t>
            </w:r>
          </w:p>
          <w:p w14:paraId="4C01B543" w14:textId="77777777" w:rsidR="007631E4" w:rsidRPr="007676A4" w:rsidRDefault="007631E4" w:rsidP="00753431">
            <w:pPr>
              <w:pStyle w:val="EEAtableleft"/>
            </w:pPr>
            <w:r w:rsidRPr="007676A4">
              <w:rPr>
                <w:b/>
              </w:rPr>
              <w:t>Nutrient balances:</w:t>
            </w:r>
            <w:r w:rsidRPr="007676A4">
              <w:t xml:space="preserve"> applied and excess N, P (fertilizer consump</w:t>
            </w:r>
            <w:r>
              <w:t>-</w:t>
            </w:r>
            <w:r w:rsidRPr="007676A4">
              <w:t>tion, nutrient loss from soil)</w:t>
            </w:r>
          </w:p>
          <w:p w14:paraId="7893A361" w14:textId="77777777" w:rsidR="007631E4" w:rsidRPr="007676A4" w:rsidRDefault="007631E4" w:rsidP="00753431">
            <w:pPr>
              <w:pStyle w:val="EEAtableleft"/>
              <w:rPr>
                <w:b/>
              </w:rPr>
            </w:pPr>
            <w:r w:rsidRPr="007676A4">
              <w:rPr>
                <w:b/>
              </w:rPr>
              <w:t>SOM concentration</w:t>
            </w:r>
          </w:p>
        </w:tc>
        <w:tc>
          <w:tcPr>
            <w:tcW w:w="1796" w:type="dxa"/>
            <w:tcMar>
              <w:left w:w="28" w:type="dxa"/>
              <w:right w:w="28" w:type="dxa"/>
            </w:tcMar>
            <w:vAlign w:val="center"/>
          </w:tcPr>
          <w:p w14:paraId="52EFAA7C" w14:textId="77777777" w:rsidR="007631E4" w:rsidRPr="007676A4" w:rsidRDefault="007631E4" w:rsidP="00753431">
            <w:pPr>
              <w:pStyle w:val="EEAtableleft"/>
            </w:pPr>
            <w:r w:rsidRPr="007676A4">
              <w:t>Nutrient concentrations: N, P, Ca, Mg, K, Zn, other**</w:t>
            </w:r>
          </w:p>
        </w:tc>
      </w:tr>
      <w:tr w:rsidR="007631E4" w:rsidRPr="007676A4" w14:paraId="70362827" w14:textId="77777777" w:rsidTr="002D36BA">
        <w:trPr>
          <w:trHeight w:val="260"/>
        </w:trPr>
        <w:tc>
          <w:tcPr>
            <w:tcW w:w="1271" w:type="dxa"/>
            <w:vMerge w:val="restart"/>
            <w:tcMar>
              <w:left w:w="28" w:type="dxa"/>
              <w:right w:w="28" w:type="dxa"/>
            </w:tcMar>
            <w:vAlign w:val="center"/>
          </w:tcPr>
          <w:p w14:paraId="07E3A061" w14:textId="77777777" w:rsidR="007631E4" w:rsidRDefault="007631E4" w:rsidP="00753431">
            <w:pPr>
              <w:pStyle w:val="EEAtableleft"/>
            </w:pPr>
            <w:r>
              <w:t>Pollution</w:t>
            </w:r>
          </w:p>
        </w:tc>
        <w:tc>
          <w:tcPr>
            <w:tcW w:w="567" w:type="dxa"/>
            <w:vMerge w:val="restart"/>
            <w:tcMar>
              <w:left w:w="28" w:type="dxa"/>
              <w:right w:w="28" w:type="dxa"/>
            </w:tcMar>
            <w:vAlign w:val="center"/>
          </w:tcPr>
          <w:p w14:paraId="428C4E2E" w14:textId="77777777" w:rsidR="007631E4" w:rsidRDefault="007631E4" w:rsidP="00753431">
            <w:pPr>
              <w:pStyle w:val="EEATabcenter"/>
            </w:pPr>
            <w:r>
              <w:t>X</w:t>
            </w:r>
          </w:p>
        </w:tc>
        <w:tc>
          <w:tcPr>
            <w:tcW w:w="567" w:type="dxa"/>
            <w:vMerge w:val="restart"/>
            <w:tcMar>
              <w:left w:w="28" w:type="dxa"/>
              <w:right w:w="28" w:type="dxa"/>
            </w:tcMar>
            <w:vAlign w:val="center"/>
          </w:tcPr>
          <w:p w14:paraId="1BA0033E" w14:textId="77777777" w:rsidR="007631E4" w:rsidRDefault="007631E4" w:rsidP="00753431">
            <w:pPr>
              <w:pStyle w:val="EEATabcenter"/>
            </w:pPr>
            <w:r>
              <w:t>X</w:t>
            </w:r>
          </w:p>
        </w:tc>
        <w:tc>
          <w:tcPr>
            <w:tcW w:w="2835" w:type="dxa"/>
            <w:tcMar>
              <w:left w:w="28" w:type="dxa"/>
              <w:right w:w="28" w:type="dxa"/>
            </w:tcMar>
            <w:vAlign w:val="center"/>
          </w:tcPr>
          <w:p w14:paraId="64A934C4" w14:textId="77777777" w:rsidR="007631E4" w:rsidRPr="007676A4" w:rsidRDefault="007631E4" w:rsidP="00753431">
            <w:pPr>
              <w:pStyle w:val="EEAtabbull"/>
            </w:pPr>
            <w:r w:rsidRPr="007676A4">
              <w:t>Heavy metal content [mg/ha]</w:t>
            </w:r>
          </w:p>
          <w:p w14:paraId="4A5A3BD6" w14:textId="77777777" w:rsidR="007631E4" w:rsidRPr="007676A4" w:rsidRDefault="007631E4" w:rsidP="00753431">
            <w:pPr>
              <w:pStyle w:val="EEAtabbull"/>
            </w:pPr>
            <w:r w:rsidRPr="007676A4">
              <w:t>Critical load exceedance (S, N)</w:t>
            </w:r>
          </w:p>
        </w:tc>
        <w:tc>
          <w:tcPr>
            <w:tcW w:w="2740" w:type="dxa"/>
            <w:tcMar>
              <w:left w:w="28" w:type="dxa"/>
              <w:right w:w="28" w:type="dxa"/>
            </w:tcMar>
            <w:vAlign w:val="center"/>
          </w:tcPr>
          <w:p w14:paraId="02B66B85" w14:textId="77777777" w:rsidR="007631E4" w:rsidRPr="007676A4" w:rsidRDefault="007631E4" w:rsidP="00753431">
            <w:pPr>
              <w:pStyle w:val="EEAtableleft"/>
            </w:pPr>
            <w:r w:rsidRPr="007676A4">
              <w:t>Contaminated land area</w:t>
            </w:r>
          </w:p>
        </w:tc>
        <w:tc>
          <w:tcPr>
            <w:tcW w:w="1796" w:type="dxa"/>
            <w:tcMar>
              <w:left w:w="28" w:type="dxa"/>
              <w:right w:w="28" w:type="dxa"/>
            </w:tcMar>
            <w:vAlign w:val="center"/>
          </w:tcPr>
          <w:p w14:paraId="2B477A93" w14:textId="77777777" w:rsidR="007631E4" w:rsidRPr="007676A4" w:rsidRDefault="007631E4" w:rsidP="00753431">
            <w:pPr>
              <w:pStyle w:val="EEAtableleft"/>
            </w:pPr>
          </w:p>
        </w:tc>
      </w:tr>
      <w:tr w:rsidR="007631E4" w:rsidRPr="007676A4" w14:paraId="5270FCF0" w14:textId="77777777" w:rsidTr="002D36BA">
        <w:tc>
          <w:tcPr>
            <w:tcW w:w="1271" w:type="dxa"/>
            <w:vMerge/>
            <w:tcMar>
              <w:left w:w="28" w:type="dxa"/>
              <w:right w:w="28" w:type="dxa"/>
            </w:tcMar>
            <w:vAlign w:val="center"/>
          </w:tcPr>
          <w:p w14:paraId="68AF4D56" w14:textId="77777777" w:rsidR="007631E4" w:rsidRDefault="007631E4" w:rsidP="00753431">
            <w:pPr>
              <w:pStyle w:val="EEAtableleft"/>
            </w:pPr>
          </w:p>
        </w:tc>
        <w:tc>
          <w:tcPr>
            <w:tcW w:w="567" w:type="dxa"/>
            <w:vMerge/>
            <w:tcMar>
              <w:left w:w="28" w:type="dxa"/>
              <w:right w:w="28" w:type="dxa"/>
            </w:tcMar>
            <w:vAlign w:val="center"/>
          </w:tcPr>
          <w:p w14:paraId="2836CF1C" w14:textId="77777777" w:rsidR="007631E4" w:rsidRDefault="007631E4" w:rsidP="00753431">
            <w:pPr>
              <w:pStyle w:val="EEATabcenter"/>
            </w:pPr>
          </w:p>
        </w:tc>
        <w:tc>
          <w:tcPr>
            <w:tcW w:w="567" w:type="dxa"/>
            <w:vMerge/>
            <w:tcMar>
              <w:left w:w="28" w:type="dxa"/>
              <w:right w:w="28" w:type="dxa"/>
            </w:tcMar>
            <w:vAlign w:val="center"/>
          </w:tcPr>
          <w:p w14:paraId="59B42A1B" w14:textId="77777777" w:rsidR="007631E4" w:rsidRDefault="007631E4" w:rsidP="00753431">
            <w:pPr>
              <w:pStyle w:val="EEATabcenter"/>
            </w:pPr>
          </w:p>
        </w:tc>
        <w:tc>
          <w:tcPr>
            <w:tcW w:w="2835" w:type="dxa"/>
            <w:tcMar>
              <w:left w:w="28" w:type="dxa"/>
              <w:right w:w="28" w:type="dxa"/>
            </w:tcMar>
            <w:vAlign w:val="center"/>
          </w:tcPr>
          <w:p w14:paraId="6FC02BD7" w14:textId="77777777" w:rsidR="007631E4" w:rsidRPr="007676A4" w:rsidRDefault="007631E4" w:rsidP="00753431">
            <w:pPr>
              <w:pStyle w:val="EEAtabbull"/>
            </w:pPr>
            <w:r w:rsidRPr="007676A4">
              <w:t>Progress in the management of contaminated sites</w:t>
            </w:r>
          </w:p>
        </w:tc>
        <w:tc>
          <w:tcPr>
            <w:tcW w:w="2740" w:type="dxa"/>
            <w:tcMar>
              <w:left w:w="28" w:type="dxa"/>
              <w:right w:w="28" w:type="dxa"/>
            </w:tcMar>
            <w:vAlign w:val="center"/>
          </w:tcPr>
          <w:p w14:paraId="3A5ED5BC" w14:textId="77777777" w:rsidR="007631E4" w:rsidRPr="007676A4" w:rsidRDefault="007631E4" w:rsidP="00753431">
            <w:pPr>
              <w:pStyle w:val="EEAtableleft"/>
            </w:pPr>
          </w:p>
        </w:tc>
        <w:tc>
          <w:tcPr>
            <w:tcW w:w="1796" w:type="dxa"/>
            <w:tcMar>
              <w:left w:w="28" w:type="dxa"/>
              <w:right w:w="28" w:type="dxa"/>
            </w:tcMar>
            <w:vAlign w:val="center"/>
          </w:tcPr>
          <w:p w14:paraId="633A663C" w14:textId="77777777" w:rsidR="007631E4" w:rsidRPr="007676A4" w:rsidRDefault="007631E4" w:rsidP="00753431">
            <w:pPr>
              <w:pStyle w:val="EEAtableleft"/>
            </w:pPr>
            <w:r w:rsidRPr="007676A4">
              <w:t>Area</w:t>
            </w:r>
            <w:r>
              <w:t>/</w:t>
            </w:r>
            <w:r w:rsidRPr="007676A4">
              <w:t xml:space="preserve">number </w:t>
            </w:r>
            <w:r>
              <w:t xml:space="preserve">of </w:t>
            </w:r>
            <w:r w:rsidRPr="007676A4">
              <w:t>potentially contaminated</w:t>
            </w:r>
            <w:r>
              <w:t xml:space="preserve"> and remediated sites</w:t>
            </w:r>
            <w:r w:rsidRPr="007676A4">
              <w:t>**</w:t>
            </w:r>
          </w:p>
        </w:tc>
      </w:tr>
      <w:tr w:rsidR="007631E4" w:rsidRPr="007676A4" w14:paraId="6ADDA51E" w14:textId="77777777" w:rsidTr="002D36BA">
        <w:tc>
          <w:tcPr>
            <w:tcW w:w="1271" w:type="dxa"/>
            <w:tcMar>
              <w:left w:w="28" w:type="dxa"/>
              <w:right w:w="28" w:type="dxa"/>
            </w:tcMar>
            <w:vAlign w:val="center"/>
          </w:tcPr>
          <w:p w14:paraId="53A467AA" w14:textId="77777777" w:rsidR="007631E4" w:rsidRDefault="007631E4" w:rsidP="00753431">
            <w:pPr>
              <w:pStyle w:val="EEAtableleft"/>
            </w:pPr>
            <w:r>
              <w:t>Compaction and physical degradation</w:t>
            </w:r>
          </w:p>
        </w:tc>
        <w:tc>
          <w:tcPr>
            <w:tcW w:w="567" w:type="dxa"/>
            <w:tcMar>
              <w:left w:w="28" w:type="dxa"/>
              <w:right w:w="28" w:type="dxa"/>
            </w:tcMar>
            <w:vAlign w:val="center"/>
          </w:tcPr>
          <w:p w14:paraId="6529D4D9" w14:textId="77777777" w:rsidR="007631E4" w:rsidRDefault="007631E4" w:rsidP="00753431">
            <w:pPr>
              <w:pStyle w:val="EEATabcenter"/>
            </w:pPr>
            <w:r>
              <w:t>X</w:t>
            </w:r>
          </w:p>
        </w:tc>
        <w:tc>
          <w:tcPr>
            <w:tcW w:w="567" w:type="dxa"/>
            <w:tcMar>
              <w:left w:w="28" w:type="dxa"/>
              <w:right w:w="28" w:type="dxa"/>
            </w:tcMar>
            <w:vAlign w:val="center"/>
          </w:tcPr>
          <w:p w14:paraId="10D77ED9" w14:textId="77777777" w:rsidR="007631E4" w:rsidRDefault="007631E4" w:rsidP="00753431">
            <w:pPr>
              <w:pStyle w:val="EEATabcenter"/>
            </w:pPr>
            <w:r>
              <w:t>X</w:t>
            </w:r>
          </w:p>
        </w:tc>
        <w:tc>
          <w:tcPr>
            <w:tcW w:w="2835" w:type="dxa"/>
            <w:tcMar>
              <w:left w:w="28" w:type="dxa"/>
              <w:right w:w="28" w:type="dxa"/>
            </w:tcMar>
            <w:vAlign w:val="center"/>
          </w:tcPr>
          <w:p w14:paraId="362A0188" w14:textId="77777777" w:rsidR="007631E4" w:rsidRPr="007676A4" w:rsidRDefault="007631E4" w:rsidP="00753431">
            <w:pPr>
              <w:pStyle w:val="EEAtabbull"/>
            </w:pPr>
            <w:r w:rsidRPr="007676A4">
              <w:t>Soil density</w:t>
            </w:r>
          </w:p>
          <w:p w14:paraId="048988D0" w14:textId="77777777" w:rsidR="007631E4" w:rsidRPr="007676A4" w:rsidRDefault="007631E4" w:rsidP="00753431">
            <w:pPr>
              <w:pStyle w:val="EEAtabbull"/>
            </w:pPr>
            <w:r w:rsidRPr="007676A4">
              <w:t>Air capacity</w:t>
            </w:r>
          </w:p>
          <w:p w14:paraId="2B525534" w14:textId="77777777" w:rsidR="007631E4" w:rsidRPr="007676A4" w:rsidRDefault="007631E4" w:rsidP="00753431">
            <w:pPr>
              <w:pStyle w:val="EEAtabbull"/>
            </w:pPr>
            <w:r w:rsidRPr="007676A4">
              <w:t>Vulnerability to soil compaction</w:t>
            </w:r>
          </w:p>
        </w:tc>
        <w:tc>
          <w:tcPr>
            <w:tcW w:w="2740" w:type="dxa"/>
            <w:tcMar>
              <w:left w:w="28" w:type="dxa"/>
              <w:right w:w="28" w:type="dxa"/>
            </w:tcMar>
            <w:vAlign w:val="center"/>
          </w:tcPr>
          <w:p w14:paraId="109B63DE" w14:textId="77777777" w:rsidR="007631E4" w:rsidRPr="007676A4" w:rsidRDefault="007631E4" w:rsidP="00753431">
            <w:pPr>
              <w:pStyle w:val="EEAtableleft"/>
            </w:pPr>
          </w:p>
        </w:tc>
        <w:tc>
          <w:tcPr>
            <w:tcW w:w="1796" w:type="dxa"/>
            <w:tcMar>
              <w:left w:w="28" w:type="dxa"/>
              <w:right w:w="28" w:type="dxa"/>
            </w:tcMar>
            <w:vAlign w:val="center"/>
          </w:tcPr>
          <w:p w14:paraId="3452E310" w14:textId="77777777" w:rsidR="007631E4" w:rsidRPr="007676A4" w:rsidRDefault="007631E4" w:rsidP="00753431">
            <w:pPr>
              <w:pStyle w:val="EEAtableleft"/>
            </w:pPr>
            <w:r w:rsidRPr="007676A4">
              <w:t>Area affected by compaction**</w:t>
            </w:r>
          </w:p>
        </w:tc>
      </w:tr>
      <w:tr w:rsidR="007631E4" w:rsidRPr="007676A4" w14:paraId="6DF00BFD" w14:textId="77777777" w:rsidTr="002D36BA">
        <w:tc>
          <w:tcPr>
            <w:tcW w:w="1271" w:type="dxa"/>
            <w:tcMar>
              <w:left w:w="28" w:type="dxa"/>
              <w:right w:w="28" w:type="dxa"/>
            </w:tcMar>
            <w:vAlign w:val="center"/>
          </w:tcPr>
          <w:p w14:paraId="5414549A" w14:textId="77777777" w:rsidR="007631E4" w:rsidRDefault="007631E4" w:rsidP="00753431">
            <w:pPr>
              <w:pStyle w:val="EEAtableleft"/>
            </w:pPr>
            <w:r>
              <w:t>Waterlogging</w:t>
            </w:r>
          </w:p>
        </w:tc>
        <w:tc>
          <w:tcPr>
            <w:tcW w:w="567" w:type="dxa"/>
            <w:tcMar>
              <w:left w:w="28" w:type="dxa"/>
              <w:right w:w="28" w:type="dxa"/>
            </w:tcMar>
            <w:vAlign w:val="center"/>
          </w:tcPr>
          <w:p w14:paraId="2AFE7695" w14:textId="77777777" w:rsidR="007631E4" w:rsidRDefault="007631E4" w:rsidP="00753431">
            <w:pPr>
              <w:pStyle w:val="EEATabcenter"/>
            </w:pPr>
            <w:r>
              <w:t>X</w:t>
            </w:r>
          </w:p>
        </w:tc>
        <w:tc>
          <w:tcPr>
            <w:tcW w:w="567" w:type="dxa"/>
            <w:tcMar>
              <w:left w:w="28" w:type="dxa"/>
              <w:right w:w="28" w:type="dxa"/>
            </w:tcMar>
            <w:vAlign w:val="center"/>
          </w:tcPr>
          <w:p w14:paraId="7F17F569" w14:textId="77777777" w:rsidR="007631E4" w:rsidRDefault="007631E4" w:rsidP="00753431">
            <w:pPr>
              <w:pStyle w:val="EEATabcenter"/>
            </w:pPr>
          </w:p>
        </w:tc>
        <w:tc>
          <w:tcPr>
            <w:tcW w:w="2835" w:type="dxa"/>
            <w:tcMar>
              <w:left w:w="28" w:type="dxa"/>
              <w:right w:w="28" w:type="dxa"/>
            </w:tcMar>
            <w:vAlign w:val="center"/>
          </w:tcPr>
          <w:p w14:paraId="552EC1B1" w14:textId="77777777" w:rsidR="007631E4" w:rsidRPr="007676A4" w:rsidRDefault="007631E4" w:rsidP="00753431">
            <w:pPr>
              <w:pStyle w:val="EEAtabbull"/>
            </w:pPr>
          </w:p>
        </w:tc>
        <w:tc>
          <w:tcPr>
            <w:tcW w:w="2740" w:type="dxa"/>
            <w:tcMar>
              <w:left w:w="28" w:type="dxa"/>
              <w:right w:w="28" w:type="dxa"/>
            </w:tcMar>
            <w:vAlign w:val="center"/>
          </w:tcPr>
          <w:p w14:paraId="7DC98993" w14:textId="77777777" w:rsidR="007631E4" w:rsidRPr="007676A4" w:rsidRDefault="007631E4" w:rsidP="00753431">
            <w:pPr>
              <w:pStyle w:val="EEAtableleft"/>
            </w:pPr>
          </w:p>
        </w:tc>
        <w:tc>
          <w:tcPr>
            <w:tcW w:w="1796" w:type="dxa"/>
            <w:tcMar>
              <w:left w:w="28" w:type="dxa"/>
              <w:right w:w="28" w:type="dxa"/>
            </w:tcMar>
            <w:vAlign w:val="center"/>
          </w:tcPr>
          <w:p w14:paraId="37AFCA48" w14:textId="77777777" w:rsidR="007631E4" w:rsidRPr="007676A4" w:rsidRDefault="007631E4" w:rsidP="00753431">
            <w:pPr>
              <w:pStyle w:val="EEAtableleft"/>
            </w:pPr>
            <w:r w:rsidRPr="007676A4">
              <w:t>Area affected by waterlogging**</w:t>
            </w:r>
          </w:p>
        </w:tc>
      </w:tr>
      <w:tr w:rsidR="007631E4" w:rsidRPr="007676A4" w14:paraId="3AF355E0" w14:textId="77777777" w:rsidTr="002D36BA">
        <w:tc>
          <w:tcPr>
            <w:tcW w:w="1271" w:type="dxa"/>
            <w:tcMar>
              <w:left w:w="28" w:type="dxa"/>
              <w:right w:w="28" w:type="dxa"/>
            </w:tcMar>
            <w:vAlign w:val="center"/>
          </w:tcPr>
          <w:p w14:paraId="2D08CEF7" w14:textId="77777777" w:rsidR="007631E4" w:rsidRDefault="007631E4" w:rsidP="00753431">
            <w:pPr>
              <w:pStyle w:val="EEAtableleft"/>
            </w:pPr>
            <w:r>
              <w:t>Subsidence of organic soils</w:t>
            </w:r>
          </w:p>
        </w:tc>
        <w:tc>
          <w:tcPr>
            <w:tcW w:w="567" w:type="dxa"/>
            <w:tcMar>
              <w:left w:w="28" w:type="dxa"/>
              <w:right w:w="28" w:type="dxa"/>
            </w:tcMar>
            <w:vAlign w:val="center"/>
          </w:tcPr>
          <w:p w14:paraId="45F89C7E" w14:textId="77777777" w:rsidR="007631E4" w:rsidRDefault="007631E4" w:rsidP="00753431">
            <w:pPr>
              <w:pStyle w:val="EEATabcenter"/>
            </w:pPr>
            <w:r>
              <w:t>X</w:t>
            </w:r>
          </w:p>
        </w:tc>
        <w:tc>
          <w:tcPr>
            <w:tcW w:w="567" w:type="dxa"/>
            <w:tcMar>
              <w:left w:w="28" w:type="dxa"/>
              <w:right w:w="28" w:type="dxa"/>
            </w:tcMar>
            <w:vAlign w:val="center"/>
          </w:tcPr>
          <w:p w14:paraId="6D98618A" w14:textId="77777777" w:rsidR="007631E4" w:rsidRDefault="007631E4" w:rsidP="00753431">
            <w:pPr>
              <w:pStyle w:val="EEATabcenter"/>
            </w:pPr>
          </w:p>
        </w:tc>
        <w:tc>
          <w:tcPr>
            <w:tcW w:w="2835" w:type="dxa"/>
            <w:tcMar>
              <w:left w:w="28" w:type="dxa"/>
              <w:right w:w="28" w:type="dxa"/>
            </w:tcMar>
            <w:vAlign w:val="center"/>
          </w:tcPr>
          <w:p w14:paraId="09E2EE30" w14:textId="77777777" w:rsidR="007631E4" w:rsidRPr="007676A4" w:rsidRDefault="007631E4" w:rsidP="00753431">
            <w:pPr>
              <w:pStyle w:val="EEAtabbull"/>
            </w:pPr>
          </w:p>
        </w:tc>
        <w:tc>
          <w:tcPr>
            <w:tcW w:w="2740" w:type="dxa"/>
            <w:tcMar>
              <w:left w:w="28" w:type="dxa"/>
              <w:right w:w="28" w:type="dxa"/>
            </w:tcMar>
            <w:vAlign w:val="center"/>
          </w:tcPr>
          <w:p w14:paraId="61D84F13" w14:textId="77777777" w:rsidR="007631E4" w:rsidRPr="007676A4" w:rsidRDefault="007631E4" w:rsidP="00753431">
            <w:pPr>
              <w:pStyle w:val="EEAtableleft"/>
            </w:pPr>
          </w:p>
        </w:tc>
        <w:tc>
          <w:tcPr>
            <w:tcW w:w="1796" w:type="dxa"/>
            <w:tcMar>
              <w:left w:w="28" w:type="dxa"/>
              <w:right w:w="28" w:type="dxa"/>
            </w:tcMar>
            <w:vAlign w:val="center"/>
          </w:tcPr>
          <w:p w14:paraId="425E691D" w14:textId="77777777" w:rsidR="007631E4" w:rsidRPr="007676A4" w:rsidRDefault="007631E4" w:rsidP="00753431">
            <w:pPr>
              <w:pStyle w:val="EEAtableleft"/>
            </w:pPr>
          </w:p>
        </w:tc>
      </w:tr>
      <w:tr w:rsidR="007631E4" w:rsidRPr="007676A4" w14:paraId="4EC5051E" w14:textId="77777777" w:rsidTr="002D36BA">
        <w:tc>
          <w:tcPr>
            <w:tcW w:w="1271" w:type="dxa"/>
            <w:tcMar>
              <w:left w:w="28" w:type="dxa"/>
              <w:right w:w="28" w:type="dxa"/>
            </w:tcMar>
            <w:vAlign w:val="center"/>
          </w:tcPr>
          <w:p w14:paraId="24325223" w14:textId="77777777" w:rsidR="007631E4" w:rsidRDefault="007631E4" w:rsidP="00753431">
            <w:pPr>
              <w:pStyle w:val="EEAtableleft"/>
            </w:pPr>
            <w:r>
              <w:t>Loss of soil biodiversity</w:t>
            </w:r>
          </w:p>
        </w:tc>
        <w:tc>
          <w:tcPr>
            <w:tcW w:w="567" w:type="dxa"/>
            <w:tcMar>
              <w:left w:w="28" w:type="dxa"/>
              <w:right w:w="28" w:type="dxa"/>
            </w:tcMar>
            <w:vAlign w:val="center"/>
          </w:tcPr>
          <w:p w14:paraId="3985C170" w14:textId="77777777" w:rsidR="007631E4" w:rsidRDefault="007631E4" w:rsidP="00753431">
            <w:pPr>
              <w:pStyle w:val="EEATabcenter"/>
            </w:pPr>
          </w:p>
        </w:tc>
        <w:tc>
          <w:tcPr>
            <w:tcW w:w="567" w:type="dxa"/>
            <w:tcMar>
              <w:left w:w="28" w:type="dxa"/>
              <w:right w:w="28" w:type="dxa"/>
            </w:tcMar>
            <w:vAlign w:val="center"/>
          </w:tcPr>
          <w:p w14:paraId="5B5AAC6B" w14:textId="77777777" w:rsidR="007631E4" w:rsidRDefault="007631E4" w:rsidP="00753431">
            <w:pPr>
              <w:pStyle w:val="EEATabcenter"/>
            </w:pPr>
            <w:r>
              <w:t>X</w:t>
            </w:r>
          </w:p>
        </w:tc>
        <w:tc>
          <w:tcPr>
            <w:tcW w:w="2835" w:type="dxa"/>
            <w:tcMar>
              <w:left w:w="28" w:type="dxa"/>
              <w:right w:w="28" w:type="dxa"/>
            </w:tcMar>
            <w:vAlign w:val="center"/>
          </w:tcPr>
          <w:p w14:paraId="409570B1" w14:textId="77777777" w:rsidR="007631E4" w:rsidRPr="007676A4" w:rsidRDefault="007631E4" w:rsidP="00753431">
            <w:pPr>
              <w:pStyle w:val="EEAtabbull"/>
            </w:pPr>
            <w:r w:rsidRPr="007676A4">
              <w:t>Macrofauna (Earthworms)</w:t>
            </w:r>
          </w:p>
          <w:p w14:paraId="40111EC0" w14:textId="77777777" w:rsidR="007631E4" w:rsidRPr="007676A4" w:rsidRDefault="007631E4" w:rsidP="00753431">
            <w:pPr>
              <w:pStyle w:val="EEAtabbull"/>
            </w:pPr>
            <w:r w:rsidRPr="007676A4">
              <w:t>Mesofauna (Collembola)</w:t>
            </w:r>
          </w:p>
          <w:p w14:paraId="6BD58D87" w14:textId="77777777" w:rsidR="007631E4" w:rsidRPr="007676A4" w:rsidRDefault="007631E4" w:rsidP="00753431">
            <w:pPr>
              <w:pStyle w:val="EEAtabbull"/>
            </w:pPr>
            <w:r w:rsidRPr="007676A4">
              <w:t>Microbial respiration</w:t>
            </w:r>
          </w:p>
        </w:tc>
        <w:tc>
          <w:tcPr>
            <w:tcW w:w="2740" w:type="dxa"/>
            <w:tcMar>
              <w:left w:w="28" w:type="dxa"/>
              <w:right w:w="28" w:type="dxa"/>
            </w:tcMar>
            <w:vAlign w:val="center"/>
          </w:tcPr>
          <w:p w14:paraId="7AA375D1" w14:textId="77777777" w:rsidR="007631E4" w:rsidRPr="007676A4" w:rsidRDefault="007631E4" w:rsidP="00753431">
            <w:pPr>
              <w:pStyle w:val="EEAtableleft"/>
            </w:pPr>
          </w:p>
        </w:tc>
        <w:tc>
          <w:tcPr>
            <w:tcW w:w="1796" w:type="dxa"/>
            <w:tcMar>
              <w:left w:w="28" w:type="dxa"/>
              <w:right w:w="28" w:type="dxa"/>
            </w:tcMar>
            <w:vAlign w:val="center"/>
          </w:tcPr>
          <w:p w14:paraId="6BEBC3D7" w14:textId="77777777" w:rsidR="007631E4" w:rsidRPr="007676A4" w:rsidRDefault="007631E4" w:rsidP="00753431">
            <w:pPr>
              <w:pStyle w:val="EEAtableleft"/>
            </w:pPr>
          </w:p>
        </w:tc>
      </w:tr>
      <w:tr w:rsidR="007631E4" w:rsidRPr="007676A4" w14:paraId="1656613D" w14:textId="77777777" w:rsidTr="002D36BA">
        <w:tc>
          <w:tcPr>
            <w:tcW w:w="1271" w:type="dxa"/>
            <w:tcMar>
              <w:left w:w="28" w:type="dxa"/>
              <w:right w:w="28" w:type="dxa"/>
            </w:tcMar>
            <w:vAlign w:val="center"/>
          </w:tcPr>
          <w:p w14:paraId="77622D08" w14:textId="77777777" w:rsidR="007631E4" w:rsidRDefault="007631E4" w:rsidP="00753431">
            <w:pPr>
              <w:pStyle w:val="EEAtableleft"/>
            </w:pPr>
            <w:r>
              <w:t>Landslides</w:t>
            </w:r>
          </w:p>
        </w:tc>
        <w:tc>
          <w:tcPr>
            <w:tcW w:w="567" w:type="dxa"/>
            <w:tcMar>
              <w:left w:w="28" w:type="dxa"/>
              <w:right w:w="28" w:type="dxa"/>
            </w:tcMar>
            <w:vAlign w:val="center"/>
          </w:tcPr>
          <w:p w14:paraId="0C6683A5" w14:textId="77777777" w:rsidR="007631E4" w:rsidRDefault="007631E4" w:rsidP="00753431">
            <w:pPr>
              <w:pStyle w:val="EEATabcenter"/>
            </w:pPr>
          </w:p>
        </w:tc>
        <w:tc>
          <w:tcPr>
            <w:tcW w:w="567" w:type="dxa"/>
            <w:tcMar>
              <w:left w:w="28" w:type="dxa"/>
              <w:right w:w="28" w:type="dxa"/>
            </w:tcMar>
            <w:vAlign w:val="center"/>
          </w:tcPr>
          <w:p w14:paraId="53D50E9B" w14:textId="77777777" w:rsidR="007631E4" w:rsidRDefault="007631E4" w:rsidP="00753431">
            <w:pPr>
              <w:pStyle w:val="EEATabcenter"/>
            </w:pPr>
            <w:r>
              <w:t>X</w:t>
            </w:r>
          </w:p>
        </w:tc>
        <w:tc>
          <w:tcPr>
            <w:tcW w:w="2835" w:type="dxa"/>
            <w:tcMar>
              <w:left w:w="28" w:type="dxa"/>
              <w:right w:w="28" w:type="dxa"/>
            </w:tcMar>
            <w:vAlign w:val="center"/>
          </w:tcPr>
          <w:p w14:paraId="2F9E3CF5" w14:textId="77777777" w:rsidR="007631E4" w:rsidRPr="007676A4" w:rsidRDefault="007631E4" w:rsidP="00753431">
            <w:pPr>
              <w:pStyle w:val="EEAtabbull"/>
            </w:pPr>
            <w:r w:rsidRPr="007676A4">
              <w:t>Occurrence of landslides</w:t>
            </w:r>
          </w:p>
        </w:tc>
        <w:tc>
          <w:tcPr>
            <w:tcW w:w="2740" w:type="dxa"/>
            <w:tcMar>
              <w:left w:w="28" w:type="dxa"/>
              <w:right w:w="28" w:type="dxa"/>
            </w:tcMar>
            <w:vAlign w:val="center"/>
          </w:tcPr>
          <w:p w14:paraId="64954504" w14:textId="77777777" w:rsidR="007631E4" w:rsidRPr="007676A4" w:rsidRDefault="007631E4" w:rsidP="00753431">
            <w:pPr>
              <w:pStyle w:val="EEAtableleft"/>
            </w:pPr>
          </w:p>
        </w:tc>
        <w:tc>
          <w:tcPr>
            <w:tcW w:w="1796" w:type="dxa"/>
            <w:tcMar>
              <w:left w:w="28" w:type="dxa"/>
              <w:right w:w="28" w:type="dxa"/>
            </w:tcMar>
            <w:vAlign w:val="center"/>
          </w:tcPr>
          <w:p w14:paraId="4D858544" w14:textId="77777777" w:rsidR="007631E4" w:rsidRPr="007676A4" w:rsidRDefault="007631E4" w:rsidP="00753431">
            <w:pPr>
              <w:pStyle w:val="EEAtableleft"/>
            </w:pPr>
          </w:p>
        </w:tc>
      </w:tr>
      <w:tr w:rsidR="007631E4" w:rsidRPr="007676A4" w14:paraId="266CEB0A" w14:textId="77777777" w:rsidTr="002D36BA">
        <w:tc>
          <w:tcPr>
            <w:tcW w:w="1271" w:type="dxa"/>
            <w:tcMar>
              <w:left w:w="28" w:type="dxa"/>
              <w:right w:w="28" w:type="dxa"/>
            </w:tcMar>
            <w:vAlign w:val="center"/>
          </w:tcPr>
          <w:p w14:paraId="0ADD2B58" w14:textId="77777777" w:rsidR="007631E4" w:rsidRDefault="007631E4" w:rsidP="00753431">
            <w:pPr>
              <w:pStyle w:val="EEAtableleft"/>
            </w:pPr>
            <w:r>
              <w:t>Soil Sealing</w:t>
            </w:r>
          </w:p>
        </w:tc>
        <w:tc>
          <w:tcPr>
            <w:tcW w:w="567" w:type="dxa"/>
            <w:tcMar>
              <w:left w:w="28" w:type="dxa"/>
              <w:right w:w="28" w:type="dxa"/>
            </w:tcMar>
            <w:vAlign w:val="center"/>
          </w:tcPr>
          <w:p w14:paraId="61D47BB3" w14:textId="77777777" w:rsidR="007631E4" w:rsidRDefault="007631E4" w:rsidP="00753431">
            <w:pPr>
              <w:pStyle w:val="EEATabcenter"/>
            </w:pPr>
          </w:p>
        </w:tc>
        <w:tc>
          <w:tcPr>
            <w:tcW w:w="567" w:type="dxa"/>
            <w:tcMar>
              <w:left w:w="28" w:type="dxa"/>
              <w:right w:w="28" w:type="dxa"/>
            </w:tcMar>
            <w:vAlign w:val="center"/>
          </w:tcPr>
          <w:p w14:paraId="2F9A6CBA" w14:textId="77777777" w:rsidR="007631E4" w:rsidRDefault="007631E4" w:rsidP="00753431">
            <w:pPr>
              <w:pStyle w:val="EEATabcenter"/>
            </w:pPr>
            <w:r>
              <w:t>X</w:t>
            </w:r>
          </w:p>
        </w:tc>
        <w:tc>
          <w:tcPr>
            <w:tcW w:w="2835" w:type="dxa"/>
            <w:tcMar>
              <w:left w:w="28" w:type="dxa"/>
              <w:right w:w="28" w:type="dxa"/>
            </w:tcMar>
            <w:vAlign w:val="center"/>
          </w:tcPr>
          <w:p w14:paraId="5249E839" w14:textId="77777777" w:rsidR="007631E4" w:rsidRPr="007676A4" w:rsidRDefault="007631E4" w:rsidP="00753431">
            <w:pPr>
              <w:pStyle w:val="EEAtabbull"/>
            </w:pPr>
            <w:r w:rsidRPr="007676A4">
              <w:t>Sealed area</w:t>
            </w:r>
          </w:p>
        </w:tc>
        <w:tc>
          <w:tcPr>
            <w:tcW w:w="2740" w:type="dxa"/>
            <w:tcMar>
              <w:left w:w="28" w:type="dxa"/>
              <w:right w:w="28" w:type="dxa"/>
            </w:tcMar>
            <w:vAlign w:val="center"/>
          </w:tcPr>
          <w:p w14:paraId="785EA593" w14:textId="77777777" w:rsidR="007631E4" w:rsidRPr="007676A4" w:rsidRDefault="007631E4" w:rsidP="00753431">
            <w:pPr>
              <w:pStyle w:val="EEAtableleft"/>
            </w:pPr>
          </w:p>
        </w:tc>
        <w:tc>
          <w:tcPr>
            <w:tcW w:w="1796" w:type="dxa"/>
            <w:tcMar>
              <w:left w:w="28" w:type="dxa"/>
              <w:right w:w="28" w:type="dxa"/>
            </w:tcMar>
            <w:vAlign w:val="center"/>
          </w:tcPr>
          <w:p w14:paraId="6202F48F" w14:textId="77777777" w:rsidR="007631E4" w:rsidRPr="007676A4" w:rsidRDefault="007631E4" w:rsidP="00753431">
            <w:pPr>
              <w:pStyle w:val="EEAtableleft"/>
            </w:pPr>
          </w:p>
        </w:tc>
      </w:tr>
      <w:tr w:rsidR="007631E4" w:rsidRPr="007676A4" w14:paraId="3AB1EF71" w14:textId="77777777" w:rsidTr="002D36BA">
        <w:tc>
          <w:tcPr>
            <w:tcW w:w="1271" w:type="dxa"/>
            <w:tcMar>
              <w:left w:w="28" w:type="dxa"/>
              <w:right w:w="28" w:type="dxa"/>
            </w:tcMar>
            <w:vAlign w:val="center"/>
          </w:tcPr>
          <w:p w14:paraId="3B81B759" w14:textId="77777777" w:rsidR="007631E4" w:rsidRDefault="007631E4" w:rsidP="00753431">
            <w:pPr>
              <w:pStyle w:val="EEAtableleft"/>
            </w:pPr>
            <w:r>
              <w:t>Desertification</w:t>
            </w:r>
          </w:p>
        </w:tc>
        <w:tc>
          <w:tcPr>
            <w:tcW w:w="567" w:type="dxa"/>
            <w:tcMar>
              <w:left w:w="28" w:type="dxa"/>
              <w:right w:w="28" w:type="dxa"/>
            </w:tcMar>
            <w:vAlign w:val="center"/>
          </w:tcPr>
          <w:p w14:paraId="7A63AD91" w14:textId="77777777" w:rsidR="007631E4" w:rsidRDefault="007631E4" w:rsidP="00753431">
            <w:pPr>
              <w:pStyle w:val="EEATabcenter"/>
            </w:pPr>
          </w:p>
        </w:tc>
        <w:tc>
          <w:tcPr>
            <w:tcW w:w="567" w:type="dxa"/>
            <w:tcMar>
              <w:left w:w="28" w:type="dxa"/>
              <w:right w:w="28" w:type="dxa"/>
            </w:tcMar>
            <w:vAlign w:val="center"/>
          </w:tcPr>
          <w:p w14:paraId="5D068484" w14:textId="77777777" w:rsidR="007631E4" w:rsidRDefault="007631E4" w:rsidP="00753431">
            <w:pPr>
              <w:pStyle w:val="EEATabcenter"/>
            </w:pPr>
            <w:r>
              <w:t>X</w:t>
            </w:r>
          </w:p>
        </w:tc>
        <w:tc>
          <w:tcPr>
            <w:tcW w:w="2835" w:type="dxa"/>
            <w:tcMar>
              <w:left w:w="28" w:type="dxa"/>
              <w:right w:w="28" w:type="dxa"/>
            </w:tcMar>
            <w:vAlign w:val="center"/>
          </w:tcPr>
          <w:p w14:paraId="5E16AB12" w14:textId="77777777" w:rsidR="007631E4" w:rsidRPr="007676A4" w:rsidRDefault="007631E4" w:rsidP="00753431">
            <w:pPr>
              <w:pStyle w:val="EEAtabbull"/>
            </w:pPr>
            <w:r w:rsidRPr="007676A4">
              <w:t>Vulnerability to desertification</w:t>
            </w:r>
          </w:p>
          <w:p w14:paraId="26ADB9B1" w14:textId="77777777" w:rsidR="007631E4" w:rsidRPr="007676A4" w:rsidRDefault="007631E4" w:rsidP="00753431">
            <w:pPr>
              <w:pStyle w:val="EEAtabbull"/>
            </w:pPr>
            <w:r w:rsidRPr="007676A4">
              <w:t>Wildfires</w:t>
            </w:r>
          </w:p>
          <w:p w14:paraId="71B98135" w14:textId="77777777" w:rsidR="007631E4" w:rsidRPr="007676A4" w:rsidRDefault="007631E4" w:rsidP="00753431">
            <w:pPr>
              <w:pStyle w:val="EEAtabbull"/>
            </w:pPr>
            <w:r w:rsidRPr="007676A4">
              <w:t>SOC on desertified land</w:t>
            </w:r>
          </w:p>
        </w:tc>
        <w:tc>
          <w:tcPr>
            <w:tcW w:w="2740" w:type="dxa"/>
            <w:tcMar>
              <w:left w:w="28" w:type="dxa"/>
              <w:right w:w="28" w:type="dxa"/>
            </w:tcMar>
          </w:tcPr>
          <w:p w14:paraId="749EBA26" w14:textId="77777777" w:rsidR="007631E4" w:rsidRPr="007676A4" w:rsidRDefault="007631E4" w:rsidP="00753431">
            <w:pPr>
              <w:pStyle w:val="EEAtableleft"/>
            </w:pPr>
          </w:p>
        </w:tc>
        <w:tc>
          <w:tcPr>
            <w:tcW w:w="1796" w:type="dxa"/>
            <w:tcMar>
              <w:left w:w="28" w:type="dxa"/>
              <w:right w:w="28" w:type="dxa"/>
            </w:tcMar>
            <w:vAlign w:val="center"/>
          </w:tcPr>
          <w:p w14:paraId="0858333A" w14:textId="77777777" w:rsidR="007631E4" w:rsidRPr="007676A4" w:rsidRDefault="007631E4" w:rsidP="00753431">
            <w:pPr>
              <w:pStyle w:val="EEAtableleft"/>
            </w:pPr>
            <w:r w:rsidRPr="007676A4">
              <w:t>Area affected by desertification**</w:t>
            </w:r>
          </w:p>
        </w:tc>
      </w:tr>
      <w:tr w:rsidR="007631E4" w:rsidRPr="007676A4" w14:paraId="0367D3E5" w14:textId="77777777" w:rsidTr="002D36BA">
        <w:tc>
          <w:tcPr>
            <w:tcW w:w="1271" w:type="dxa"/>
            <w:tcMar>
              <w:left w:w="28" w:type="dxa"/>
              <w:right w:w="28" w:type="dxa"/>
            </w:tcMar>
            <w:vAlign w:val="center"/>
          </w:tcPr>
          <w:p w14:paraId="573BA4CE" w14:textId="77777777" w:rsidR="007631E4" w:rsidRDefault="007631E4" w:rsidP="00753431">
            <w:pPr>
              <w:pStyle w:val="EEAtableleft"/>
            </w:pPr>
            <w:r>
              <w:t>Water cycle</w:t>
            </w:r>
          </w:p>
        </w:tc>
        <w:tc>
          <w:tcPr>
            <w:tcW w:w="567" w:type="dxa"/>
            <w:tcMar>
              <w:left w:w="28" w:type="dxa"/>
              <w:right w:w="28" w:type="dxa"/>
            </w:tcMar>
            <w:vAlign w:val="center"/>
          </w:tcPr>
          <w:p w14:paraId="262E5C1D" w14:textId="77777777" w:rsidR="007631E4" w:rsidRDefault="007631E4" w:rsidP="00753431">
            <w:pPr>
              <w:pStyle w:val="EEATabcenter"/>
            </w:pPr>
          </w:p>
        </w:tc>
        <w:tc>
          <w:tcPr>
            <w:tcW w:w="567" w:type="dxa"/>
            <w:tcMar>
              <w:left w:w="28" w:type="dxa"/>
              <w:right w:w="28" w:type="dxa"/>
            </w:tcMar>
            <w:vAlign w:val="center"/>
          </w:tcPr>
          <w:p w14:paraId="5B907FE1" w14:textId="77777777" w:rsidR="007631E4" w:rsidRDefault="007631E4" w:rsidP="00753431">
            <w:pPr>
              <w:pStyle w:val="EEATabcenter"/>
            </w:pPr>
          </w:p>
        </w:tc>
        <w:tc>
          <w:tcPr>
            <w:tcW w:w="2835" w:type="dxa"/>
            <w:tcMar>
              <w:left w:w="28" w:type="dxa"/>
              <w:right w:w="28" w:type="dxa"/>
            </w:tcMar>
            <w:vAlign w:val="center"/>
          </w:tcPr>
          <w:p w14:paraId="5186AF2F" w14:textId="77777777" w:rsidR="007631E4" w:rsidRPr="007676A4" w:rsidRDefault="007631E4" w:rsidP="00753431">
            <w:pPr>
              <w:pStyle w:val="EEAtabbull"/>
            </w:pPr>
          </w:p>
        </w:tc>
        <w:tc>
          <w:tcPr>
            <w:tcW w:w="2740" w:type="dxa"/>
            <w:tcMar>
              <w:left w:w="28" w:type="dxa"/>
              <w:right w:w="28" w:type="dxa"/>
            </w:tcMar>
          </w:tcPr>
          <w:p w14:paraId="36FB6CC0" w14:textId="77777777" w:rsidR="007631E4" w:rsidRPr="007676A4" w:rsidRDefault="007631E4" w:rsidP="00753431">
            <w:pPr>
              <w:pStyle w:val="EEAtableleft"/>
            </w:pPr>
            <w:r w:rsidRPr="007676A4">
              <w:t>Soil moisture</w:t>
            </w:r>
          </w:p>
        </w:tc>
        <w:tc>
          <w:tcPr>
            <w:tcW w:w="1796" w:type="dxa"/>
            <w:tcMar>
              <w:left w:w="28" w:type="dxa"/>
              <w:right w:w="28" w:type="dxa"/>
            </w:tcMar>
            <w:vAlign w:val="center"/>
          </w:tcPr>
          <w:p w14:paraId="6687D0F2" w14:textId="77777777" w:rsidR="007631E4" w:rsidRPr="007676A4" w:rsidRDefault="007631E4" w:rsidP="007C0E26">
            <w:pPr>
              <w:jc w:val="left"/>
              <w:rPr>
                <w:rFonts w:asciiTheme="majorHAnsi" w:hAnsiTheme="majorHAnsi" w:cstheme="majorHAnsi"/>
                <w:sz w:val="20"/>
              </w:rPr>
            </w:pPr>
          </w:p>
        </w:tc>
      </w:tr>
    </w:tbl>
    <w:p w14:paraId="69309DFF" w14:textId="1070B49A" w:rsidR="00454EA7" w:rsidRDefault="00454EA7" w:rsidP="00454EA7">
      <w:pPr>
        <w:pStyle w:val="EEASource"/>
        <w:rPr>
          <w:b/>
        </w:rPr>
      </w:pPr>
      <w:r>
        <w:t>S</w:t>
      </w:r>
      <w:r w:rsidRPr="006445E9">
        <w:t>ource:</w:t>
      </w:r>
      <w:r>
        <w:tab/>
        <w:t>FAO 2019, draft SoilSTAT</w:t>
      </w:r>
    </w:p>
    <w:p w14:paraId="0611D215" w14:textId="07733122" w:rsidR="00564774" w:rsidRDefault="00AA0AA8" w:rsidP="00564774">
      <w:pPr>
        <w:pStyle w:val="FormatvorlageEEATabfootnoteLinks0cmErsteZeile0cm"/>
        <w:ind w:left="567" w:hanging="567"/>
      </w:pPr>
      <w:r w:rsidRPr="00903438">
        <w:rPr>
          <w:b/>
        </w:rPr>
        <w:lastRenderedPageBreak/>
        <w:t>Note:</w:t>
      </w:r>
      <w:r>
        <w:t xml:space="preserve"> </w:t>
      </w:r>
      <w:r>
        <w:tab/>
      </w:r>
      <w:r w:rsidR="00903438" w:rsidRPr="007E58D0">
        <w:rPr>
          <w:b/>
          <w:vertAlign w:val="superscript"/>
        </w:rPr>
        <w:t>(1</w:t>
      </w:r>
      <w:r w:rsidR="00564774" w:rsidRPr="007E58D0">
        <w:rPr>
          <w:vertAlign w:val="superscript"/>
        </w:rPr>
        <w:t>)</w:t>
      </w:r>
      <w:r w:rsidR="00564774">
        <w:tab/>
      </w:r>
      <w:r w:rsidR="00903438" w:rsidRPr="00903438">
        <w:t xml:space="preserve">GLASOD: GLobal Assessment of human induced SOil Degradation: </w:t>
      </w:r>
      <w:r w:rsidR="007631E4">
        <w:t>12</w:t>
      </w:r>
      <w:r w:rsidR="007631E4" w:rsidRPr="00903438">
        <w:t xml:space="preserve"> </w:t>
      </w:r>
      <w:r w:rsidR="00903438" w:rsidRPr="00903438">
        <w:t xml:space="preserve">types of human-induced </w:t>
      </w:r>
      <w:r w:rsidR="00564774" w:rsidRPr="00903438">
        <w:t>soil</w:t>
      </w:r>
    </w:p>
    <w:p w14:paraId="14EEC986" w14:textId="0511590A" w:rsidR="00564774" w:rsidRDefault="00564774" w:rsidP="00564774">
      <w:pPr>
        <w:pStyle w:val="FormatvorlageEEATabfootnoteLinks0cmErsteZeile0cm"/>
        <w:ind w:left="567" w:hanging="567"/>
      </w:pPr>
      <w:r>
        <w:rPr>
          <w:b/>
        </w:rPr>
        <w:tab/>
      </w:r>
      <w:r>
        <w:rPr>
          <w:b/>
        </w:rPr>
        <w:tab/>
      </w:r>
      <w:proofErr w:type="gramStart"/>
      <w:r w:rsidR="00903438" w:rsidRPr="00903438">
        <w:t>degradation</w:t>
      </w:r>
      <w:proofErr w:type="gramEnd"/>
      <w:r w:rsidR="00903438" w:rsidRPr="00903438">
        <w:t xml:space="preserve"> recognized</w:t>
      </w:r>
    </w:p>
    <w:p w14:paraId="13FF5B56" w14:textId="1C4424DB" w:rsidR="00564774" w:rsidRDefault="00903438" w:rsidP="00564774">
      <w:pPr>
        <w:pStyle w:val="FormatvorlageEEATabfootnoteLinks0cmErsteZeile0cm"/>
        <w:tabs>
          <w:tab w:val="clear" w:pos="851"/>
          <w:tab w:val="left" w:pos="993"/>
        </w:tabs>
        <w:ind w:hanging="284"/>
      </w:pPr>
      <w:r w:rsidRPr="007E58D0">
        <w:rPr>
          <w:b/>
          <w:vertAlign w:val="superscript"/>
        </w:rPr>
        <w:t>(2</w:t>
      </w:r>
      <w:r w:rsidR="00564774" w:rsidRPr="007E58D0">
        <w:rPr>
          <w:b/>
          <w:vertAlign w:val="superscript"/>
        </w:rPr>
        <w:t>)</w:t>
      </w:r>
      <w:r w:rsidR="00564774">
        <w:tab/>
      </w:r>
      <w:r w:rsidR="00885BE2" w:rsidRPr="00C36DBE">
        <w:t>Soil Thematic Strategy of the European Commission (</w:t>
      </w:r>
      <w:hyperlink r:id="rId29">
        <w:r w:rsidR="00885BE2" w:rsidRPr="00C36DBE">
          <w:rPr>
            <w:highlight w:val="white"/>
          </w:rPr>
          <w:t>Directive (COM (2006) 232)</w:t>
        </w:r>
      </w:hyperlink>
    </w:p>
    <w:p w14:paraId="5C4E236B" w14:textId="26090902" w:rsidR="00564774" w:rsidRDefault="00903438" w:rsidP="00564774">
      <w:pPr>
        <w:pStyle w:val="FormatvorlageEEATabfootnoteLinks0cmErsteZeile0cm"/>
        <w:tabs>
          <w:tab w:val="clear" w:pos="851"/>
          <w:tab w:val="left" w:pos="993"/>
        </w:tabs>
        <w:ind w:hanging="284"/>
      </w:pPr>
      <w:r w:rsidRPr="007E58D0">
        <w:rPr>
          <w:b/>
          <w:vertAlign w:val="superscript"/>
        </w:rPr>
        <w:t>(3</w:t>
      </w:r>
      <w:r w:rsidR="00564774" w:rsidRPr="007E58D0">
        <w:rPr>
          <w:b/>
          <w:vertAlign w:val="superscript"/>
        </w:rPr>
        <w:t>)</w:t>
      </w:r>
      <w:r w:rsidR="00564774">
        <w:tab/>
      </w:r>
      <w:r w:rsidRPr="00903438">
        <w:t>ENVASSO</w:t>
      </w:r>
      <w:r>
        <w:t xml:space="preserve">: </w:t>
      </w:r>
      <w:r w:rsidRPr="0050636D">
        <w:rPr>
          <w:b/>
          <w:bCs/>
        </w:rPr>
        <w:t>ENV</w:t>
      </w:r>
      <w:r w:rsidRPr="00903438">
        <w:t xml:space="preserve">ironmental </w:t>
      </w:r>
      <w:r w:rsidRPr="0050636D">
        <w:rPr>
          <w:b/>
          <w:bCs/>
        </w:rPr>
        <w:t>AS</w:t>
      </w:r>
      <w:r w:rsidRPr="00903438">
        <w:t xml:space="preserve">sessment of </w:t>
      </w:r>
      <w:r w:rsidRPr="0050636D">
        <w:rPr>
          <w:b/>
          <w:bCs/>
        </w:rPr>
        <w:t>S</w:t>
      </w:r>
      <w:r w:rsidR="0050636D" w:rsidRPr="0050636D">
        <w:rPr>
          <w:b/>
          <w:bCs/>
        </w:rPr>
        <w:t>O</w:t>
      </w:r>
      <w:r w:rsidRPr="00903438">
        <w:t>il for m</w:t>
      </w:r>
      <w:r w:rsidR="0050636D" w:rsidRPr="0050636D">
        <w:t>o</w:t>
      </w:r>
      <w:r w:rsidRPr="00903438">
        <w:t>nitorin</w:t>
      </w:r>
      <w:r w:rsidR="0050636D">
        <w:t>g.</w:t>
      </w:r>
      <w:r w:rsidRPr="00903438">
        <w:t xml:space="preserve"> 6th </w:t>
      </w:r>
      <w:r w:rsidR="002A3296">
        <w:t xml:space="preserve">EU </w:t>
      </w:r>
      <w:r w:rsidRPr="00903438">
        <w:t xml:space="preserve">Framework </w:t>
      </w:r>
      <w:r w:rsidR="002A3296">
        <w:t xml:space="preserve">Research </w:t>
      </w:r>
      <w:r w:rsidRPr="00903438">
        <w:t>Programme. Volume 1 identifies 290 potential indicators relat</w:t>
      </w:r>
      <w:r w:rsidR="00783CDC">
        <w:t>ed</w:t>
      </w:r>
      <w:r w:rsidRPr="00903438">
        <w:t xml:space="preserve"> to 188 key issues for </w:t>
      </w:r>
      <w:r w:rsidR="00783CDC">
        <w:t>9</w:t>
      </w:r>
      <w:r w:rsidRPr="00903438">
        <w:t xml:space="preserve"> </w:t>
      </w:r>
      <w:r w:rsidR="00783CDC">
        <w:t xml:space="preserve">soil </w:t>
      </w:r>
      <w:r w:rsidRPr="00903438">
        <w:t>threats</w:t>
      </w:r>
      <w:r w:rsidR="00783CDC">
        <w:t xml:space="preserve"> (</w:t>
      </w:r>
      <w:r w:rsidRPr="00903438">
        <w:t>Huber et al. 2008</w:t>
      </w:r>
      <w:r w:rsidR="00783CDC">
        <w:t>)</w:t>
      </w:r>
    </w:p>
    <w:p w14:paraId="6718C498" w14:textId="71CEDF14" w:rsidR="00564774" w:rsidRDefault="00903438" w:rsidP="00564774">
      <w:pPr>
        <w:pStyle w:val="FormatvorlageEEATabfootnoteLinks0cmErsteZeile0cm"/>
        <w:tabs>
          <w:tab w:val="clear" w:pos="851"/>
          <w:tab w:val="left" w:pos="993"/>
        </w:tabs>
        <w:ind w:hanging="284"/>
      </w:pPr>
      <w:r w:rsidRPr="007E58D0">
        <w:rPr>
          <w:b/>
          <w:vertAlign w:val="superscript"/>
        </w:rPr>
        <w:t>(4</w:t>
      </w:r>
      <w:r w:rsidR="00564774">
        <w:t>)</w:t>
      </w:r>
      <w:r w:rsidR="00564774">
        <w:tab/>
      </w:r>
      <w:r w:rsidRPr="00903438">
        <w:t>ITPS 2015</w:t>
      </w:r>
    </w:p>
    <w:p w14:paraId="60C4321F" w14:textId="3B26DE55" w:rsidR="00564774" w:rsidRDefault="007E58D0" w:rsidP="00564774">
      <w:pPr>
        <w:pStyle w:val="FormatvorlageEEATabfootnoteLinks0cmErsteZeile0cm"/>
        <w:tabs>
          <w:tab w:val="clear" w:pos="851"/>
          <w:tab w:val="left" w:pos="993"/>
        </w:tabs>
        <w:ind w:hanging="284"/>
      </w:pPr>
      <w:r w:rsidRPr="007E58D0">
        <w:rPr>
          <w:b/>
          <w:vertAlign w:val="superscript"/>
        </w:rPr>
        <w:t>(5</w:t>
      </w:r>
      <w:r w:rsidR="00564774" w:rsidRPr="007E58D0">
        <w:rPr>
          <w:b/>
          <w:vertAlign w:val="superscript"/>
        </w:rPr>
        <w:t>)</w:t>
      </w:r>
      <w:r w:rsidR="00564774">
        <w:tab/>
      </w:r>
      <w:r w:rsidRPr="00C36DBE">
        <w:t>SEEA: System of Environmental-Economic Accounting: internationally agreed standard to produce comparable statistics and accounts (stocks and changes in stocks of environmental assets); it follows the accounting structure as the System of National Accounts (SNA). The SEEA is a guide to integrating economic, environmental and social data into a single, coherent framework for holistic decision-making.</w:t>
      </w:r>
      <w:r>
        <w:t xml:space="preserve"> </w:t>
      </w:r>
    </w:p>
    <w:p w14:paraId="2A3CB47E" w14:textId="7FE561A3" w:rsidR="00564774" w:rsidRDefault="00903438" w:rsidP="00564774">
      <w:pPr>
        <w:pStyle w:val="FormatvorlageEEATabfootnoteLinks0cmErsteZeile0cm"/>
        <w:tabs>
          <w:tab w:val="clear" w:pos="851"/>
          <w:tab w:val="left" w:pos="993"/>
        </w:tabs>
        <w:ind w:hanging="284"/>
      </w:pPr>
      <w:r w:rsidRPr="007E58D0">
        <w:rPr>
          <w:b/>
          <w:vertAlign w:val="superscript"/>
        </w:rPr>
        <w:t>(6</w:t>
      </w:r>
      <w:r w:rsidR="00564774" w:rsidRPr="007E58D0">
        <w:rPr>
          <w:b/>
          <w:vertAlign w:val="superscript"/>
        </w:rPr>
        <w:t>)</w:t>
      </w:r>
      <w:r w:rsidR="00564774">
        <w:tab/>
      </w:r>
      <w:r w:rsidR="007E58D0" w:rsidRPr="00C36DBE">
        <w:t>FDES: Framework for the Development of Environment Statistics (FDES 2013); it uses SEEA definitions and classifications</w:t>
      </w:r>
    </w:p>
    <w:p w14:paraId="2DB81F40" w14:textId="25AE3E3F" w:rsidR="00885BE2" w:rsidRPr="00C36DBE" w:rsidRDefault="007E58D0" w:rsidP="00564774">
      <w:pPr>
        <w:pStyle w:val="FormatvorlageEEATabfootnoteLinks0cmErsteZeile0cm"/>
        <w:tabs>
          <w:tab w:val="clear" w:pos="851"/>
          <w:tab w:val="left" w:pos="993"/>
        </w:tabs>
        <w:ind w:hanging="284"/>
      </w:pPr>
      <w:r w:rsidRPr="007E58D0">
        <w:rPr>
          <w:b/>
          <w:vertAlign w:val="superscript"/>
        </w:rPr>
        <w:t>(7</w:t>
      </w:r>
      <w:r w:rsidR="00564774" w:rsidRPr="007E58D0">
        <w:rPr>
          <w:b/>
          <w:vertAlign w:val="superscript"/>
        </w:rPr>
        <w:t>)</w:t>
      </w:r>
      <w:r w:rsidR="00564774">
        <w:tab/>
      </w:r>
      <w:proofErr w:type="gramStart"/>
      <w:r w:rsidRPr="00C36DBE">
        <w:t>by</w:t>
      </w:r>
      <w:proofErr w:type="gramEnd"/>
      <w:r w:rsidRPr="00C36DBE">
        <w:t xml:space="preserve"> soil type, by nutrient, national, subnational (in the case of pollution: by location, subnational, by type of pollutant, by source</w:t>
      </w:r>
      <w:r>
        <w:t xml:space="preserve"> </w:t>
      </w:r>
      <w:r w:rsidR="00885BE2" w:rsidRPr="00C36DBE">
        <w:t xml:space="preserve"> </w:t>
      </w:r>
    </w:p>
    <w:p w14:paraId="0B93A70E" w14:textId="77777777" w:rsidR="00885BE2" w:rsidRDefault="00885BE2" w:rsidP="00564774"/>
    <w:p w14:paraId="3A7C7E88" w14:textId="5E11A233" w:rsidR="00885BE2" w:rsidRDefault="00885BE2" w:rsidP="00885BE2">
      <w:r>
        <w:t>Under the 7</w:t>
      </w:r>
      <w:r w:rsidRPr="00435CD9">
        <w:rPr>
          <w:vertAlign w:val="superscript"/>
        </w:rPr>
        <w:t>th</w:t>
      </w:r>
      <w:r>
        <w:t xml:space="preserve"> EU Environment Action Programme, the initiative “</w:t>
      </w:r>
      <w:r w:rsidRPr="00435CD9">
        <w:t>Mapping and assessment of ecosystems and their services</w:t>
      </w:r>
      <w:r>
        <w:t>”</w:t>
      </w:r>
      <w:r w:rsidRPr="00435CD9">
        <w:t xml:space="preserve"> (MAES)</w:t>
      </w:r>
      <w:r>
        <w:t xml:space="preserve"> has been launched. There, a set of soil-related indicators has been proposed (EC et al. 2017) (</w:t>
      </w:r>
      <w:r w:rsidR="00E533B5">
        <w:rPr>
          <w:highlight w:val="yellow"/>
        </w:rPr>
        <w:fldChar w:fldCharType="begin"/>
      </w:r>
      <w:r w:rsidR="00E533B5">
        <w:instrText xml:space="preserve"> REF _Ref82783933 \h </w:instrText>
      </w:r>
      <w:r w:rsidR="00E533B5">
        <w:rPr>
          <w:highlight w:val="yellow"/>
        </w:rPr>
      </w:r>
      <w:r w:rsidR="00E533B5">
        <w:rPr>
          <w:highlight w:val="yellow"/>
        </w:rPr>
        <w:fldChar w:fldCharType="separate"/>
      </w:r>
      <w:r w:rsidR="0067767C" w:rsidRPr="006445E9">
        <w:t xml:space="preserve">Table </w:t>
      </w:r>
      <w:r w:rsidR="0067767C">
        <w:rPr>
          <w:noProof/>
        </w:rPr>
        <w:t>1</w:t>
      </w:r>
      <w:r w:rsidR="0067767C">
        <w:noBreakHyphen/>
      </w:r>
      <w:r w:rsidR="0067767C">
        <w:rPr>
          <w:noProof/>
        </w:rPr>
        <w:t>4</w:t>
      </w:r>
      <w:r w:rsidR="00E533B5">
        <w:rPr>
          <w:highlight w:val="yellow"/>
        </w:rPr>
        <w:fldChar w:fldCharType="end"/>
      </w:r>
      <w:r>
        <w:t xml:space="preserve">). </w:t>
      </w:r>
    </w:p>
    <w:p w14:paraId="73F9F0EE" w14:textId="6D0DBC16" w:rsidR="00E533B5" w:rsidRDefault="00E533B5" w:rsidP="002B40BF">
      <w:pPr>
        <w:spacing w:before="120"/>
      </w:pPr>
    </w:p>
    <w:p w14:paraId="569CE274" w14:textId="4A65497F" w:rsidR="00E533B5" w:rsidRPr="006445E9" w:rsidRDefault="00E533B5" w:rsidP="00E533B5">
      <w:pPr>
        <w:pStyle w:val="EEALabel"/>
      </w:pPr>
      <w:bookmarkStart w:id="45" w:name="_Ref82783933"/>
      <w:bookmarkStart w:id="46" w:name="_Toc83997498"/>
      <w:r>
        <w:rPr>
          <w:noProof/>
          <w:lang w:eastAsia="en-GB"/>
        </w:rPr>
        <w:drawing>
          <wp:anchor distT="0" distB="0" distL="114300" distR="114300" simplePos="0" relativeHeight="251749888" behindDoc="0" locked="0" layoutInCell="1" allowOverlap="1" wp14:anchorId="4AA5CE92" wp14:editId="15B6C792">
            <wp:simplePos x="0" y="0"/>
            <wp:positionH relativeFrom="column">
              <wp:posOffset>589280</wp:posOffset>
            </wp:positionH>
            <wp:positionV relativeFrom="paragraph">
              <wp:posOffset>285115</wp:posOffset>
            </wp:positionV>
            <wp:extent cx="4819650" cy="3999865"/>
            <wp:effectExtent l="0" t="0" r="0" b="635"/>
            <wp:wrapTopAndBottom/>
            <wp:docPr id="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0"/>
                    <a:stretch>
                      <a:fillRect/>
                    </a:stretch>
                  </pic:blipFill>
                  <pic:spPr>
                    <a:xfrm>
                      <a:off x="0" y="0"/>
                      <a:ext cx="4819650" cy="3999865"/>
                    </a:xfrm>
                    <a:prstGeom prst="rect">
                      <a:avLst/>
                    </a:prstGeom>
                  </pic:spPr>
                </pic:pic>
              </a:graphicData>
            </a:graphic>
            <wp14:sizeRelH relativeFrom="margin">
              <wp14:pctWidth>0</wp14:pctWidth>
            </wp14:sizeRelH>
            <wp14:sizeRelV relativeFrom="margin">
              <wp14:pctHeight>0</wp14:pctHeight>
            </wp14:sizeRelV>
          </wp:anchor>
        </w:drawing>
      </w:r>
      <w:r w:rsidRPr="006445E9">
        <w:t xml:space="preserve">Table </w:t>
      </w:r>
      <w:r>
        <w:fldChar w:fldCharType="begin"/>
      </w:r>
      <w:r>
        <w:instrText xml:space="preserve"> STYLEREF 1 \s </w:instrText>
      </w:r>
      <w:r>
        <w:fldChar w:fldCharType="separate"/>
      </w:r>
      <w:r w:rsidR="0067767C">
        <w:rPr>
          <w:noProof/>
        </w:rPr>
        <w:t>1</w:t>
      </w:r>
      <w:r>
        <w:fldChar w:fldCharType="end"/>
      </w:r>
      <w:r>
        <w:noBreakHyphen/>
      </w:r>
      <w:r>
        <w:fldChar w:fldCharType="begin"/>
      </w:r>
      <w:r>
        <w:instrText xml:space="preserve"> SEQ Table \* ARABIC \s 1 </w:instrText>
      </w:r>
      <w:r>
        <w:fldChar w:fldCharType="separate"/>
      </w:r>
      <w:r w:rsidR="0067767C">
        <w:rPr>
          <w:noProof/>
        </w:rPr>
        <w:t>4</w:t>
      </w:r>
      <w:r>
        <w:fldChar w:fldCharType="end"/>
      </w:r>
      <w:bookmarkEnd w:id="45"/>
      <w:r w:rsidRPr="006445E9">
        <w:t>:</w:t>
      </w:r>
      <w:r w:rsidRPr="006445E9">
        <w:tab/>
        <w:t xml:space="preserve">Proposal for </w:t>
      </w:r>
      <w:proofErr w:type="gramStart"/>
      <w:r w:rsidRPr="006445E9">
        <w:t>MAES</w:t>
      </w:r>
      <w:proofErr w:type="gramEnd"/>
      <w:r w:rsidRPr="006445E9">
        <w:t xml:space="preserve"> soil indicators</w:t>
      </w:r>
      <w:r>
        <w:t xml:space="preserve"> (modified)</w:t>
      </w:r>
      <w:bookmarkEnd w:id="46"/>
    </w:p>
    <w:p w14:paraId="0B6AB39F" w14:textId="02602BA7" w:rsidR="00885BE2" w:rsidRDefault="00885BE2" w:rsidP="00885BE2">
      <w:r>
        <w:t xml:space="preserve">A subset of </w:t>
      </w:r>
      <w:r w:rsidR="002A63C4">
        <w:t xml:space="preserve">these </w:t>
      </w:r>
      <w:r>
        <w:t>indicators was consider</w:t>
      </w:r>
      <w:r w:rsidR="002A63C4">
        <w:t>ed</w:t>
      </w:r>
      <w:r>
        <w:t xml:space="preserve"> essential for covering </w:t>
      </w:r>
      <w:r w:rsidR="00A203EE">
        <w:t xml:space="preserve">the role of soils for the condition and functioning of </w:t>
      </w:r>
      <w:r>
        <w:t>most ecosystem types</w:t>
      </w:r>
      <w:r w:rsidR="00E77FE3">
        <w:t>, namely</w:t>
      </w:r>
    </w:p>
    <w:p w14:paraId="177983AD" w14:textId="7281CADD" w:rsidR="00885BE2" w:rsidRDefault="00885BE2" w:rsidP="0050636D">
      <w:pPr>
        <w:pStyle w:val="EEAbullet0"/>
        <w:tabs>
          <w:tab w:val="clear" w:pos="397"/>
        </w:tabs>
        <w:ind w:left="567" w:hanging="255"/>
      </w:pPr>
      <w:r>
        <w:t>Soil erosion (kg/ha/year)</w:t>
      </w:r>
    </w:p>
    <w:p w14:paraId="2BBD3E12" w14:textId="4E8E4E18" w:rsidR="00885BE2" w:rsidRDefault="00885BE2" w:rsidP="0050636D">
      <w:pPr>
        <w:pStyle w:val="EEAbullet0"/>
        <w:tabs>
          <w:tab w:val="clear" w:pos="397"/>
        </w:tabs>
        <w:ind w:left="567" w:hanging="255"/>
      </w:pPr>
      <w:r>
        <w:t>Soil sealing (% area)</w:t>
      </w:r>
    </w:p>
    <w:p w14:paraId="1602F130" w14:textId="49DC346A" w:rsidR="00885BE2" w:rsidRDefault="00885BE2" w:rsidP="0050636D">
      <w:pPr>
        <w:pStyle w:val="EEAbullet0"/>
        <w:tabs>
          <w:tab w:val="clear" w:pos="397"/>
        </w:tabs>
        <w:ind w:left="567" w:hanging="255"/>
      </w:pPr>
      <w:r>
        <w:t>Soil contamination or pollution (from point or diffuse sources)</w:t>
      </w:r>
    </w:p>
    <w:p w14:paraId="09EB7E35" w14:textId="608B4982" w:rsidR="00885BE2" w:rsidRDefault="00885BE2" w:rsidP="0050636D">
      <w:pPr>
        <w:pStyle w:val="EEAbullet0"/>
        <w:tabs>
          <w:tab w:val="clear" w:pos="397"/>
        </w:tabs>
        <w:ind w:left="567" w:hanging="255"/>
      </w:pPr>
      <w:r>
        <w:t>Available water capacity</w:t>
      </w:r>
    </w:p>
    <w:p w14:paraId="2A555A79" w14:textId="03DA12E7" w:rsidR="00885BE2" w:rsidRDefault="00885BE2" w:rsidP="0050636D">
      <w:pPr>
        <w:pStyle w:val="EEAbullet0"/>
        <w:tabs>
          <w:tab w:val="clear" w:pos="397"/>
        </w:tabs>
        <w:ind w:left="567" w:hanging="283"/>
      </w:pPr>
      <w:r>
        <w:t>Soil nutrient availability</w:t>
      </w:r>
    </w:p>
    <w:p w14:paraId="277C95AC" w14:textId="04282292" w:rsidR="00885BE2" w:rsidRDefault="00E40DF8" w:rsidP="0050636D">
      <w:pPr>
        <w:pStyle w:val="EEAbullet0"/>
        <w:tabs>
          <w:tab w:val="clear" w:pos="397"/>
        </w:tabs>
        <w:ind w:left="567" w:hanging="283"/>
      </w:pPr>
      <w:r>
        <w:t>So</w:t>
      </w:r>
      <w:r w:rsidR="00885BE2">
        <w:t>il carbon stock (%)</w:t>
      </w:r>
    </w:p>
    <w:p w14:paraId="7186A66C" w14:textId="77777777" w:rsidR="00885BE2" w:rsidRDefault="00885BE2" w:rsidP="0050636D">
      <w:pPr>
        <w:pStyle w:val="EEAbullet0"/>
        <w:tabs>
          <w:tab w:val="clear" w:pos="397"/>
        </w:tabs>
        <w:ind w:left="567" w:hanging="283"/>
      </w:pPr>
      <w:r>
        <w:t>Soil biodiversity potential</w:t>
      </w:r>
    </w:p>
    <w:p w14:paraId="55AB6D40" w14:textId="7D61ACB8" w:rsidR="00DD6A3C" w:rsidRDefault="00DD6A3C">
      <w:pPr>
        <w:suppressAutoHyphens w:val="0"/>
        <w:jc w:val="left"/>
      </w:pPr>
    </w:p>
    <w:p w14:paraId="272C1245" w14:textId="159F3124" w:rsidR="001954C3" w:rsidRDefault="001954C3">
      <w:pPr>
        <w:suppressAutoHyphens w:val="0"/>
        <w:jc w:val="left"/>
      </w:pPr>
      <w:r>
        <w:t xml:space="preserve">The </w:t>
      </w:r>
      <w:r w:rsidR="0023433A">
        <w:t xml:space="preserve">2020 </w:t>
      </w:r>
      <w:r w:rsidR="00055986">
        <w:t xml:space="preserve">MAES assessment </w:t>
      </w:r>
      <w:r w:rsidR="00D8497B">
        <w:t xml:space="preserve">then </w:t>
      </w:r>
      <w:r w:rsidR="00055986">
        <w:t xml:space="preserve">presents </w:t>
      </w:r>
      <w:r w:rsidR="000F3E8E">
        <w:t xml:space="preserve">an updated collection of soil indicators </w:t>
      </w:r>
      <w:r w:rsidR="00D8497B">
        <w:t xml:space="preserve">by </w:t>
      </w:r>
      <w:r w:rsidR="000C5417">
        <w:t xml:space="preserve">the </w:t>
      </w:r>
      <w:r w:rsidR="00D8497B">
        <w:t>J</w:t>
      </w:r>
      <w:r w:rsidR="000C5417">
        <w:t xml:space="preserve">oint </w:t>
      </w:r>
      <w:r w:rsidR="00D8497B">
        <w:t>R</w:t>
      </w:r>
      <w:r w:rsidR="000C5417">
        <w:t xml:space="preserve">esearch </w:t>
      </w:r>
      <w:r w:rsidR="00D70FF2">
        <w:t>C</w:t>
      </w:r>
      <w:r w:rsidR="000C5417">
        <w:t>entre (JRC)</w:t>
      </w:r>
      <w:r w:rsidR="00D8497B">
        <w:t xml:space="preserve"> </w:t>
      </w:r>
      <w:r w:rsidR="00C508A0">
        <w:t>(Maes et al.</w:t>
      </w:r>
      <w:r w:rsidR="002B40BF">
        <w:t>,</w:t>
      </w:r>
      <w:r w:rsidR="00C508A0">
        <w:t xml:space="preserve"> 20</w:t>
      </w:r>
      <w:r w:rsidR="006833BE">
        <w:t>20).</w:t>
      </w:r>
    </w:p>
    <w:p w14:paraId="1A55C257" w14:textId="1530262E" w:rsidR="001954C3" w:rsidRDefault="00F92CF9" w:rsidP="0050636D">
      <w:pPr>
        <w:pStyle w:val="EEAbullet0"/>
        <w:tabs>
          <w:tab w:val="clear" w:pos="397"/>
        </w:tabs>
        <w:ind w:left="567" w:hanging="283"/>
      </w:pPr>
      <w:r>
        <w:t>b</w:t>
      </w:r>
      <w:r w:rsidR="00932179">
        <w:t xml:space="preserve">ased on modelling: </w:t>
      </w:r>
      <w:r w:rsidR="000F3E8E">
        <w:t>e</w:t>
      </w:r>
      <w:r w:rsidR="00D93674" w:rsidRPr="00D93674">
        <w:t>rosion by water</w:t>
      </w:r>
      <w:r w:rsidR="006B3FA6">
        <w:t xml:space="preserve">, </w:t>
      </w:r>
      <w:r w:rsidR="000F3E8E">
        <w:t>a</w:t>
      </w:r>
      <w:r w:rsidR="006B3FA6" w:rsidRPr="006B3FA6">
        <w:t>gricultural area under severe erosion</w:t>
      </w:r>
      <w:r w:rsidR="006B3FA6">
        <w:t xml:space="preserve">, </w:t>
      </w:r>
      <w:r w:rsidR="000F3E8E">
        <w:t>s</w:t>
      </w:r>
      <w:r w:rsidR="006B3FA6" w:rsidRPr="006B3FA6">
        <w:t>oil erosion rates per land cover</w:t>
      </w:r>
      <w:r w:rsidR="00932179">
        <w:t xml:space="preserve">, </w:t>
      </w:r>
      <w:r w:rsidR="000F3E8E">
        <w:t>w</w:t>
      </w:r>
      <w:r w:rsidR="00932179" w:rsidRPr="00932179">
        <w:t>ind erosion</w:t>
      </w:r>
      <w:r w:rsidR="000F3E8E">
        <w:t xml:space="preserve"> rate</w:t>
      </w:r>
    </w:p>
    <w:p w14:paraId="5A74B4B2" w14:textId="317957AA" w:rsidR="00932179" w:rsidRDefault="00F92CF9" w:rsidP="0050636D">
      <w:pPr>
        <w:pStyle w:val="EEAbullet0"/>
        <w:tabs>
          <w:tab w:val="clear" w:pos="397"/>
        </w:tabs>
        <w:ind w:left="567" w:hanging="283"/>
      </w:pPr>
      <w:r>
        <w:t>b</w:t>
      </w:r>
      <w:r w:rsidR="00932179">
        <w:t xml:space="preserve">ased on Eurostat indicators: </w:t>
      </w:r>
      <w:r w:rsidR="000F3E8E">
        <w:t>g</w:t>
      </w:r>
      <w:r w:rsidR="00A95690" w:rsidRPr="00A95690">
        <w:t xml:space="preserve">ross </w:t>
      </w:r>
      <w:r w:rsidR="000F3E8E">
        <w:t>n</w:t>
      </w:r>
      <w:r w:rsidR="00A95690" w:rsidRPr="00A95690">
        <w:t xml:space="preserve">utrient </w:t>
      </w:r>
      <w:r w:rsidR="000F3E8E">
        <w:t>b</w:t>
      </w:r>
      <w:r w:rsidR="00A95690" w:rsidRPr="00A95690">
        <w:t xml:space="preserve">alance </w:t>
      </w:r>
    </w:p>
    <w:p w14:paraId="0F5C9DE5" w14:textId="7DB742B3" w:rsidR="00D93674" w:rsidRDefault="00F92CF9" w:rsidP="0050636D">
      <w:pPr>
        <w:pStyle w:val="EEAbullet0"/>
        <w:tabs>
          <w:tab w:val="clear" w:pos="397"/>
        </w:tabs>
        <w:ind w:left="567" w:hanging="283"/>
      </w:pPr>
      <w:r>
        <w:t>b</w:t>
      </w:r>
      <w:r w:rsidR="006A2A38">
        <w:t xml:space="preserve">ased on </w:t>
      </w:r>
      <w:r w:rsidR="00B56138">
        <w:t xml:space="preserve">LUCAS Soil measurements: </w:t>
      </w:r>
      <w:r w:rsidR="000F3E8E">
        <w:t>t</w:t>
      </w:r>
      <w:r w:rsidR="00B56138" w:rsidRPr="00B56138">
        <w:t xml:space="preserve">opsoil nitrogen </w:t>
      </w:r>
      <w:r w:rsidR="00B56138">
        <w:t xml:space="preserve">and </w:t>
      </w:r>
      <w:r w:rsidR="00B56138" w:rsidRPr="00B56138">
        <w:t>phosphorus</w:t>
      </w:r>
      <w:r w:rsidR="00B56138">
        <w:t xml:space="preserve"> </w:t>
      </w:r>
      <w:r w:rsidR="00B56138" w:rsidRPr="00B56138">
        <w:t>concentrations</w:t>
      </w:r>
      <w:r>
        <w:t>, trends of s</w:t>
      </w:r>
      <w:r w:rsidRPr="00F92CF9">
        <w:t>oil organic carbon (SOC) stocks in croplands</w:t>
      </w:r>
    </w:p>
    <w:p w14:paraId="53B18018" w14:textId="7504DF79" w:rsidR="006A2A38" w:rsidRDefault="00F92CF9" w:rsidP="0050636D">
      <w:pPr>
        <w:pStyle w:val="EEAbullet0"/>
        <w:tabs>
          <w:tab w:val="clear" w:pos="397"/>
        </w:tabs>
        <w:ind w:left="567" w:hanging="283"/>
      </w:pPr>
      <w:r>
        <w:t>b</w:t>
      </w:r>
      <w:r w:rsidR="00D85964">
        <w:t>ased on EU research: area extend of o</w:t>
      </w:r>
      <w:r w:rsidR="00D85964" w:rsidRPr="00D85964">
        <w:t>rganic soils</w:t>
      </w:r>
      <w:r w:rsidR="005301A9">
        <w:t xml:space="preserve">, </w:t>
      </w:r>
      <w:r w:rsidR="005301A9" w:rsidRPr="005301A9">
        <w:t>susceptib</w:t>
      </w:r>
      <w:r w:rsidR="005301A9">
        <w:t xml:space="preserve">ility </w:t>
      </w:r>
      <w:r w:rsidR="005301A9" w:rsidRPr="005301A9">
        <w:t>to compaction</w:t>
      </w:r>
    </w:p>
    <w:p w14:paraId="2EBBADA2" w14:textId="5E7B761E" w:rsidR="00AA6B17" w:rsidRDefault="00F92CF9" w:rsidP="0050636D">
      <w:pPr>
        <w:pStyle w:val="EEAbullet0"/>
        <w:tabs>
          <w:tab w:val="clear" w:pos="397"/>
        </w:tabs>
        <w:ind w:left="567" w:hanging="283"/>
      </w:pPr>
      <w:r>
        <w:t>b</w:t>
      </w:r>
      <w:r w:rsidR="00AA6B17">
        <w:t>ased on EEA indicators</w:t>
      </w:r>
      <w:r w:rsidR="00311CA9">
        <w:t>:</w:t>
      </w:r>
      <w:r w:rsidR="00AA6B17">
        <w:t xml:space="preserve"> soil sealing</w:t>
      </w:r>
      <w:r w:rsidR="00311CA9">
        <w:t>, contaminated sites</w:t>
      </w:r>
      <w:r w:rsidR="00AA6B17">
        <w:t xml:space="preserve"> </w:t>
      </w:r>
    </w:p>
    <w:p w14:paraId="26B95D86" w14:textId="61815A9B" w:rsidR="006A2A38" w:rsidRDefault="000C5417" w:rsidP="008F3498">
      <w:r>
        <w:t>Additi</w:t>
      </w:r>
      <w:r w:rsidR="000F3E8E">
        <w:t>o</w:t>
      </w:r>
      <w:r>
        <w:t>nal results from the literature</w:t>
      </w:r>
      <w:r w:rsidR="000F3E8E">
        <w:t xml:space="preserve"> – without specific reference to indicators - </w:t>
      </w:r>
      <w:r>
        <w:t>were presented on diffuse pollution, salinization and desertification.</w:t>
      </w:r>
    </w:p>
    <w:p w14:paraId="3230F13B" w14:textId="77777777" w:rsidR="000C5417" w:rsidRDefault="000C5417" w:rsidP="008F3498"/>
    <w:p w14:paraId="34E382AF" w14:textId="486D8173" w:rsidR="00DD6A3C" w:rsidRPr="009D5972" w:rsidRDefault="00DD6A3C" w:rsidP="002C488D">
      <w:pPr>
        <w:pStyle w:val="berschrift2"/>
        <w:numPr>
          <w:ilvl w:val="2"/>
          <w:numId w:val="3"/>
        </w:numPr>
        <w:rPr>
          <w:rStyle w:val="FormatvorlageFormatvorlageberschrift3Zchn1"/>
        </w:rPr>
      </w:pPr>
      <w:bookmarkStart w:id="47" w:name="_Toc59005185"/>
      <w:bookmarkStart w:id="48" w:name="_Toc83997324"/>
      <w:r w:rsidRPr="009D5972">
        <w:rPr>
          <w:rStyle w:val="FormatvorlageFormatvorlageberschrift3Zchn1"/>
        </w:rPr>
        <w:t>UNCCD land degradation and SDG 15.3.1</w:t>
      </w:r>
      <w:bookmarkEnd w:id="47"/>
      <w:bookmarkEnd w:id="48"/>
    </w:p>
    <w:p w14:paraId="703F414C" w14:textId="77777777" w:rsidR="00885BE2" w:rsidRDefault="00885BE2" w:rsidP="00885BE2"/>
    <w:p w14:paraId="45B8ECE1" w14:textId="3DE8BB70" w:rsidR="00885BE2" w:rsidRDefault="00885BE2" w:rsidP="00885BE2">
      <w:r>
        <w:t xml:space="preserve">The </w:t>
      </w:r>
      <w:r w:rsidRPr="00782728">
        <w:t xml:space="preserve">context-specific </w:t>
      </w:r>
      <w:r>
        <w:t xml:space="preserve">nature of land </w:t>
      </w:r>
      <w:r w:rsidRPr="00782728">
        <w:t xml:space="preserve">degradation </w:t>
      </w:r>
      <w:r w:rsidR="000F3E8E">
        <w:t xml:space="preserve">requires </w:t>
      </w:r>
      <w:r w:rsidR="005E0782">
        <w:t xml:space="preserve">the combination of </w:t>
      </w:r>
      <w:r>
        <w:t xml:space="preserve">several indicators </w:t>
      </w:r>
      <w:r w:rsidR="0050636D">
        <w:t>to</w:t>
      </w:r>
      <w:r w:rsidR="005E0782">
        <w:t xml:space="preserve"> </w:t>
      </w:r>
      <w:r w:rsidRPr="00782728">
        <w:t xml:space="preserve">fully </w:t>
      </w:r>
      <w:r>
        <w:t xml:space="preserve">describe the </w:t>
      </w:r>
      <w:r w:rsidRPr="00782728">
        <w:t>condition of land</w:t>
      </w:r>
      <w:r>
        <w:t xml:space="preserve">. </w:t>
      </w:r>
      <w:r w:rsidR="00562E1A">
        <w:fldChar w:fldCharType="begin"/>
      </w:r>
      <w:r w:rsidR="00562E1A">
        <w:instrText xml:space="preserve"> REF _Ref82783053 \h </w:instrText>
      </w:r>
      <w:r w:rsidR="00562E1A">
        <w:fldChar w:fldCharType="separate"/>
      </w:r>
      <w:r w:rsidR="0067767C" w:rsidRPr="00305F7C">
        <w:t xml:space="preserve">Figure </w:t>
      </w:r>
      <w:r w:rsidR="0067767C">
        <w:rPr>
          <w:noProof/>
        </w:rPr>
        <w:t>1</w:t>
      </w:r>
      <w:r w:rsidR="0067767C">
        <w:noBreakHyphen/>
      </w:r>
      <w:r w:rsidR="0067767C">
        <w:rPr>
          <w:noProof/>
        </w:rPr>
        <w:t>3</w:t>
      </w:r>
      <w:r w:rsidR="00562E1A">
        <w:fldChar w:fldCharType="end"/>
      </w:r>
      <w:r>
        <w:t xml:space="preserve"> presents an overview of processes leading to degradation, and how the current subindicators for SDG 15.3.1 (land productivity, cover change, carbon) </w:t>
      </w:r>
      <w:r w:rsidR="00B4318F">
        <w:t xml:space="preserve">relate to </w:t>
      </w:r>
      <w:r>
        <w:t xml:space="preserve">ecosystem services </w:t>
      </w:r>
      <w:r w:rsidR="002A63C4">
        <w:t>as</w:t>
      </w:r>
      <w:r>
        <w:t xml:space="preserve"> affected from land degradation. Countries are encouraged to use additional indicators. Important land degradation process</w:t>
      </w:r>
      <w:r w:rsidR="002A63C4">
        <w:t>es</w:t>
      </w:r>
      <w:r>
        <w:t xml:space="preserve"> are in fact the soil threats as mentioned above. Indicators </w:t>
      </w:r>
      <w:r w:rsidR="00B4318F">
        <w:t xml:space="preserve">in this context </w:t>
      </w:r>
      <w:r>
        <w:t>represent “key processes which underpin land-based natural capital” (Orr et al.</w:t>
      </w:r>
      <w:r w:rsidR="002A63C4">
        <w:t>,</w:t>
      </w:r>
      <w:r>
        <w:t xml:space="preserve"> 2017).</w:t>
      </w:r>
    </w:p>
    <w:p w14:paraId="19154520" w14:textId="77777777" w:rsidR="00885BE2" w:rsidRDefault="00885BE2" w:rsidP="00885BE2"/>
    <w:p w14:paraId="5C13FE19" w14:textId="6E037484" w:rsidR="0095454B" w:rsidRPr="00305F7C" w:rsidRDefault="00965D32" w:rsidP="0095454B">
      <w:pPr>
        <w:pStyle w:val="FormatvorlageBeschriftung"/>
      </w:pPr>
      <w:bookmarkStart w:id="49" w:name="_Ref82783053"/>
      <w:bookmarkStart w:id="50" w:name="_Toc83997430"/>
      <w:r w:rsidRPr="00AF3399">
        <w:rPr>
          <w:noProof/>
          <w:lang w:eastAsia="en-GB"/>
        </w:rPr>
        <w:drawing>
          <wp:anchor distT="0" distB="0" distL="114300" distR="114300" simplePos="0" relativeHeight="251718144" behindDoc="0" locked="0" layoutInCell="1" allowOverlap="1" wp14:anchorId="317F3946" wp14:editId="78DFDA1B">
            <wp:simplePos x="0" y="0"/>
            <wp:positionH relativeFrom="margin">
              <wp:posOffset>-635</wp:posOffset>
            </wp:positionH>
            <wp:positionV relativeFrom="paragraph">
              <wp:posOffset>239395</wp:posOffset>
            </wp:positionV>
            <wp:extent cx="6139815" cy="4100830"/>
            <wp:effectExtent l="0" t="0" r="0" b="0"/>
            <wp:wrapTopAndBottom/>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metadata.png"/>
                    <pic:cNvPicPr/>
                  </pic:nvPicPr>
                  <pic:blipFill>
                    <a:blip r:embed="rId31">
                      <a:extLst>
                        <a:ext uri="{28A0092B-C50C-407E-A947-70E740481C1C}">
                          <a14:useLocalDpi xmlns:a14="http://schemas.microsoft.com/office/drawing/2010/main" val="0"/>
                        </a:ext>
                      </a:extLst>
                    </a:blip>
                    <a:stretch>
                      <a:fillRect/>
                    </a:stretch>
                  </pic:blipFill>
                  <pic:spPr>
                    <a:xfrm>
                      <a:off x="0" y="0"/>
                      <a:ext cx="6139815" cy="4100830"/>
                    </a:xfrm>
                    <a:prstGeom prst="rect">
                      <a:avLst/>
                    </a:prstGeom>
                  </pic:spPr>
                </pic:pic>
              </a:graphicData>
            </a:graphic>
            <wp14:sizeRelH relativeFrom="margin">
              <wp14:pctWidth>0</wp14:pctWidth>
            </wp14:sizeRelH>
            <wp14:sizeRelV relativeFrom="margin">
              <wp14:pctHeight>0</wp14:pctHeight>
            </wp14:sizeRelV>
          </wp:anchor>
        </w:drawing>
      </w:r>
      <w:r w:rsidR="0095454B" w:rsidRPr="00305F7C">
        <w:t xml:space="preserve">Figure </w:t>
      </w:r>
      <w:r w:rsidR="00CA7716">
        <w:fldChar w:fldCharType="begin"/>
      </w:r>
      <w:r w:rsidR="00CA7716">
        <w:instrText xml:space="preserve"> STYLEREF 1 \s </w:instrText>
      </w:r>
      <w:r w:rsidR="00CA7716">
        <w:fldChar w:fldCharType="separate"/>
      </w:r>
      <w:r w:rsidR="0067767C">
        <w:rPr>
          <w:noProof/>
        </w:rPr>
        <w:t>1</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3</w:t>
      </w:r>
      <w:r w:rsidR="00CA7716">
        <w:fldChar w:fldCharType="end"/>
      </w:r>
      <w:bookmarkEnd w:id="49"/>
      <w:r w:rsidR="0095454B" w:rsidRPr="00305F7C">
        <w:t>:</w:t>
      </w:r>
      <w:r w:rsidR="0095454B" w:rsidRPr="00305F7C">
        <w:tab/>
      </w:r>
      <w:r w:rsidR="0095454B" w:rsidRPr="006445E9">
        <w:t>Operational definition of land degradation and linkage with sub-indicators</w:t>
      </w:r>
      <w:bookmarkEnd w:id="50"/>
    </w:p>
    <w:p w14:paraId="4E577E98" w14:textId="33A15759" w:rsidR="00AA0AA8" w:rsidRPr="00AF3399" w:rsidRDefault="00AA0AA8" w:rsidP="00AF3399">
      <w:pPr>
        <w:pStyle w:val="EEASource"/>
      </w:pPr>
      <w:bookmarkStart w:id="51" w:name="_Toc55299181"/>
      <w:bookmarkStart w:id="52" w:name="_Toc59005186"/>
      <w:bookmarkStart w:id="53" w:name="_Toc53734622"/>
      <w:r w:rsidRPr="00AF3399">
        <w:t xml:space="preserve">Source: </w:t>
      </w:r>
      <w:r w:rsidRPr="00AF3399">
        <w:tab/>
      </w:r>
      <w:r w:rsidR="00F22EF8" w:rsidRPr="00AF3399">
        <w:t>U</w:t>
      </w:r>
      <w:r w:rsidR="007666EE" w:rsidRPr="00AF3399">
        <w:t>nited Nations Statistics (2018)</w:t>
      </w:r>
    </w:p>
    <w:p w14:paraId="7730EC11" w14:textId="11AEF729" w:rsidR="00AA0AA8" w:rsidRDefault="00AA0AA8" w:rsidP="00AA0AA8">
      <w:pPr>
        <w:pStyle w:val="FormatvorlageEEATabfootnoteLinks0cmErsteZeile0cm"/>
      </w:pPr>
    </w:p>
    <w:p w14:paraId="09B325EB" w14:textId="3EBF3026" w:rsidR="002B40BF" w:rsidRDefault="002B40BF">
      <w:pPr>
        <w:suppressAutoHyphens w:val="0"/>
        <w:jc w:val="left"/>
        <w:rPr>
          <w:rFonts w:cs="Times New Roman"/>
          <w:sz w:val="20"/>
        </w:rPr>
      </w:pPr>
      <w:r>
        <w:br w:type="page"/>
      </w:r>
    </w:p>
    <w:p w14:paraId="470AF9CB" w14:textId="77777777" w:rsidR="002B40BF" w:rsidRDefault="002B40BF" w:rsidP="002B40BF">
      <w:pPr>
        <w:pStyle w:val="berschrift2"/>
      </w:pPr>
      <w:bookmarkStart w:id="54" w:name="_Toc83997325"/>
      <w:r>
        <w:lastRenderedPageBreak/>
        <w:t>Soil indicators for EU policy targets</w:t>
      </w:r>
      <w:bookmarkEnd w:id="54"/>
      <w:r>
        <w:t xml:space="preserve"> </w:t>
      </w:r>
    </w:p>
    <w:bookmarkEnd w:id="51"/>
    <w:bookmarkEnd w:id="52"/>
    <w:bookmarkEnd w:id="53"/>
    <w:p w14:paraId="254B60FE" w14:textId="77777777" w:rsidR="00885BE2" w:rsidRDefault="00885BE2" w:rsidP="00885BE2"/>
    <w:p w14:paraId="600C60D2" w14:textId="01F11C3D" w:rsidR="00311C3B" w:rsidRPr="00E44DEB" w:rsidRDefault="00885BE2" w:rsidP="00311C3B">
      <w:pPr>
        <w:suppressAutoHyphens w:val="0"/>
        <w:jc w:val="left"/>
      </w:pPr>
      <w:r w:rsidRPr="00E44DEB">
        <w:t xml:space="preserve">Despite the fact that the proposal for </w:t>
      </w:r>
      <w:proofErr w:type="gramStart"/>
      <w:r w:rsidRPr="00E44DEB">
        <w:t>a</w:t>
      </w:r>
      <w:proofErr w:type="gramEnd"/>
      <w:r w:rsidRPr="00E44DEB">
        <w:t xml:space="preserve"> EU Soil Protection Directive was withdrawn in 2014, various aspects of soil protection have been incorporated in sectoral policies or other non-soil-related policies. Most relevant developments </w:t>
      </w:r>
      <w:r w:rsidR="0050636D" w:rsidRPr="00E44DEB">
        <w:t>regarding</w:t>
      </w:r>
      <w:r w:rsidRPr="00E44DEB">
        <w:t xml:space="preserve"> restoration and protection of soil functions are described below in chronological order</w:t>
      </w:r>
      <w:r>
        <w:t>,</w:t>
      </w:r>
      <w:r w:rsidRPr="00E44DEB">
        <w:t xml:space="preserve"> and their targets are summarised in</w:t>
      </w:r>
      <w:r w:rsidR="00311C3B">
        <w:t xml:space="preserve"> </w:t>
      </w:r>
      <w:r w:rsidR="00311C3B">
        <w:fldChar w:fldCharType="begin"/>
      </w:r>
      <w:r w:rsidR="00311C3B">
        <w:instrText xml:space="preserve"> REF _Ref82785138 \h </w:instrText>
      </w:r>
      <w:r w:rsidR="00311C3B">
        <w:fldChar w:fldCharType="separate"/>
      </w:r>
      <w:r w:rsidR="0067767C" w:rsidRPr="006445E9">
        <w:t xml:space="preserve">Table </w:t>
      </w:r>
      <w:r w:rsidR="0067767C">
        <w:rPr>
          <w:noProof/>
        </w:rPr>
        <w:t>1</w:t>
      </w:r>
      <w:r w:rsidR="0067767C">
        <w:noBreakHyphen/>
      </w:r>
      <w:r w:rsidR="0067767C">
        <w:rPr>
          <w:noProof/>
        </w:rPr>
        <w:t>6</w:t>
      </w:r>
      <w:r w:rsidR="00311C3B">
        <w:fldChar w:fldCharType="end"/>
      </w:r>
      <w:r w:rsidR="00311C3B">
        <w:t>.</w:t>
      </w:r>
    </w:p>
    <w:p w14:paraId="173E2486" w14:textId="77777777" w:rsidR="00885BE2" w:rsidRDefault="00885BE2" w:rsidP="00885BE2"/>
    <w:p w14:paraId="460BE333" w14:textId="34E3971D" w:rsidR="00885BE2" w:rsidRDefault="00885BE2" w:rsidP="00AA0AA8">
      <w:pPr>
        <w:pStyle w:val="EEAbullet0"/>
      </w:pPr>
      <w:r>
        <w:t xml:space="preserve">The 2000 </w:t>
      </w:r>
      <w:r w:rsidRPr="0007267B">
        <w:rPr>
          <w:b/>
        </w:rPr>
        <w:t>Water Framework Directive</w:t>
      </w:r>
      <w:r>
        <w:rPr>
          <w:rStyle w:val="Funotenzeichen"/>
          <w:b/>
        </w:rPr>
        <w:footnoteReference w:id="10"/>
      </w:r>
      <w:r>
        <w:t xml:space="preserve"> aims at preventing and reducing pollution from agricultural and industrial sources to water bodies by prescribing specific measures. The Directive indirectly regulates di</w:t>
      </w:r>
      <w:r w:rsidRPr="00FF6E0E">
        <w:t xml:space="preserve">ffuse soil </w:t>
      </w:r>
      <w:r w:rsidR="0050636D" w:rsidRPr="00FF6E0E">
        <w:t>contamination</w:t>
      </w:r>
      <w:r w:rsidR="0050636D">
        <w:t xml:space="preserve"> because</w:t>
      </w:r>
      <w:r>
        <w:t xml:space="preserve"> soil pollution is in numerous cases responsible for surface or groundwater pollution. The Directive requires that Member </w:t>
      </w:r>
      <w:r w:rsidR="0050636D">
        <w:t>States,</w:t>
      </w:r>
      <w:r>
        <w:t xml:space="preserve"> “</w:t>
      </w:r>
      <w:r>
        <w:rPr>
          <w:i/>
        </w:rPr>
        <w:t>produce River basin Management Plans</w:t>
      </w:r>
      <w:r>
        <w:t xml:space="preserve">” and </w:t>
      </w:r>
      <w:r w:rsidRPr="00F67370">
        <w:t>establish “</w:t>
      </w:r>
      <w:r w:rsidRPr="00F67370">
        <w:rPr>
          <w:i/>
        </w:rPr>
        <w:t>programmes of measure and implement ‘basic’ measures</w:t>
      </w:r>
      <w:r w:rsidRPr="00F67370">
        <w:t>”.</w:t>
      </w:r>
      <w:r>
        <w:t xml:space="preserve"> This includes the identification of point sources as well diffuse sources of pollution, a quantitative estimation of their impact and measures to reduce their impact. The Directive is backed up by a clear implementation schedule, including monitoring and evaluation.</w:t>
      </w:r>
    </w:p>
    <w:p w14:paraId="5117F00C" w14:textId="77777777" w:rsidR="00885BE2" w:rsidRDefault="00885BE2" w:rsidP="00AA0AA8">
      <w:pPr>
        <w:pStyle w:val="EEAbullet0"/>
        <w:numPr>
          <w:ilvl w:val="0"/>
          <w:numId w:val="0"/>
        </w:numPr>
        <w:ind w:left="397"/>
      </w:pPr>
    </w:p>
    <w:p w14:paraId="1E60D201" w14:textId="3AA6A555" w:rsidR="00885BE2" w:rsidRDefault="00885BE2" w:rsidP="008649AF">
      <w:pPr>
        <w:pStyle w:val="EEAbullet0"/>
      </w:pPr>
      <w:r>
        <w:t xml:space="preserve">Three EU policy documents of non-binding nature with a clear focus on soil protection were released between 2006 and 2013. </w:t>
      </w:r>
      <w:r w:rsidR="0050636D">
        <w:t>Firstly,</w:t>
      </w:r>
      <w:r>
        <w:t xml:space="preserve"> the </w:t>
      </w:r>
      <w:r w:rsidRPr="006710EE">
        <w:rPr>
          <w:b/>
        </w:rPr>
        <w:t>Soil Thematic Strategy</w:t>
      </w:r>
      <w:r>
        <w:rPr>
          <w:rStyle w:val="Funotenzeichen"/>
          <w:b/>
        </w:rPr>
        <w:footnoteReference w:id="11"/>
      </w:r>
      <w:r>
        <w:t xml:space="preserve"> which for the first time identifies and presents soil threats for Europe, secondly the </w:t>
      </w:r>
      <w:r w:rsidRPr="006710EE">
        <w:rPr>
          <w:b/>
        </w:rPr>
        <w:t>Road Map for a Resource Efficient Europe</w:t>
      </w:r>
      <w:r>
        <w:rPr>
          <w:rStyle w:val="Funotenzeichen"/>
          <w:b/>
        </w:rPr>
        <w:footnoteReference w:id="12"/>
      </w:r>
      <w:r>
        <w:t xml:space="preserve"> prescribing non-binding targets for land take, soil erosion and local soil contamination, and thirdly the </w:t>
      </w:r>
      <w:r w:rsidRPr="001D6788">
        <w:rPr>
          <w:b/>
          <w:bCs/>
        </w:rPr>
        <w:t>7</w:t>
      </w:r>
      <w:r w:rsidRPr="001D6788">
        <w:rPr>
          <w:b/>
          <w:bCs/>
          <w:vertAlign w:val="superscript"/>
        </w:rPr>
        <w:t>th</w:t>
      </w:r>
      <w:r>
        <w:t xml:space="preserve"> </w:t>
      </w:r>
      <w:r w:rsidRPr="006710EE">
        <w:rPr>
          <w:b/>
        </w:rPr>
        <w:t xml:space="preserve">Environment Action </w:t>
      </w:r>
      <w:r w:rsidRPr="00A145D3">
        <w:rPr>
          <w:b/>
        </w:rPr>
        <w:t xml:space="preserve">Programme </w:t>
      </w:r>
      <w:r w:rsidR="00451014">
        <w:rPr>
          <w:b/>
        </w:rPr>
        <w:t xml:space="preserve">(EAP) </w:t>
      </w:r>
      <w:r w:rsidRPr="00A145D3">
        <w:rPr>
          <w:b/>
        </w:rPr>
        <w:t>to 2020</w:t>
      </w:r>
      <w:r>
        <w:rPr>
          <w:rStyle w:val="Funotenzeichen"/>
          <w:b/>
        </w:rPr>
        <w:footnoteReference w:id="13"/>
      </w:r>
      <w:r>
        <w:t xml:space="preserve"> with objectives towards land take reduction, management of local soil contamination, prevention of soil erosion and increase of soil organic matter. All three strategies demand further action: targets, incentives for implementation, and monitoring. While the EU is now moving towards the 2030 agenda, the achievements of these strategies are summarized in the European Environment Agencies “State and Outlook of the Environment” report (EEA 2019). Regarding soil, action is not on track regarding the above-mentioned targets. However, while some soil threats are not covered by any target (e.g. compaction), there is a lack of evidence for many soil threats. </w:t>
      </w:r>
      <w:r w:rsidR="00D707C0">
        <w:t xml:space="preserve">In the context of the proposal </w:t>
      </w:r>
      <w:r w:rsidR="00525F0A">
        <w:t>for the</w:t>
      </w:r>
      <w:r w:rsidR="001D6788">
        <w:t xml:space="preserve"> </w:t>
      </w:r>
      <w:r w:rsidR="003440EB" w:rsidRPr="003440EB">
        <w:rPr>
          <w:b/>
          <w:bCs/>
        </w:rPr>
        <w:t>8th Environment Action Programm</w:t>
      </w:r>
      <w:r w:rsidR="00397BC0">
        <w:rPr>
          <w:b/>
          <w:bCs/>
        </w:rPr>
        <w:t xml:space="preserve">e </w:t>
      </w:r>
      <w:r w:rsidR="002F1BC3" w:rsidRPr="002F1BC3">
        <w:t>(</w:t>
      </w:r>
      <w:r w:rsidR="00397BC0" w:rsidRPr="002F1BC3">
        <w:t>2020/0300 (COD)</w:t>
      </w:r>
      <w:r w:rsidR="002F1BC3" w:rsidRPr="002F1BC3">
        <w:t>)</w:t>
      </w:r>
      <w:r w:rsidR="002F1BC3">
        <w:t>,</w:t>
      </w:r>
      <w:r w:rsidR="00525F0A" w:rsidRPr="00525F0A">
        <w:t xml:space="preserve"> the EU Commission </w:t>
      </w:r>
      <w:r w:rsidR="00525F0A">
        <w:t xml:space="preserve">is </w:t>
      </w:r>
      <w:r w:rsidR="00525F0A" w:rsidRPr="00525F0A">
        <w:t>consult</w:t>
      </w:r>
      <w:r w:rsidR="00525F0A">
        <w:t>ing</w:t>
      </w:r>
      <w:r w:rsidR="00525F0A" w:rsidRPr="00525F0A">
        <w:t xml:space="preserve"> on </w:t>
      </w:r>
      <w:r w:rsidR="00525F0A">
        <w:t xml:space="preserve">a </w:t>
      </w:r>
      <w:r w:rsidR="00525F0A" w:rsidRPr="00B91437">
        <w:rPr>
          <w:b/>
          <w:bCs/>
        </w:rPr>
        <w:t>monitoring framework with headline indicators</w:t>
      </w:r>
      <w:r w:rsidR="00397BC0">
        <w:rPr>
          <w:rStyle w:val="Funotenzeichen"/>
        </w:rPr>
        <w:footnoteReference w:id="14"/>
      </w:r>
      <w:r w:rsidR="008649AF">
        <w:t>, among them s</w:t>
      </w:r>
      <w:r w:rsidR="008649AF" w:rsidRPr="008649AF">
        <w:t>oil organic carbon</w:t>
      </w:r>
      <w:r w:rsidR="00714F4F">
        <w:t>, and a placeholder for healthy soils</w:t>
      </w:r>
      <w:r w:rsidR="00B91437">
        <w:t>, and soil sealing</w:t>
      </w:r>
      <w:r w:rsidR="00525F0A">
        <w:t>.</w:t>
      </w:r>
      <w:r w:rsidRPr="00525F0A">
        <w:t xml:space="preserve"> </w:t>
      </w:r>
    </w:p>
    <w:p w14:paraId="03653B72" w14:textId="77777777" w:rsidR="00885BE2" w:rsidRPr="002C510A" w:rsidRDefault="00885BE2" w:rsidP="00AA0AA8">
      <w:pPr>
        <w:pStyle w:val="EEAbullet0"/>
        <w:numPr>
          <w:ilvl w:val="0"/>
          <w:numId w:val="0"/>
        </w:numPr>
        <w:ind w:left="397"/>
      </w:pPr>
    </w:p>
    <w:p w14:paraId="5DA6380A" w14:textId="33AB1C73" w:rsidR="00885BE2" w:rsidRDefault="00885BE2" w:rsidP="00AA0AA8">
      <w:pPr>
        <w:pStyle w:val="EEAbullet0"/>
      </w:pPr>
      <w:r w:rsidRPr="002C510A">
        <w:t xml:space="preserve">The </w:t>
      </w:r>
      <w:r w:rsidRPr="002C510A">
        <w:rPr>
          <w:b/>
        </w:rPr>
        <w:t>Common Agricultural Policy Regulation</w:t>
      </w:r>
      <w:r w:rsidR="00451014">
        <w:rPr>
          <w:b/>
        </w:rPr>
        <w:t xml:space="preserve"> (CAP)</w:t>
      </w:r>
      <w:r w:rsidRPr="002C510A">
        <w:rPr>
          <w:rStyle w:val="Funotenzeichen"/>
        </w:rPr>
        <w:footnoteReference w:id="15"/>
      </w:r>
      <w:r w:rsidRPr="002C510A">
        <w:t xml:space="preserve"> introduced standards for Good Agricultural and Environmental Condition of land (GAEC) which are linked to agricultural subsidies. Also important are the Rural Development measures as set out in Regulation (EU) No 1305/2013. Three GAEC standards refer directly to soil, namely GAEC 4 “Minimum soil cover”, GAEC 5 “Minimum land management reflecting site specific conditions to limit erosion”, and GAEC 6 “Maintain soil organic matter through appropriate practices”. GAEC 4 requires that a cover of growing plants or other organic residues should remain on the soils to reduce erosion by water and wind. Member States (MS) set quantitative targets and report through annual </w:t>
      </w:r>
      <w:r w:rsidRPr="00B63FA9">
        <w:t xml:space="preserve">implementation reports. Both the implementation of GAECS as well as rural development measures in support of soil quality have been poor across the EU </w:t>
      </w:r>
      <w:r w:rsidRPr="00C85611">
        <w:t>(EC 2020). T</w:t>
      </w:r>
      <w:r w:rsidRPr="002C510A">
        <w:t>he 2013 CAP regulation will be replaced by a new regulation fo</w:t>
      </w:r>
      <w:r>
        <w:t>r</w:t>
      </w:r>
      <w:r w:rsidRPr="002C510A">
        <w:t xml:space="preserve"> the CAP period 2021-2027. </w:t>
      </w:r>
    </w:p>
    <w:p w14:paraId="4CC0B73E" w14:textId="77777777" w:rsidR="00885BE2" w:rsidRDefault="00885BE2" w:rsidP="00AA0AA8">
      <w:pPr>
        <w:pStyle w:val="EEAbullet0"/>
        <w:numPr>
          <w:ilvl w:val="0"/>
          <w:numId w:val="0"/>
        </w:numPr>
        <w:ind w:left="397"/>
      </w:pPr>
    </w:p>
    <w:p w14:paraId="184296AC" w14:textId="378E901F" w:rsidR="00885BE2" w:rsidRDefault="00885BE2" w:rsidP="00AA0AA8">
      <w:pPr>
        <w:pStyle w:val="EEAbullet0"/>
      </w:pPr>
      <w:r>
        <w:lastRenderedPageBreak/>
        <w:t xml:space="preserve">The 2016 </w:t>
      </w:r>
      <w:bookmarkStart w:id="55" w:name="NEC"/>
      <w:r w:rsidRPr="00CF2E06">
        <w:rPr>
          <w:b/>
        </w:rPr>
        <w:t xml:space="preserve">National </w:t>
      </w:r>
      <w:r w:rsidRPr="00C229D0">
        <w:rPr>
          <w:b/>
        </w:rPr>
        <w:t>Emissions Ceilings Directive</w:t>
      </w:r>
      <w:r w:rsidR="00451014">
        <w:rPr>
          <w:b/>
        </w:rPr>
        <w:t xml:space="preserve"> </w:t>
      </w:r>
      <w:bookmarkEnd w:id="55"/>
      <w:r w:rsidR="00451014">
        <w:rPr>
          <w:b/>
        </w:rPr>
        <w:t>(NEC)</w:t>
      </w:r>
      <w:r>
        <w:rPr>
          <w:rStyle w:val="Funotenzeichen"/>
        </w:rPr>
        <w:footnoteReference w:id="16"/>
      </w:r>
      <w:r>
        <w:t xml:space="preserve"> </w:t>
      </w:r>
      <w:r w:rsidRPr="00C229D0">
        <w:t>contributes to avoiding diffuse contamination</w:t>
      </w:r>
      <w:r>
        <w:t>, particular</w:t>
      </w:r>
      <w:r w:rsidR="00F665B8">
        <w:t>ly</w:t>
      </w:r>
      <w:r>
        <w:t xml:space="preserve"> from acidifying pollutants,</w:t>
      </w:r>
      <w:r w:rsidRPr="00C229D0">
        <w:t xml:space="preserve"> from industry as it sets limits to air emissions for defined substances</w:t>
      </w:r>
      <w:r>
        <w:t xml:space="preserve">. </w:t>
      </w:r>
      <w:r w:rsidRPr="00EA19A0">
        <w:t>For each Member State and each pollutant group “</w:t>
      </w:r>
      <w:r w:rsidRPr="00CF2E06">
        <w:rPr>
          <w:i/>
        </w:rPr>
        <w:t>annual ceilings</w:t>
      </w:r>
      <w:r w:rsidRPr="00EA19A0">
        <w:t xml:space="preserve">” or maximum amounts are </w:t>
      </w:r>
      <w:r w:rsidR="0050636D" w:rsidRPr="00EA19A0">
        <w:t>defined,</w:t>
      </w:r>
      <w:r w:rsidRPr="00EA19A0">
        <w:t xml:space="preserve"> and their exceedance is assessed in the N</w:t>
      </w:r>
      <w:r>
        <w:t xml:space="preserve">ational </w:t>
      </w:r>
      <w:r w:rsidRPr="00EA19A0">
        <w:t>E</w:t>
      </w:r>
      <w:r>
        <w:t xml:space="preserve">mission </w:t>
      </w:r>
      <w:r w:rsidRPr="00EA19A0">
        <w:t>C</w:t>
      </w:r>
      <w:r>
        <w:t xml:space="preserve">eilings </w:t>
      </w:r>
      <w:r w:rsidRPr="00EA19A0">
        <w:t>reporting status (</w:t>
      </w:r>
      <w:r w:rsidRPr="00BA1E15">
        <w:t xml:space="preserve">published by </w:t>
      </w:r>
      <w:r w:rsidRPr="008C1AB4">
        <w:t>EEA</w:t>
      </w:r>
      <w:r w:rsidRPr="008C1AB4">
        <w:rPr>
          <w:rStyle w:val="Funotenzeichen"/>
        </w:rPr>
        <w:footnoteReference w:id="17"/>
      </w:r>
      <w:r w:rsidRPr="008C1AB4">
        <w:t>). The five</w:t>
      </w:r>
      <w:r w:rsidRPr="009E7873">
        <w:t xml:space="preserve"> main air pollutants NO</w:t>
      </w:r>
      <w:r w:rsidRPr="00CF2E06">
        <w:rPr>
          <w:vertAlign w:val="subscript"/>
        </w:rPr>
        <w:t>x</w:t>
      </w:r>
      <w:r w:rsidRPr="009E7873">
        <w:t>, NMVOCs, SO</w:t>
      </w:r>
      <w:r w:rsidRPr="00CF2E06">
        <w:rPr>
          <w:vertAlign w:val="subscript"/>
        </w:rPr>
        <w:t>2</w:t>
      </w:r>
      <w:r w:rsidRPr="009E7873">
        <w:t>, NH</w:t>
      </w:r>
      <w:r w:rsidRPr="00CF2E06">
        <w:rPr>
          <w:vertAlign w:val="subscript"/>
        </w:rPr>
        <w:t>3</w:t>
      </w:r>
      <w:r w:rsidRPr="009E7873">
        <w:t xml:space="preserve"> and PM2.5 as well as carbon monoxide (CO)</w:t>
      </w:r>
      <w:r>
        <w:t xml:space="preserve"> are monitored and reported every four years for selected monitoring sites. </w:t>
      </w:r>
      <w:r w:rsidRPr="00340640">
        <w:t>Since 201</w:t>
      </w:r>
      <w:r>
        <w:t xml:space="preserve">8, </w:t>
      </w:r>
      <w:r w:rsidRPr="00340640">
        <w:t xml:space="preserve">Member States </w:t>
      </w:r>
      <w:r w:rsidR="00F665B8" w:rsidRPr="00340640">
        <w:t>must</w:t>
      </w:r>
      <w:r w:rsidRPr="00340640">
        <w:t xml:space="preserve"> follow Air Pollution Control Programmes by establishing monitoring sites </w:t>
      </w:r>
      <w:r w:rsidR="00F665B8" w:rsidRPr="00340640">
        <w:t>to</w:t>
      </w:r>
      <w:r w:rsidRPr="00340640">
        <w:t xml:space="preserve"> assess the impacts of air pollutants to sensitive receiving environments</w:t>
      </w:r>
      <w:r>
        <w:t xml:space="preserve"> (</w:t>
      </w:r>
      <w:r w:rsidRPr="00362D7D">
        <w:t>freshwater, non-forest natural and semi-natural habitats, and forest ecosystem type</w:t>
      </w:r>
      <w:r>
        <w:t>s)</w:t>
      </w:r>
      <w:r w:rsidRPr="00340640">
        <w:t>. The Directive defines a list of soil indicators for this assessment</w:t>
      </w:r>
      <w:r w:rsidRPr="00340640">
        <w:rPr>
          <w:rStyle w:val="Funotenzeichen"/>
        </w:rPr>
        <w:footnoteReference w:id="18"/>
      </w:r>
      <w:r w:rsidRPr="00340640">
        <w:t>.</w:t>
      </w:r>
    </w:p>
    <w:p w14:paraId="4D9B1375" w14:textId="77777777" w:rsidR="00885BE2" w:rsidRDefault="00885BE2" w:rsidP="00885BE2">
      <w:pPr>
        <w:pStyle w:val="EEAbullet"/>
        <w:numPr>
          <w:ilvl w:val="0"/>
          <w:numId w:val="0"/>
        </w:numPr>
        <w:tabs>
          <w:tab w:val="clear" w:pos="284"/>
        </w:tabs>
        <w:ind w:left="720"/>
        <w:jc w:val="both"/>
      </w:pPr>
    </w:p>
    <w:p w14:paraId="51465A93" w14:textId="4E62126A" w:rsidR="00885BE2" w:rsidRDefault="00885BE2" w:rsidP="00AA0AA8">
      <w:pPr>
        <w:pStyle w:val="EEAbullet0"/>
      </w:pPr>
      <w:r w:rsidRPr="0008566F">
        <w:t xml:space="preserve">With the adoption of the 2018 </w:t>
      </w:r>
      <w:r w:rsidRPr="00362D7D">
        <w:rPr>
          <w:b/>
          <w:bCs/>
        </w:rPr>
        <w:t>LULUCF regulation</w:t>
      </w:r>
      <w:r w:rsidRPr="0008566F">
        <w:rPr>
          <w:rStyle w:val="Funotenzeichen"/>
        </w:rPr>
        <w:footnoteReference w:id="19"/>
      </w:r>
      <w:r w:rsidRPr="0008566F">
        <w:t xml:space="preserve"> greenhouse gas emissions and carbon dioxide removals from the LULUCF sector (land use, land use change and forestry) have become part of the 2030 Climate and Energy targets: “to ensure the contribution of the LULUCF sector to the achievement of the Union’s emission reduction target of at least 40 % and to the long-term goal of the Paris Agreement in the period 2021 to 2030</w:t>
      </w:r>
      <w:r w:rsidRPr="00340640">
        <w:t>”. The Regulation sets a binding commitment for each Member State to ensure that accounted emissions from land use are entirely compensated by an equivalent accounted removal of CO</w:t>
      </w:r>
      <w:r w:rsidRPr="00340640">
        <w:rPr>
          <w:vertAlign w:val="subscript"/>
        </w:rPr>
        <w:t>2</w:t>
      </w:r>
      <w:r w:rsidRPr="00340640">
        <w:t xml:space="preserve"> from the atmosphere (“no debit” rule). Although Member States already partly undertook this commitment individually under the Kyoto Protocol until 2020, the Regulation establishes this commitment in EU law for the period 2021-2030. Moreover, the scope is extended from only forests today to all land uses (including wetlands by 2026). The “no net debit” obligation will be assessed for the periods 2021-2025 and 2026-2030. The LULUCF regulation hence encourages land management practices that increase soil organic carbon stocks, as for example restoration of forests and wetlands, and avoiding conversion of grassland to cropland.</w:t>
      </w:r>
      <w:r w:rsidRPr="0008566F">
        <w:t xml:space="preserve"> </w:t>
      </w:r>
    </w:p>
    <w:p w14:paraId="23693B7C" w14:textId="53E5D360" w:rsidR="00831200" w:rsidRDefault="0046363B" w:rsidP="00831200">
      <w:pPr>
        <w:pStyle w:val="EEAbullet0"/>
        <w:numPr>
          <w:ilvl w:val="0"/>
          <w:numId w:val="0"/>
        </w:numPr>
        <w:ind w:left="397"/>
      </w:pPr>
      <w:r>
        <w:t xml:space="preserve">The EU has meanwhile </w:t>
      </w:r>
      <w:r w:rsidR="00831200" w:rsidRPr="00EE56F7">
        <w:t xml:space="preserve">updated </w:t>
      </w:r>
      <w:r>
        <w:t xml:space="preserve">the </w:t>
      </w:r>
      <w:r w:rsidR="00831200" w:rsidRPr="00EE56F7">
        <w:t xml:space="preserve">2030 </w:t>
      </w:r>
      <w:r w:rsidR="00831200">
        <w:t>GHG</w:t>
      </w:r>
      <w:r w:rsidR="00831200" w:rsidRPr="00EE56F7">
        <w:t xml:space="preserve"> </w:t>
      </w:r>
      <w:r w:rsidR="00831200" w:rsidRPr="00D757D2">
        <w:rPr>
          <w:color w:val="000000" w:themeColor="text1"/>
        </w:rPr>
        <w:t xml:space="preserve">emissions net reduction target of 55% below 1990 levels. </w:t>
      </w:r>
      <w:r w:rsidR="00831200">
        <w:t xml:space="preserve">This target has been set in the </w:t>
      </w:r>
      <w:r w:rsidR="00831200" w:rsidRPr="00115124">
        <w:rPr>
          <w:b/>
          <w:bCs/>
        </w:rPr>
        <w:t>2030 Climate Target Plan</w:t>
      </w:r>
      <w:r w:rsidR="00831200">
        <w:rPr>
          <w:rStyle w:val="Funotenzeichen"/>
        </w:rPr>
        <w:footnoteReference w:id="20"/>
      </w:r>
      <w:r w:rsidR="00831200">
        <w:t xml:space="preserve">, and inserted into </w:t>
      </w:r>
      <w:r w:rsidR="00831200" w:rsidRPr="00115124">
        <w:rPr>
          <w:b/>
          <w:bCs/>
        </w:rPr>
        <w:t>European Climate Law</w:t>
      </w:r>
      <w:r w:rsidR="00831200">
        <w:rPr>
          <w:rStyle w:val="Funotenzeichen"/>
          <w:b/>
          <w:bCs/>
        </w:rPr>
        <w:footnoteReference w:id="21"/>
      </w:r>
      <w:r w:rsidR="00831200">
        <w:t xml:space="preserve">, and is needed for the process </w:t>
      </w:r>
      <w:r w:rsidR="00831200" w:rsidRPr="00D757D2">
        <w:rPr>
          <w:color w:val="000000" w:themeColor="text1"/>
        </w:rPr>
        <w:t xml:space="preserve">towards a climate neutral Europe by 2050. This </w:t>
      </w:r>
      <w:r w:rsidR="00831200">
        <w:t>includes the r</w:t>
      </w:r>
      <w:r w:rsidR="00831200" w:rsidRPr="00E10F50">
        <w:t xml:space="preserve">ecognition of the need to enhance the EU's carbon sink through a more ambitious LULUCF regulation </w:t>
      </w:r>
      <w:r w:rsidR="00831200">
        <w:t xml:space="preserve">– therefore: the provisions under the Green Deal also include the reforming of the 2018 LULUCF </w:t>
      </w:r>
      <w:r w:rsidR="00831200" w:rsidRPr="005642F1">
        <w:t>Regulation</w:t>
      </w:r>
      <w:r w:rsidR="00831200">
        <w:rPr>
          <w:rStyle w:val="Funotenzeichen"/>
        </w:rPr>
        <w:footnoteReference w:id="22"/>
      </w:r>
      <w:r w:rsidR="00831200">
        <w:t>.</w:t>
      </w:r>
    </w:p>
    <w:p w14:paraId="277ED4A9" w14:textId="1CBA5D6F" w:rsidR="009C2FCD" w:rsidRDefault="009C2FCD" w:rsidP="00D80D8C">
      <w:pPr>
        <w:spacing w:before="120"/>
        <w:ind w:left="425"/>
        <w:rPr>
          <w:lang w:val="en-US"/>
        </w:rPr>
      </w:pPr>
      <w:r>
        <w:t>To achieve climate-neutrality in 2050, the capacity of land to capture CO₂ will have to increase; this includes soils</w:t>
      </w:r>
      <w:r>
        <w:rPr>
          <w:lang w:val="en-US"/>
        </w:rPr>
        <w:t>. Two mechanisms are forese</w:t>
      </w:r>
      <w:r w:rsidR="00F154E0">
        <w:rPr>
          <w:lang w:val="en-US"/>
        </w:rPr>
        <w:t>en</w:t>
      </w:r>
      <w:r>
        <w:rPr>
          <w:lang w:val="en-US"/>
        </w:rPr>
        <w:t>:</w:t>
      </w:r>
    </w:p>
    <w:p w14:paraId="47B112D0" w14:textId="78B46568" w:rsidR="009C2FCD" w:rsidRPr="00F14827" w:rsidRDefault="009C2FCD" w:rsidP="00714D8B">
      <w:pPr>
        <w:pStyle w:val="EEAbullet1"/>
        <w:rPr>
          <w:lang w:val="en-US"/>
        </w:rPr>
      </w:pPr>
      <w:r w:rsidRPr="00F14827">
        <w:rPr>
          <w:lang w:val="en-US"/>
        </w:rPr>
        <w:t>Carbon farming</w:t>
      </w:r>
      <w:r w:rsidR="005F3AD4">
        <w:rPr>
          <w:lang w:val="en-US"/>
        </w:rPr>
        <w:t xml:space="preserve"> (COWI et al. 2021)</w:t>
      </w:r>
    </w:p>
    <w:p w14:paraId="6F2B90F9" w14:textId="278F2FC5" w:rsidR="009C2FCD" w:rsidRPr="00970B05" w:rsidRDefault="009C2FCD" w:rsidP="00714D8B">
      <w:pPr>
        <w:pStyle w:val="EEAbullet1"/>
        <w:rPr>
          <w:lang w:val="en-US"/>
        </w:rPr>
      </w:pPr>
      <w:r w:rsidRPr="00F14827">
        <w:rPr>
          <w:lang w:val="en-US"/>
        </w:rPr>
        <w:t>C</w:t>
      </w:r>
      <w:r>
        <w:t>arbon removals certification mechanism (CRCM)</w:t>
      </w:r>
      <w:r w:rsidR="00970B05">
        <w:rPr>
          <w:rStyle w:val="Funotenzeichen"/>
        </w:rPr>
        <w:footnoteReference w:id="23"/>
      </w:r>
      <w:r>
        <w:rPr>
          <w:lang w:val="en-US"/>
        </w:rPr>
        <w:t xml:space="preserve">: study by </w:t>
      </w:r>
      <w:r>
        <w:t>UBA, Ecologic, Rambøll and Carbon Counts</w:t>
      </w:r>
    </w:p>
    <w:p w14:paraId="32EAF925" w14:textId="4B433CAF" w:rsidR="00A63531" w:rsidRPr="009C2FCD" w:rsidRDefault="00DD6A07" w:rsidP="00D757D2">
      <w:pPr>
        <w:suppressAutoHyphens w:val="0"/>
        <w:spacing w:line="259" w:lineRule="auto"/>
        <w:ind w:left="426"/>
        <w:jc w:val="left"/>
        <w:rPr>
          <w:lang w:val="en-US"/>
        </w:rPr>
      </w:pPr>
      <w:r>
        <w:rPr>
          <w:lang w:val="en-US"/>
        </w:rPr>
        <w:lastRenderedPageBreak/>
        <w:t>T</w:t>
      </w:r>
      <w:r w:rsidRPr="00DD6A07">
        <w:rPr>
          <w:lang w:val="en-US"/>
        </w:rPr>
        <w:t>he uptake of carbon removals and increased circularity of carbon</w:t>
      </w:r>
      <w:r>
        <w:rPr>
          <w:lang w:val="en-US"/>
        </w:rPr>
        <w:t xml:space="preserve"> is incentivized </w:t>
      </w:r>
      <w:r w:rsidR="0012669D">
        <w:rPr>
          <w:lang w:val="en-US"/>
        </w:rPr>
        <w:t xml:space="preserve">by the </w:t>
      </w:r>
      <w:r w:rsidR="0012669D" w:rsidRPr="0012669D">
        <w:rPr>
          <w:lang w:val="en-US"/>
        </w:rPr>
        <w:t>Circular Economy Action Plan</w:t>
      </w:r>
      <w:r w:rsidRPr="00DD6A07">
        <w:rPr>
          <w:lang w:val="en-US"/>
        </w:rPr>
        <w:t>,</w:t>
      </w:r>
      <w:r w:rsidR="0012669D">
        <w:rPr>
          <w:lang w:val="en-US"/>
        </w:rPr>
        <w:t xml:space="preserve"> while </w:t>
      </w:r>
      <w:r w:rsidR="0065627A" w:rsidRPr="0065627A">
        <w:rPr>
          <w:lang w:val="en-US"/>
        </w:rPr>
        <w:t xml:space="preserve">Farm to Fork Strategy </w:t>
      </w:r>
      <w:r w:rsidR="0065627A">
        <w:rPr>
          <w:lang w:val="en-US"/>
        </w:rPr>
        <w:t xml:space="preserve">may </w:t>
      </w:r>
      <w:r w:rsidR="0065627A" w:rsidRPr="0065627A">
        <w:rPr>
          <w:lang w:val="en-US"/>
        </w:rPr>
        <w:t>enable payments to farmers and foresters for the carbon sequestration they provide</w:t>
      </w:r>
      <w:r w:rsidR="0065627A">
        <w:rPr>
          <w:lang w:val="en-US"/>
        </w:rPr>
        <w:t xml:space="preserve">. </w:t>
      </w:r>
      <w:r w:rsidR="0089552C" w:rsidRPr="00D757D2">
        <w:rPr>
          <w:b/>
          <w:bCs/>
          <w:lang w:val="en-US"/>
        </w:rPr>
        <w:t xml:space="preserve">These policy demands will require </w:t>
      </w:r>
      <w:r w:rsidR="0065627A" w:rsidRPr="00D757D2">
        <w:rPr>
          <w:b/>
          <w:bCs/>
          <w:lang w:val="en-US"/>
        </w:rPr>
        <w:t>improvement</w:t>
      </w:r>
      <w:r w:rsidR="0089552C" w:rsidRPr="00D757D2">
        <w:rPr>
          <w:b/>
          <w:bCs/>
          <w:lang w:val="en-US"/>
        </w:rPr>
        <w:t xml:space="preserve">s </w:t>
      </w:r>
      <w:r w:rsidR="00D757D2" w:rsidRPr="00D757D2">
        <w:rPr>
          <w:b/>
          <w:bCs/>
          <w:lang w:val="en-US"/>
        </w:rPr>
        <w:t>of SOC monitoring with regard to reliability (uncertainties) as well as spatial and temporal resolution.</w:t>
      </w:r>
    </w:p>
    <w:p w14:paraId="07C1402C" w14:textId="77777777" w:rsidR="002D36BA" w:rsidRDefault="002D36BA" w:rsidP="001512D0">
      <w:pPr>
        <w:spacing w:before="240"/>
      </w:pPr>
    </w:p>
    <w:p w14:paraId="3408A298" w14:textId="4C48B00B" w:rsidR="002D36BA" w:rsidRPr="006445E9" w:rsidRDefault="002D36BA" w:rsidP="002D36BA">
      <w:pPr>
        <w:pStyle w:val="EEALabel"/>
      </w:pPr>
      <w:bookmarkStart w:id="56" w:name="_Ref82783870"/>
      <w:bookmarkStart w:id="57" w:name="_Toc83997499"/>
      <w:r w:rsidRPr="006445E9">
        <w:t xml:space="preserve">Table </w:t>
      </w:r>
      <w:r>
        <w:fldChar w:fldCharType="begin"/>
      </w:r>
      <w:r>
        <w:instrText xml:space="preserve"> STYLEREF 1 \s </w:instrText>
      </w:r>
      <w:r>
        <w:fldChar w:fldCharType="separate"/>
      </w:r>
      <w:r w:rsidR="0067767C">
        <w:rPr>
          <w:noProof/>
        </w:rPr>
        <w:t>1</w:t>
      </w:r>
      <w:r>
        <w:fldChar w:fldCharType="end"/>
      </w:r>
      <w:r>
        <w:noBreakHyphen/>
      </w:r>
      <w:r>
        <w:fldChar w:fldCharType="begin"/>
      </w:r>
      <w:r>
        <w:instrText xml:space="preserve"> SEQ Table \* ARABIC \s 1 </w:instrText>
      </w:r>
      <w:r>
        <w:fldChar w:fldCharType="separate"/>
      </w:r>
      <w:r w:rsidR="0067767C">
        <w:rPr>
          <w:noProof/>
        </w:rPr>
        <w:t>5</w:t>
      </w:r>
      <w:r>
        <w:fldChar w:fldCharType="end"/>
      </w:r>
      <w:bookmarkEnd w:id="56"/>
      <w:r w:rsidRPr="006445E9">
        <w:t>:</w:t>
      </w:r>
      <w:r w:rsidRPr="006445E9">
        <w:tab/>
        <w:t xml:space="preserve">Objectives, targets and recommended indicators of the </w:t>
      </w:r>
      <w:r w:rsidRPr="00581EE0">
        <w:t>EU's Soil Health and Food Mission Board</w:t>
      </w:r>
      <w:bookmarkEnd w:id="57"/>
    </w:p>
    <w:p w14:paraId="05454646" w14:textId="638F1FC2" w:rsidR="002D36BA" w:rsidRDefault="002D36BA" w:rsidP="002D36BA">
      <w:r w:rsidRPr="00B01ACE">
        <w:rPr>
          <w:noProof/>
          <w:lang w:eastAsia="en-GB"/>
        </w:rPr>
        <w:drawing>
          <wp:anchor distT="0" distB="0" distL="114300" distR="114300" simplePos="0" relativeHeight="251747840" behindDoc="0" locked="0" layoutInCell="1" allowOverlap="1" wp14:anchorId="04C23277" wp14:editId="565F5F98">
            <wp:simplePos x="0" y="0"/>
            <wp:positionH relativeFrom="column">
              <wp:posOffset>0</wp:posOffset>
            </wp:positionH>
            <wp:positionV relativeFrom="paragraph">
              <wp:posOffset>161925</wp:posOffset>
            </wp:positionV>
            <wp:extent cx="5981700" cy="5226050"/>
            <wp:effectExtent l="0" t="0" r="0" b="0"/>
            <wp:wrapTopAndBottom/>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81700" cy="5226050"/>
                    </a:xfrm>
                    <a:prstGeom prst="rect">
                      <a:avLst/>
                    </a:prstGeom>
                  </pic:spPr>
                </pic:pic>
              </a:graphicData>
            </a:graphic>
            <wp14:sizeRelH relativeFrom="margin">
              <wp14:pctWidth>0</wp14:pctWidth>
            </wp14:sizeRelH>
            <wp14:sizeRelV relativeFrom="margin">
              <wp14:pctHeight>0</wp14:pctHeight>
            </wp14:sizeRelV>
          </wp:anchor>
        </w:drawing>
      </w:r>
    </w:p>
    <w:p w14:paraId="1B4BC4ED" w14:textId="77777777" w:rsidR="001512D0" w:rsidRPr="002C510A" w:rsidRDefault="001512D0" w:rsidP="001512D0">
      <w:pPr>
        <w:pStyle w:val="EEAbullet0"/>
      </w:pPr>
      <w:r w:rsidRPr="002C510A">
        <w:t xml:space="preserve">The 2019 </w:t>
      </w:r>
      <w:r w:rsidRPr="002C510A">
        <w:rPr>
          <w:b/>
        </w:rPr>
        <w:t>European Green Deal communication</w:t>
      </w:r>
      <w:r w:rsidRPr="002C510A">
        <w:rPr>
          <w:rStyle w:val="Funotenzeichen"/>
        </w:rPr>
        <w:footnoteReference w:id="24"/>
      </w:r>
      <w:r w:rsidRPr="002C510A">
        <w:t xml:space="preserve"> contains a roadmap for making the EU's economy sustainable, by turning climate and environmental challenges into opportunities across all policy areas. Under the umbrella of the Green Deal several policy documents are directly linked to soil protection, thus the importan</w:t>
      </w:r>
      <w:r>
        <w:t>ce</w:t>
      </w:r>
      <w:r w:rsidRPr="002C510A">
        <w:t xml:space="preserve"> of soil health</w:t>
      </w:r>
      <w:r>
        <w:t xml:space="preserve"> is broadly addressed</w:t>
      </w:r>
      <w:r w:rsidRPr="002C510A">
        <w:t xml:space="preserve">. The following </w:t>
      </w:r>
      <w:r>
        <w:t xml:space="preserve">key objectives of the </w:t>
      </w:r>
      <w:r w:rsidRPr="002C510A">
        <w:t>Green Deal</w:t>
      </w:r>
      <w:r>
        <w:t xml:space="preserve"> Communication include policy developments, which are highly relevant for future soil protection</w:t>
      </w:r>
      <w:r w:rsidRPr="002C510A">
        <w:t>:</w:t>
      </w:r>
    </w:p>
    <w:p w14:paraId="44CE674D" w14:textId="77777777" w:rsidR="001512D0" w:rsidRPr="00AA0AA8" w:rsidRDefault="001512D0" w:rsidP="001512D0">
      <w:pPr>
        <w:pStyle w:val="EEAbullet1"/>
        <w:spacing w:before="120"/>
      </w:pPr>
      <w:r w:rsidRPr="00AA0AA8">
        <w:t xml:space="preserve">Preserving and restoring ecosystems and biodiversity. In May 2020 the European Commission released the new </w:t>
      </w:r>
      <w:r w:rsidRPr="00053461">
        <w:rPr>
          <w:b/>
          <w:bCs/>
        </w:rPr>
        <w:t>Biodiversity Strategy to 2030</w:t>
      </w:r>
      <w:r w:rsidRPr="00F57659">
        <w:rPr>
          <w:rStyle w:val="Funotenzeichen"/>
        </w:rPr>
        <w:footnoteReference w:id="25"/>
      </w:r>
      <w:r w:rsidRPr="00AA0AA8">
        <w:t xml:space="preserve">. Overall objective is to reverse biodiversity loss </w:t>
      </w:r>
      <w:r w:rsidRPr="00AA0AA8">
        <w:lastRenderedPageBreak/>
        <w:t>in the EU, and to increase resilience towards natural threats such as climate change impacts, forest fires, food insecurity or disease outbreaks. The strategy includes quantitative targets, three of which are directly linked to soil protection (see Table 1-</w:t>
      </w:r>
      <w:r>
        <w:t>6</w:t>
      </w:r>
      <w:r w:rsidRPr="00AA0AA8">
        <w:t xml:space="preserve">). Furthermore, the Strategy calls for an </w:t>
      </w:r>
      <w:r w:rsidRPr="00053461">
        <w:rPr>
          <w:b/>
          <w:bCs/>
        </w:rPr>
        <w:t>EU Nature Restoration Plan</w:t>
      </w:r>
      <w:r w:rsidRPr="00AA0AA8">
        <w:t xml:space="preserve">: Member States are requested to ensure that no deterioration in conservation trends and status of all protected habitats and species by 2030. In addition, Member States will have to ensure that at least 30% of species and habitats not currently in favourable status are in that category or show a strong positive trend”. </w:t>
      </w:r>
      <w:r>
        <w:t xml:space="preserve">Currently, </w:t>
      </w:r>
      <w:r w:rsidRPr="00D5397B">
        <w:t xml:space="preserve">legally binding EU nature restoration targets </w:t>
      </w:r>
      <w:r>
        <w:t>are being prepared, which are likely addressing protected as well as unprotected habitat areas, including soil-related indicators. There is a need to developing an EU-wide methodology to map, assess and achieve good condition of ecosystems; and this must be based on indicators for all ecosystems including soils.</w:t>
      </w:r>
      <w:r>
        <w:rPr>
          <w:rStyle w:val="Funotenzeichen"/>
        </w:rPr>
        <w:footnoteReference w:id="26"/>
      </w:r>
    </w:p>
    <w:p w14:paraId="3D5DDF72" w14:textId="77777777" w:rsidR="001512D0" w:rsidRPr="00AA0AA8" w:rsidRDefault="001512D0" w:rsidP="001512D0">
      <w:pPr>
        <w:pStyle w:val="EEAbullet1"/>
        <w:spacing w:before="120"/>
      </w:pPr>
      <w:r w:rsidRPr="00AA0AA8">
        <w:t xml:space="preserve">From ‘Farm to Fork’: a fair, healthy and environmentally friendly food system. Also in May 2020, the </w:t>
      </w:r>
      <w:r w:rsidRPr="001512D0">
        <w:rPr>
          <w:b/>
          <w:bCs/>
        </w:rPr>
        <w:t>Farm to Fork strategy (F2F)</w:t>
      </w:r>
      <w:r w:rsidRPr="00AA0AA8">
        <w:t xml:space="preserve"> was published, which focuses on fair and environmentally friendly food production. The strategy repeats the target for organic farmed land as mentioned in the Biodiversity Strategy and besides that, defines two targets related to soil pollution, firstly “to reduce the overall use and risk of chemical pesticides by 50% and the use of more hazardous pesticides by 50% by 2030” and secondly “to reduce nutrient losses by at least 50%, while ensuring that there is no deterioration in soil fertility and reduce the use of fertilisers by 50%”. While these targets apply at EU level, Member States will be asked to define their own targets in the CAP Strategic Plans.</w:t>
      </w:r>
    </w:p>
    <w:p w14:paraId="5551F686" w14:textId="77777777" w:rsidR="001512D0" w:rsidRPr="00AA0AA8" w:rsidRDefault="001512D0" w:rsidP="001512D0">
      <w:pPr>
        <w:pStyle w:val="EEAbullet1"/>
        <w:spacing w:before="120"/>
      </w:pPr>
      <w:r w:rsidRPr="00AA0AA8">
        <w:t xml:space="preserve">A </w:t>
      </w:r>
      <w:r w:rsidRPr="00F67370">
        <w:rPr>
          <w:b/>
          <w:bCs/>
        </w:rPr>
        <w:t>zero pollution ambition for a toxic-free environment</w:t>
      </w:r>
      <w:r w:rsidRPr="00AA0AA8">
        <w:t xml:space="preserve"> has the overall objective to avoid harmful levels of pollution to air, soil and water, as it is one of the main reasons for the loss of biodiversity and ecosystem services, as well as economic losses (e.g. yield loss, health-related cost, remediation cost). It includes two actions relevant for soil protection. </w:t>
      </w:r>
    </w:p>
    <w:p w14:paraId="446B51EA" w14:textId="77777777" w:rsidR="001512D0" w:rsidRDefault="001512D0" w:rsidP="001512D0">
      <w:pPr>
        <w:pStyle w:val="EEAbullet2"/>
        <w:spacing w:before="120"/>
      </w:pPr>
      <w:r w:rsidRPr="00F300D9">
        <w:t xml:space="preserve">The </w:t>
      </w:r>
      <w:r w:rsidRPr="0094703D">
        <w:rPr>
          <w:b/>
        </w:rPr>
        <w:t>Chemicals Strateg</w:t>
      </w:r>
      <w:r>
        <w:rPr>
          <w:b/>
        </w:rPr>
        <w:t xml:space="preserve">y </w:t>
      </w:r>
      <w:r w:rsidRPr="00D217A7">
        <w:rPr>
          <w:b/>
        </w:rPr>
        <w:t xml:space="preserve">for </w:t>
      </w:r>
      <w:r>
        <w:rPr>
          <w:b/>
        </w:rPr>
        <w:t>S</w:t>
      </w:r>
      <w:r w:rsidRPr="00D217A7">
        <w:rPr>
          <w:b/>
        </w:rPr>
        <w:t xml:space="preserve">ustainability </w:t>
      </w:r>
      <w:r>
        <w:rPr>
          <w:b/>
        </w:rPr>
        <w:t>(CSS)</w:t>
      </w:r>
      <w:r w:rsidRPr="00F300D9">
        <w:rPr>
          <w:rStyle w:val="Funotenzeichen"/>
        </w:rPr>
        <w:footnoteReference w:id="27"/>
      </w:r>
      <w:r w:rsidRPr="00F300D9">
        <w:t>, published in October 2020, sets out concrete actions to make chemicals safe and sustainable and to ensure that chemicals can deliver all their benefits without harming people and the environment.</w:t>
      </w:r>
      <w:r>
        <w:t xml:space="preserve"> </w:t>
      </w:r>
      <w:proofErr w:type="gramStart"/>
      <w:r>
        <w:t>SWD(</w:t>
      </w:r>
      <w:proofErr w:type="gramEnd"/>
      <w:r>
        <w:t>2020) 249 final</w:t>
      </w:r>
      <w:r>
        <w:rPr>
          <w:rStyle w:val="Funotenzeichen"/>
        </w:rPr>
        <w:footnoteReference w:id="28"/>
      </w:r>
      <w:r>
        <w:t xml:space="preserve"> addresses the hazard from </w:t>
      </w:r>
      <w:r w:rsidRPr="00AB7801">
        <w:t>PFAS contamination of soils</w:t>
      </w:r>
      <w:r>
        <w:t>;</w:t>
      </w:r>
      <w:r w:rsidRPr="00030208">
        <w:t xml:space="preserve"> SWD(2020) 250 final</w:t>
      </w:r>
      <w:r>
        <w:rPr>
          <w:rStyle w:val="Funotenzeichen"/>
        </w:rPr>
        <w:footnoteReference w:id="29"/>
      </w:r>
      <w:r>
        <w:t xml:space="preserve"> raises the concern about mixtures of chemicals in environmental media. Currently, a </w:t>
      </w:r>
      <w:r w:rsidRPr="0094703D">
        <w:rPr>
          <w:b/>
          <w:bCs/>
        </w:rPr>
        <w:t>framework of indicators</w:t>
      </w:r>
      <w:r w:rsidRPr="0094703D">
        <w:t xml:space="preserve"> </w:t>
      </w:r>
      <w:r>
        <w:t xml:space="preserve">is being developed </w:t>
      </w:r>
      <w:r w:rsidRPr="0094703D">
        <w:t>to monitor drivers and impacts of chemicals pollution and to measure the effectiveness of chemicals legislation</w:t>
      </w:r>
      <w:r>
        <w:t xml:space="preserve">. Likely, CSS will deliver a list of substances which soil monitoring needs to address. </w:t>
      </w:r>
    </w:p>
    <w:p w14:paraId="643252AD" w14:textId="77777777" w:rsidR="001512D0" w:rsidRPr="00F300D9" w:rsidRDefault="001512D0" w:rsidP="001512D0">
      <w:pPr>
        <w:pStyle w:val="EEAbullet2"/>
        <w:spacing w:before="120"/>
      </w:pPr>
      <w:r w:rsidRPr="00F300D9">
        <w:rPr>
          <w:b/>
        </w:rPr>
        <w:t>The Zero Pollution Action Plan for Air</w:t>
      </w:r>
      <w:r>
        <w:rPr>
          <w:b/>
        </w:rPr>
        <w:t>,</w:t>
      </w:r>
      <w:r w:rsidRPr="00F300D9">
        <w:rPr>
          <w:b/>
        </w:rPr>
        <w:t xml:space="preserve"> Soil and Water</w:t>
      </w:r>
      <w:r w:rsidRPr="00F300D9">
        <w:t xml:space="preserve"> </w:t>
      </w:r>
      <w:r>
        <w:t>has been published</w:t>
      </w:r>
      <w:r>
        <w:rPr>
          <w:rStyle w:val="Funotenzeichen"/>
        </w:rPr>
        <w:footnoteReference w:id="30"/>
      </w:r>
      <w:r>
        <w:t>.</w:t>
      </w:r>
      <w:r w:rsidRPr="00F300D9">
        <w:t xml:space="preserve"> The plan has the ambition to improve the governance framework of the Member States regarding pollution prevention.</w:t>
      </w:r>
      <w:r>
        <w:t xml:space="preserve"> </w:t>
      </w:r>
      <w:r w:rsidRPr="003906CE">
        <w:t>SWD(2021) 141 final</w:t>
      </w:r>
      <w:r>
        <w:rPr>
          <w:rStyle w:val="Funotenzeichen"/>
        </w:rPr>
        <w:footnoteReference w:id="31"/>
      </w:r>
      <w:r>
        <w:t xml:space="preserve"> outlines </w:t>
      </w:r>
      <w:r w:rsidRPr="00FA1C97">
        <w:t>monitoring and outlook framework for the zero pollution ambition</w:t>
      </w:r>
      <w:r>
        <w:t xml:space="preserve">; it foresees regular reporting on a) monitoring (relying on indicators on diffuse and local soil pollution) and b) outlook, including a Clean Soil Outlook </w:t>
      </w:r>
    </w:p>
    <w:p w14:paraId="799A9A6D" w14:textId="77777777" w:rsidR="001512D0" w:rsidRDefault="001512D0" w:rsidP="001512D0"/>
    <w:p w14:paraId="3B2330CC" w14:textId="77777777" w:rsidR="001512D0" w:rsidRDefault="001512D0" w:rsidP="001512D0">
      <w:r w:rsidRPr="006906B5">
        <w:t>In addition to the above listed policies, the State and Outlook of the Environment report 2020 (SOER2020) published by the European Environment Agency (EEA 20</w:t>
      </w:r>
      <w:r>
        <w:t>19</w:t>
      </w:r>
      <w:r w:rsidRPr="006906B5">
        <w:t xml:space="preserve">) mentions several other policies with indirect effects on soil: </w:t>
      </w:r>
    </w:p>
    <w:p w14:paraId="5013DCD9" w14:textId="77777777" w:rsidR="001512D0" w:rsidRPr="00E40DF8" w:rsidRDefault="001512D0" w:rsidP="001512D0">
      <w:pPr>
        <w:pStyle w:val="EEAbullet0"/>
        <w:tabs>
          <w:tab w:val="clear" w:pos="397"/>
        </w:tabs>
        <w:ind w:left="709"/>
      </w:pPr>
      <w:r w:rsidRPr="00E40DF8">
        <w:t>Nitrates Directive (Directive 91/676/EEC),</w:t>
      </w:r>
    </w:p>
    <w:p w14:paraId="250C4966" w14:textId="77777777" w:rsidR="001512D0" w:rsidRPr="00E40DF8" w:rsidRDefault="001512D0" w:rsidP="001512D0">
      <w:pPr>
        <w:pStyle w:val="EEAbullet0"/>
        <w:tabs>
          <w:tab w:val="clear" w:pos="397"/>
        </w:tabs>
        <w:ind w:left="709"/>
      </w:pPr>
      <w:r w:rsidRPr="00E40DF8">
        <w:t>Sustainable Use of Pesticides Directive (Directive 2009/128/EC),</w:t>
      </w:r>
    </w:p>
    <w:p w14:paraId="63689C5A" w14:textId="77777777" w:rsidR="001512D0" w:rsidRDefault="001512D0" w:rsidP="001512D0">
      <w:pPr>
        <w:pStyle w:val="EEAbullet0"/>
        <w:tabs>
          <w:tab w:val="clear" w:pos="397"/>
        </w:tabs>
        <w:ind w:left="709"/>
      </w:pPr>
      <w:r w:rsidRPr="006906B5">
        <w:lastRenderedPageBreak/>
        <w:t>Sewage Sludge Directive (Directive 86/278/EEC),</w:t>
      </w:r>
    </w:p>
    <w:p w14:paraId="3F4321C8" w14:textId="77777777" w:rsidR="001512D0" w:rsidRDefault="001512D0" w:rsidP="001512D0">
      <w:pPr>
        <w:pStyle w:val="EEAbullet0"/>
        <w:tabs>
          <w:tab w:val="clear" w:pos="397"/>
        </w:tabs>
        <w:ind w:left="709"/>
      </w:pPr>
      <w:r w:rsidRPr="006906B5">
        <w:t xml:space="preserve">Fertilisers Regulation (Regulation EU 2019/1009), </w:t>
      </w:r>
    </w:p>
    <w:p w14:paraId="0D73BD84" w14:textId="77777777" w:rsidR="001512D0" w:rsidRDefault="001512D0" w:rsidP="001512D0">
      <w:pPr>
        <w:pStyle w:val="EEAbullet0"/>
        <w:tabs>
          <w:tab w:val="clear" w:pos="397"/>
        </w:tabs>
        <w:ind w:left="709"/>
      </w:pPr>
      <w:r w:rsidRPr="006906B5">
        <w:t xml:space="preserve">Mercury Regulation (Regulation EU 2017/852), and </w:t>
      </w:r>
    </w:p>
    <w:p w14:paraId="2C3A2BD9" w14:textId="77777777" w:rsidR="001512D0" w:rsidRPr="006906B5" w:rsidRDefault="001512D0" w:rsidP="001512D0">
      <w:pPr>
        <w:pStyle w:val="EEAbullet0"/>
        <w:tabs>
          <w:tab w:val="clear" w:pos="397"/>
        </w:tabs>
        <w:ind w:left="709"/>
      </w:pPr>
      <w:r w:rsidRPr="006906B5">
        <w:t>Plant Protection Products (PPP) (Regulation EU 1107/2009).</w:t>
      </w:r>
    </w:p>
    <w:p w14:paraId="4EB0F4D4" w14:textId="77777777" w:rsidR="001512D0" w:rsidRDefault="001512D0" w:rsidP="001512D0"/>
    <w:p w14:paraId="75AD506A" w14:textId="77777777" w:rsidR="001512D0" w:rsidRDefault="001512D0" w:rsidP="001512D0">
      <w:r>
        <w:t>Several additional initiatives shall be mentioned here:</w:t>
      </w:r>
    </w:p>
    <w:p w14:paraId="07426306" w14:textId="77777777" w:rsidR="002D36BA" w:rsidRDefault="002D36BA" w:rsidP="002D36BA"/>
    <w:p w14:paraId="23C7F58E" w14:textId="48381E6C" w:rsidR="00CC6901" w:rsidRDefault="00CC6901" w:rsidP="00E40DF8">
      <w:pPr>
        <w:pStyle w:val="EEAbullet0"/>
      </w:pPr>
      <w:r w:rsidRPr="007E303F">
        <w:t>The</w:t>
      </w:r>
      <w:r>
        <w:t xml:space="preserve"> EU</w:t>
      </w:r>
      <w:r w:rsidRPr="007E303F">
        <w:t xml:space="preserve"> </w:t>
      </w:r>
      <w:bookmarkStart w:id="58" w:name="Soil_Mission"/>
      <w:r w:rsidRPr="008836C7">
        <w:rPr>
          <w:b/>
        </w:rPr>
        <w:t xml:space="preserve">Mission </w:t>
      </w:r>
      <w:r>
        <w:rPr>
          <w:b/>
        </w:rPr>
        <w:t xml:space="preserve">Board </w:t>
      </w:r>
      <w:r w:rsidRPr="008836C7">
        <w:rPr>
          <w:b/>
        </w:rPr>
        <w:t>for Soil Health and Food</w:t>
      </w:r>
      <w:bookmarkEnd w:id="58"/>
      <w:r w:rsidRPr="007E303F">
        <w:rPr>
          <w:rStyle w:val="Funotenzeichen"/>
          <w:b/>
        </w:rPr>
        <w:footnoteReference w:id="32"/>
      </w:r>
      <w:r w:rsidRPr="007E303F">
        <w:t xml:space="preserve"> has the ambition to support the Green Deal and in particular the Farm to Fork Strategy. Most noteworthy is the overarching goal: “</w:t>
      </w:r>
      <w:r w:rsidRPr="008836C7">
        <w:rPr>
          <w:i/>
        </w:rPr>
        <w:t>By 2030, at least 75% of all soils in each EU Member State are healthy, i.e. are able to provide essential ecosystem services</w:t>
      </w:r>
      <w:r w:rsidRPr="007E303F">
        <w:t>”. In order to achieve this goal, the Mission Board sets out eight objectives which are complemented with quantitative targets. For each quantitative target, indicators for monitoring are specified (see</w:t>
      </w:r>
      <w:r>
        <w:t xml:space="preserve"> </w:t>
      </w:r>
      <w:r>
        <w:fldChar w:fldCharType="begin"/>
      </w:r>
      <w:r>
        <w:instrText xml:space="preserve"> REF _Ref82783870 \h </w:instrText>
      </w:r>
      <w:r>
        <w:fldChar w:fldCharType="separate"/>
      </w:r>
      <w:r w:rsidR="0067767C" w:rsidRPr="006445E9">
        <w:t xml:space="preserve">Table </w:t>
      </w:r>
      <w:r w:rsidR="0067767C">
        <w:rPr>
          <w:noProof/>
        </w:rPr>
        <w:t>1</w:t>
      </w:r>
      <w:r w:rsidR="0067767C">
        <w:noBreakHyphen/>
      </w:r>
      <w:r w:rsidR="0067767C">
        <w:rPr>
          <w:noProof/>
        </w:rPr>
        <w:t>5</w:t>
      </w:r>
      <w:r>
        <w:fldChar w:fldCharType="end"/>
      </w:r>
      <w:r>
        <w:t>).</w:t>
      </w:r>
    </w:p>
    <w:p w14:paraId="60412110" w14:textId="77777777" w:rsidR="00CC6901" w:rsidRDefault="00CC6901" w:rsidP="00CC6901">
      <w:pPr>
        <w:pStyle w:val="EEAbullet0"/>
        <w:numPr>
          <w:ilvl w:val="0"/>
          <w:numId w:val="0"/>
        </w:numPr>
        <w:ind w:left="397"/>
      </w:pPr>
    </w:p>
    <w:p w14:paraId="6381CF0A" w14:textId="521C53CE" w:rsidR="00885BE2" w:rsidRPr="00FA0E27" w:rsidRDefault="00885BE2" w:rsidP="00E40DF8">
      <w:pPr>
        <w:pStyle w:val="EEAbullet0"/>
      </w:pPr>
      <w:r w:rsidRPr="00FA0E27">
        <w:t xml:space="preserve">The </w:t>
      </w:r>
      <w:r w:rsidRPr="00B74CBF">
        <w:rPr>
          <w:b/>
          <w:bCs/>
        </w:rPr>
        <w:t>‘4 per mille’ initiative</w:t>
      </w:r>
      <w:r>
        <w:rPr>
          <w:rStyle w:val="Funotenzeichen"/>
          <w:b/>
          <w:bCs/>
        </w:rPr>
        <w:footnoteReference w:id="33"/>
      </w:r>
      <w:r>
        <w:t xml:space="preserve">. The </w:t>
      </w:r>
      <w:r w:rsidRPr="00FA0E27">
        <w:t xml:space="preserve">importance of SOC sequestration in arable soils on climate change mitigation and food security has been recognized </w:t>
      </w:r>
      <w:r>
        <w:t xml:space="preserve">by the initiative </w:t>
      </w:r>
      <w:r w:rsidRPr="00FA0E27">
        <w:t xml:space="preserve">‘4 per mille </w:t>
      </w:r>
      <w:r>
        <w:t xml:space="preserve">- </w:t>
      </w:r>
      <w:r w:rsidRPr="00FA0E27">
        <w:t>Soils for Food Security and Climate’</w:t>
      </w:r>
      <w:r>
        <w:t xml:space="preserve">. It was initiated by the </w:t>
      </w:r>
      <w:r w:rsidRPr="00FA0E27">
        <w:t>French Ministry of Agriculture</w:t>
      </w:r>
      <w:r>
        <w:t>, and launched</w:t>
      </w:r>
      <w:r w:rsidRPr="00292FAA">
        <w:t xml:space="preserve"> </w:t>
      </w:r>
      <w:r>
        <w:t>during the UNFCCC Conference of the Parties in 2015 (COP 21)</w:t>
      </w:r>
      <w:r w:rsidRPr="00FA0E27">
        <w:t xml:space="preserve">. </w:t>
      </w:r>
      <w:r>
        <w:t xml:space="preserve">Many European countries are partners of the initiative. </w:t>
      </w:r>
      <w:r w:rsidRPr="00FA0E27">
        <w:t xml:space="preserve">The </w:t>
      </w:r>
      <w:r>
        <w:t xml:space="preserve">rationale is </w:t>
      </w:r>
      <w:r w:rsidRPr="00FA0E27">
        <w:t>that an annual growth rate of 4‰ in SOC stocks in the top 40</w:t>
      </w:r>
      <w:r>
        <w:t xml:space="preserve"> </w:t>
      </w:r>
      <w:r w:rsidRPr="00FA0E27">
        <w:t>cm of all soils over a time frame of 20 years would equal the annual anthropogenic C emissions of 8.9Gt, and therefore halt the annual atmospheric CO</w:t>
      </w:r>
      <w:r w:rsidRPr="00BD6822">
        <w:rPr>
          <w:vertAlign w:val="subscript"/>
        </w:rPr>
        <w:t>2</w:t>
      </w:r>
      <w:r w:rsidRPr="00FA0E27">
        <w:t xml:space="preserve"> increase</w:t>
      </w:r>
      <w:r>
        <w:t xml:space="preserve"> from the agricultural sector</w:t>
      </w:r>
      <w:r w:rsidRPr="00FA0E27">
        <w:t>. Despite comments on the overestimated CO</w:t>
      </w:r>
      <w:r w:rsidRPr="00BD6822">
        <w:rPr>
          <w:vertAlign w:val="subscript"/>
        </w:rPr>
        <w:t>2</w:t>
      </w:r>
      <w:r w:rsidRPr="00FA0E27">
        <w:t xml:space="preserve"> sequestration potential, in view of the need for sequestering N and P in stored SOC (e.g. Van Groenigen et al., 2017, De Vries, 2018), it is an important initiative that stimulates climate smart agriculture, focusing on SOC sequestration. </w:t>
      </w:r>
    </w:p>
    <w:p w14:paraId="05F0A4E7" w14:textId="77777777" w:rsidR="00885BE2" w:rsidRDefault="00885BE2" w:rsidP="00E40DF8">
      <w:pPr>
        <w:pStyle w:val="EEAbullet0"/>
        <w:numPr>
          <w:ilvl w:val="0"/>
          <w:numId w:val="0"/>
        </w:numPr>
        <w:ind w:left="397"/>
      </w:pPr>
    </w:p>
    <w:p w14:paraId="7BF2E577" w14:textId="77777777" w:rsidR="00885BE2" w:rsidRDefault="00885BE2" w:rsidP="00E40DF8">
      <w:pPr>
        <w:pStyle w:val="EEAbullet0"/>
      </w:pPr>
      <w:r w:rsidRPr="00AC4373">
        <w:t>The</w:t>
      </w:r>
      <w:r>
        <w:t xml:space="preserve"> </w:t>
      </w:r>
      <w:r w:rsidRPr="00463668">
        <w:rPr>
          <w:b/>
          <w:bCs/>
        </w:rPr>
        <w:t>UN Sustainable Development Goals (SDG)</w:t>
      </w:r>
      <w:r>
        <w:t xml:space="preserve"> were agreed in 2015 as </w:t>
      </w:r>
      <w:r w:rsidRPr="00A9763C">
        <w:t>part of the UN 2030 Agenda for Sustainable Development</w:t>
      </w:r>
      <w:r>
        <w:t>. The European Union</w:t>
      </w:r>
      <w:r w:rsidRPr="00BF48DD">
        <w:t xml:space="preserve"> committed to implement the </w:t>
      </w:r>
      <w:r>
        <w:t xml:space="preserve">SDG. Based on </w:t>
      </w:r>
      <w:r w:rsidRPr="001427DB">
        <w:t xml:space="preserve">COM(2016) 739 final "Next steps for a sustainable European future", </w:t>
      </w:r>
      <w:r>
        <w:t xml:space="preserve">the European Commission </w:t>
      </w:r>
      <w:r w:rsidRPr="001427DB">
        <w:t xml:space="preserve">has developed </w:t>
      </w:r>
      <w:r>
        <w:t>in 2017 a reference indicator framework</w:t>
      </w:r>
      <w:r>
        <w:rPr>
          <w:rStyle w:val="Funotenzeichen"/>
        </w:rPr>
        <w:footnoteReference w:id="34"/>
      </w:r>
      <w:r>
        <w:t xml:space="preserve"> to monitor the SDGs in the EU, and since then, reports annually on the progress of SDG implementation</w:t>
      </w:r>
      <w:r w:rsidRPr="00FE1324">
        <w:t xml:space="preserve"> in the context of EU policies</w:t>
      </w:r>
      <w:r>
        <w:t>.</w:t>
      </w:r>
      <w:r w:rsidRPr="008B09B9">
        <w:t xml:space="preserve"> </w:t>
      </w:r>
      <w:r>
        <w:t>Of the 100 selected indicators (which do</w:t>
      </w:r>
      <w:r w:rsidRPr="00FE1324">
        <w:t xml:space="preserve"> not cover all aspects of the </w:t>
      </w:r>
      <w:r>
        <w:t xml:space="preserve">global </w:t>
      </w:r>
      <w:r w:rsidRPr="00FE1324">
        <w:t>SDGs</w:t>
      </w:r>
      <w:r>
        <w:t>), 36 are m</w:t>
      </w:r>
      <w:r w:rsidRPr="008B09B9">
        <w:t>ulti-purpose</w:t>
      </w:r>
      <w:r>
        <w:t xml:space="preserve"> (are used for more than </w:t>
      </w:r>
      <w:r w:rsidRPr="008B09B9">
        <w:t>one goal</w:t>
      </w:r>
      <w:r>
        <w:t>). In the following, the methodologies of the most important global SDG indicators with regard to soils are described:</w:t>
      </w:r>
    </w:p>
    <w:p w14:paraId="241EF8DB" w14:textId="74D47357" w:rsidR="0025389E" w:rsidRPr="0025389E" w:rsidRDefault="00F40E20" w:rsidP="00CC6901">
      <w:pPr>
        <w:pStyle w:val="EEAbullet1"/>
        <w:spacing w:before="120"/>
      </w:pPr>
      <w:r>
        <w:rPr>
          <w:b/>
          <w:bCs/>
        </w:rPr>
        <w:t>I</w:t>
      </w:r>
      <w:r w:rsidR="00E8468A" w:rsidRPr="006F7C24">
        <w:rPr>
          <w:b/>
          <w:bCs/>
        </w:rPr>
        <w:t>ndicator 2.4.1 “Proportion of agricultural area under productive and sustainable agriculture”</w:t>
      </w:r>
      <w:r w:rsidR="00E8468A">
        <w:t xml:space="preserve"> </w:t>
      </w:r>
      <w:r w:rsidR="00912B7D">
        <w:t xml:space="preserve">of </w:t>
      </w:r>
      <w:r w:rsidR="00885BE2" w:rsidRPr="00463668">
        <w:rPr>
          <w:b/>
          <w:bCs/>
        </w:rPr>
        <w:t>SDG 2.4</w:t>
      </w:r>
      <w:r w:rsidR="00912B7D">
        <w:t xml:space="preserve">, focussing </w:t>
      </w:r>
      <w:r w:rsidR="00885BE2">
        <w:t xml:space="preserve">on sustainable food production systems and resilient agricultural practices. </w:t>
      </w:r>
      <w:r w:rsidR="00451811">
        <w:t xml:space="preserve">Its </w:t>
      </w:r>
      <w:r w:rsidR="00885BE2">
        <w:t xml:space="preserve">scope includes </w:t>
      </w:r>
      <w:r w:rsidR="00885BE2" w:rsidRPr="009F76A5">
        <w:t>ecosystem maintenance</w:t>
      </w:r>
      <w:r w:rsidR="00885BE2">
        <w:t xml:space="preserve"> and soils, among others. At global level, it is doubted whether this indicator can be monitored with </w:t>
      </w:r>
      <w:r w:rsidR="00885BE2" w:rsidRPr="00051627">
        <w:t>remote sensing, soil and water sampling</w:t>
      </w:r>
      <w:r w:rsidR="00885BE2">
        <w:t xml:space="preserve">. Therefore, FAO (2018) recommends farm surveys. In Europe, farmers may be capable to </w:t>
      </w:r>
      <w:r w:rsidR="00885BE2" w:rsidRPr="00DD2EA9">
        <w:t>assess the environmental impact of their practices</w:t>
      </w:r>
      <w:r w:rsidR="00885BE2">
        <w:t xml:space="preserve">. One of the 11 </w:t>
      </w:r>
      <w:r w:rsidR="00885BE2" w:rsidRPr="001F1195">
        <w:rPr>
          <w:b/>
          <w:bCs/>
        </w:rPr>
        <w:t>sub-indicators</w:t>
      </w:r>
      <w:r w:rsidR="00885BE2">
        <w:t xml:space="preserve"> refers to soil health: </w:t>
      </w:r>
      <w:r w:rsidR="00885BE2" w:rsidRPr="001F1195">
        <w:rPr>
          <w:b/>
          <w:bCs/>
        </w:rPr>
        <w:t>“Prevalence of soil degradation”.</w:t>
      </w:r>
      <w:r w:rsidR="00885BE2">
        <w:t xml:space="preserve"> This sub-indicator follows FAO and ITPS (2015), and proposes the observation of 10 soil threats. The soil threats are then reduced to </w:t>
      </w:r>
      <w:r w:rsidR="00885BE2" w:rsidRPr="00451811">
        <w:rPr>
          <w:b/>
          <w:bCs/>
          <w:u w:val="single"/>
        </w:rPr>
        <w:t>4 indicators</w:t>
      </w:r>
      <w:r w:rsidR="0025389E">
        <w:rPr>
          <w:b/>
          <w:bCs/>
        </w:rPr>
        <w:t>:</w:t>
      </w:r>
    </w:p>
    <w:p w14:paraId="42AE512D" w14:textId="32AED6DE" w:rsidR="0025389E" w:rsidRDefault="00E12CC7" w:rsidP="008F3498">
      <w:pPr>
        <w:pStyle w:val="EEAbullet2"/>
      </w:pPr>
      <w:r w:rsidRPr="0025389E">
        <w:t>soil erosion</w:t>
      </w:r>
    </w:p>
    <w:p w14:paraId="529FE63E" w14:textId="7875D272" w:rsidR="0025389E" w:rsidRDefault="00E12CC7" w:rsidP="008F3498">
      <w:pPr>
        <w:pStyle w:val="EEAbullet2"/>
      </w:pPr>
      <w:r w:rsidRPr="0025389E">
        <w:t>reduction in soil fertility</w:t>
      </w:r>
    </w:p>
    <w:p w14:paraId="2A2F3E71" w14:textId="5B174A69" w:rsidR="00270C30" w:rsidRDefault="00E12CC7" w:rsidP="008F3498">
      <w:pPr>
        <w:pStyle w:val="EEAbullet2"/>
      </w:pPr>
      <w:r w:rsidRPr="0025389E">
        <w:t>salinization of irrigated land</w:t>
      </w:r>
      <w:r w:rsidR="000A2479">
        <w:t>,</w:t>
      </w:r>
      <w:r w:rsidRPr="000059C1">
        <w:t xml:space="preserve"> </w:t>
      </w:r>
    </w:p>
    <w:p w14:paraId="060EF512" w14:textId="0D12ED88" w:rsidR="00270C30" w:rsidRDefault="00E12CC7" w:rsidP="008F3498">
      <w:pPr>
        <w:pStyle w:val="EEAbullet2"/>
      </w:pPr>
      <w:r w:rsidRPr="00270C30">
        <w:t>waterlogging</w:t>
      </w:r>
    </w:p>
    <w:p w14:paraId="37E41BA0" w14:textId="7232E04D" w:rsidR="00E12CC7" w:rsidRDefault="00270C30" w:rsidP="00451811">
      <w:pPr>
        <w:pStyle w:val="EEAbullet1"/>
        <w:numPr>
          <w:ilvl w:val="0"/>
          <w:numId w:val="0"/>
        </w:numPr>
        <w:tabs>
          <w:tab w:val="clear" w:pos="794"/>
        </w:tabs>
        <w:ind w:left="851"/>
      </w:pPr>
      <w:r w:rsidRPr="00270C30">
        <w:t xml:space="preserve">All indicators can </w:t>
      </w:r>
      <w:r w:rsidR="00885BE2">
        <w:t>be monitor</w:t>
      </w:r>
      <w:r w:rsidR="00E12CC7">
        <w:t xml:space="preserve">ed with farm surveys. For the </w:t>
      </w:r>
      <w:r w:rsidR="00E12CC7" w:rsidRPr="00E12CC7">
        <w:t xml:space="preserve">combined agricultural farm area affected by any of the </w:t>
      </w:r>
      <w:r w:rsidR="00E12CC7">
        <w:t xml:space="preserve">four </w:t>
      </w:r>
      <w:r w:rsidR="00E12CC7" w:rsidRPr="00E12CC7">
        <w:t>threats</w:t>
      </w:r>
      <w:r w:rsidR="00E12CC7">
        <w:t xml:space="preserve"> the targets are as follows:</w:t>
      </w:r>
    </w:p>
    <w:p w14:paraId="698980C5" w14:textId="3293158F" w:rsidR="00E12CC7" w:rsidRDefault="003C4314" w:rsidP="008F3498">
      <w:pPr>
        <w:pStyle w:val="EEAbullet20"/>
      </w:pPr>
      <w:r>
        <w:lastRenderedPageBreak/>
        <w:t>desirable</w:t>
      </w:r>
      <w:r w:rsidR="00E12CC7">
        <w:t xml:space="preserve"> target: less than 10% of area affected</w:t>
      </w:r>
    </w:p>
    <w:p w14:paraId="0E957E44" w14:textId="77777777" w:rsidR="00E12CC7" w:rsidRDefault="00E12CC7" w:rsidP="008F3498">
      <w:pPr>
        <w:pStyle w:val="EEAbullet20"/>
      </w:pPr>
      <w:r>
        <w:t>acceptable target: 10 - 50% of area affected</w:t>
      </w:r>
    </w:p>
    <w:p w14:paraId="305A053C" w14:textId="5E6A5841" w:rsidR="00885BE2" w:rsidRDefault="00E12CC7" w:rsidP="008F3498">
      <w:pPr>
        <w:pStyle w:val="EEAbullet20"/>
      </w:pPr>
      <w:r>
        <w:t>unsustainable target: more than 50% of are affected</w:t>
      </w:r>
    </w:p>
    <w:p w14:paraId="1EBB9BA6" w14:textId="77777777" w:rsidR="00885BE2" w:rsidRPr="007321A7" w:rsidRDefault="00885BE2" w:rsidP="00CC6901">
      <w:pPr>
        <w:pStyle w:val="EEAbullet1"/>
        <w:spacing w:before="120"/>
      </w:pPr>
      <w:r w:rsidRPr="00451811">
        <w:rPr>
          <w:b/>
          <w:bCs/>
        </w:rPr>
        <w:t>Indicator 15.2.1 “Progress towards sustainable forest management”</w:t>
      </w:r>
      <w:r w:rsidRPr="007321A7">
        <w:t xml:space="preserve">: currently, none of the </w:t>
      </w:r>
      <w:r>
        <w:t xml:space="preserve">UN </w:t>
      </w:r>
      <w:r w:rsidRPr="007321A7">
        <w:t>sub-indicators includes soil.</w:t>
      </w:r>
    </w:p>
    <w:p w14:paraId="54C52792" w14:textId="36F5C806" w:rsidR="008D10A4" w:rsidRPr="008D10A4" w:rsidRDefault="00885BE2" w:rsidP="00CC6901">
      <w:pPr>
        <w:pStyle w:val="EEAbullet1"/>
        <w:spacing w:before="120"/>
      </w:pPr>
      <w:r w:rsidRPr="008D10A4">
        <w:rPr>
          <w:b/>
          <w:bCs/>
        </w:rPr>
        <w:t>Indicator 15.3.1: “Proportion of land that is degraded over total land area”</w:t>
      </w:r>
      <w:r w:rsidRPr="008D10A4">
        <w:t>. The following sub-indicators are used</w:t>
      </w:r>
      <w:r w:rsidR="008D10A4" w:rsidRPr="008D10A4">
        <w:t>:</w:t>
      </w:r>
    </w:p>
    <w:p w14:paraId="5F1CA8B5" w14:textId="77777777" w:rsidR="008D10A4" w:rsidRPr="008D10A4" w:rsidRDefault="008D10A4" w:rsidP="008F3498">
      <w:pPr>
        <w:pStyle w:val="EEAbullet2"/>
      </w:pPr>
      <w:r w:rsidRPr="008D10A4">
        <w:t>Trends in land cover</w:t>
      </w:r>
    </w:p>
    <w:p w14:paraId="69811B37" w14:textId="77777777" w:rsidR="008D10A4" w:rsidRPr="008D10A4" w:rsidRDefault="008D10A4" w:rsidP="008F3498">
      <w:pPr>
        <w:pStyle w:val="EEAbullet2"/>
      </w:pPr>
      <w:r w:rsidRPr="008D10A4">
        <w:t>Land productivity</w:t>
      </w:r>
    </w:p>
    <w:p w14:paraId="18FE09AA" w14:textId="77777777" w:rsidR="008D10A4" w:rsidRPr="008D10A4" w:rsidRDefault="008D10A4" w:rsidP="008F3498">
      <w:pPr>
        <w:pStyle w:val="EEAbullet2"/>
      </w:pPr>
      <w:r w:rsidRPr="008D10A4">
        <w:t>Carbon stocks (above and below ground: currently only SOC stocks).</w:t>
      </w:r>
    </w:p>
    <w:p w14:paraId="56957DAF" w14:textId="77777777" w:rsidR="00D342EE" w:rsidRDefault="00D342EE" w:rsidP="008F3498"/>
    <w:p w14:paraId="4830AD74" w14:textId="6B4F26EF" w:rsidR="008D10A4" w:rsidRPr="008D10A4" w:rsidRDefault="008D10A4" w:rsidP="008F3498">
      <w:r w:rsidRPr="008D10A4">
        <w:t xml:space="preserve">Positive, </w:t>
      </w:r>
      <w:r w:rsidR="003C4314" w:rsidRPr="008D10A4">
        <w:t>stable,</w:t>
      </w:r>
      <w:r w:rsidRPr="008D10A4">
        <w:t xml:space="preserve"> or negative trends are monitored. It is noteworthy to mention that the One-out-all-out (1OAO) principle</w:t>
      </w:r>
      <w:r w:rsidRPr="008D10A4">
        <w:rPr>
          <w:rStyle w:val="Funotenzeichen"/>
        </w:rPr>
        <w:footnoteReference w:id="35"/>
      </w:r>
      <w:r w:rsidRPr="008D10A4">
        <w:t xml:space="preserve"> is applied, meaning that an area is </w:t>
      </w:r>
      <w:r w:rsidR="003B122A" w:rsidRPr="008D10A4">
        <w:t>con</w:t>
      </w:r>
      <w:r w:rsidR="003B122A">
        <w:t>s</w:t>
      </w:r>
      <w:r w:rsidR="003B122A" w:rsidRPr="008D10A4">
        <w:t xml:space="preserve">idered </w:t>
      </w:r>
      <w:r w:rsidRPr="008D10A4">
        <w:t xml:space="preserve">as degraded </w:t>
      </w:r>
      <w:r w:rsidR="003B122A">
        <w:t>i</w:t>
      </w:r>
      <w:r w:rsidR="003B122A" w:rsidRPr="008D10A4">
        <w:t xml:space="preserve">f </w:t>
      </w:r>
      <w:r w:rsidRPr="008D10A4">
        <w:t>only one indicator shows a negative trend.</w:t>
      </w:r>
    </w:p>
    <w:p w14:paraId="78A0E91D" w14:textId="27DC6791" w:rsidR="00F436C9" w:rsidRDefault="00F436C9" w:rsidP="00A01731">
      <w:pPr>
        <w:spacing w:before="120"/>
      </w:pPr>
      <w:r w:rsidRPr="008D10A4">
        <w:t>All EU Member States and the EU Commission committed themselves to “achieve a land degradation neutral world by 2030”. The indicator on “Land Degradation Neutrality” includes three sub-indicators, being land carbon stocks (above- and belowground), land productivity, and land cover change. EUROSTAT reports on land degradation in response to SDG 15.3 by using two soil-related indicators, being “Soil sealing index” and “Estimated soil erosion by water”.</w:t>
      </w:r>
    </w:p>
    <w:p w14:paraId="77BB80C2" w14:textId="77777777" w:rsidR="00311C3B" w:rsidRDefault="00311C3B" w:rsidP="00A01731">
      <w:pPr>
        <w:spacing w:before="120"/>
      </w:pPr>
    </w:p>
    <w:p w14:paraId="6F47929A" w14:textId="10DB3EA4" w:rsidR="00311C3B" w:rsidRPr="006445E9" w:rsidRDefault="00311C3B" w:rsidP="00311C3B">
      <w:pPr>
        <w:pStyle w:val="EEALabel"/>
      </w:pPr>
      <w:bookmarkStart w:id="59" w:name="_Ref82785138"/>
      <w:bookmarkStart w:id="60" w:name="_Toc83997500"/>
      <w:r w:rsidRPr="006445E9">
        <w:t xml:space="preserve">Table </w:t>
      </w:r>
      <w:r>
        <w:fldChar w:fldCharType="begin"/>
      </w:r>
      <w:r>
        <w:instrText xml:space="preserve"> STYLEREF 1 \s </w:instrText>
      </w:r>
      <w:r>
        <w:fldChar w:fldCharType="separate"/>
      </w:r>
      <w:r w:rsidR="0067767C">
        <w:rPr>
          <w:noProof/>
        </w:rPr>
        <w:t>1</w:t>
      </w:r>
      <w:r>
        <w:fldChar w:fldCharType="end"/>
      </w:r>
      <w:r>
        <w:noBreakHyphen/>
      </w:r>
      <w:r>
        <w:fldChar w:fldCharType="begin"/>
      </w:r>
      <w:r>
        <w:instrText xml:space="preserve"> SEQ Table \* ARABIC \s 1 </w:instrText>
      </w:r>
      <w:r>
        <w:fldChar w:fldCharType="separate"/>
      </w:r>
      <w:r w:rsidR="0067767C">
        <w:rPr>
          <w:noProof/>
        </w:rPr>
        <w:t>6</w:t>
      </w:r>
      <w:r>
        <w:fldChar w:fldCharType="end"/>
      </w:r>
      <w:bookmarkEnd w:id="59"/>
      <w:r w:rsidRPr="006445E9">
        <w:t>:</w:t>
      </w:r>
      <w:r w:rsidRPr="006445E9">
        <w:tab/>
        <w:t xml:space="preserve">Soil-related policy objectives and targets at EU- and global level (binding </w:t>
      </w:r>
      <w:r>
        <w:t>as well as</w:t>
      </w:r>
      <w:r w:rsidRPr="006445E9">
        <w:t xml:space="preserve"> incentive-based </w:t>
      </w:r>
      <w:r>
        <w:t xml:space="preserve">non-binding </w:t>
      </w:r>
      <w:r w:rsidRPr="006445E9">
        <w:t>policies and measures)</w:t>
      </w:r>
      <w:bookmarkEnd w:id="60"/>
    </w:p>
    <w:p w14:paraId="2052DBDE" w14:textId="24F41DAE" w:rsidR="002D36BA" w:rsidRDefault="002D36BA" w:rsidP="008F3498"/>
    <w:tbl>
      <w:tblPr>
        <w:tblStyle w:val="Kadertabel1"/>
        <w:tblW w:w="949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312"/>
        <w:gridCol w:w="248"/>
        <w:gridCol w:w="7938"/>
      </w:tblGrid>
      <w:tr w:rsidR="00885BE2" w:rsidRPr="004612EB" w14:paraId="0D67A044" w14:textId="77777777" w:rsidTr="006757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1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auto"/>
            <w:vAlign w:val="center"/>
          </w:tcPr>
          <w:p w14:paraId="000A4900" w14:textId="77777777" w:rsidR="00885BE2" w:rsidRPr="004612EB" w:rsidRDefault="00885BE2" w:rsidP="00885BE2">
            <w:pPr>
              <w:pStyle w:val="EEAtableleftbold"/>
            </w:pPr>
            <w:r w:rsidRPr="004612EB">
              <w:t>Policy Document</w:t>
            </w:r>
          </w:p>
        </w:tc>
        <w:tc>
          <w:tcPr>
            <w:tcW w:w="24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auto"/>
            <w:vAlign w:val="center"/>
          </w:tcPr>
          <w:p w14:paraId="259F2D8A" w14:textId="77777777" w:rsidR="00885BE2" w:rsidRPr="00183516" w:rsidRDefault="00885BE2" w:rsidP="00885BE2">
            <w:pPr>
              <w:pStyle w:val="EEAtableleftbold"/>
              <w:cnfStyle w:val="100000000000" w:firstRow="1" w:lastRow="0" w:firstColumn="0" w:lastColumn="0" w:oddVBand="0" w:evenVBand="0" w:oddHBand="0" w:evenHBand="0" w:firstRowFirstColumn="0" w:firstRowLastColumn="0" w:lastRowFirstColumn="0" w:lastRowLastColumn="0"/>
            </w:pPr>
          </w:p>
        </w:tc>
        <w:tc>
          <w:tcPr>
            <w:tcW w:w="793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pct10" w:color="auto" w:fill="auto"/>
            <w:vAlign w:val="center"/>
          </w:tcPr>
          <w:p w14:paraId="66A2C4E0" w14:textId="77777777" w:rsidR="00885BE2" w:rsidRPr="00183516" w:rsidRDefault="00885BE2" w:rsidP="00885BE2">
            <w:pPr>
              <w:pStyle w:val="EEAtableleftbold"/>
              <w:cnfStyle w:val="100000000000" w:firstRow="1" w:lastRow="0" w:firstColumn="0" w:lastColumn="0" w:oddVBand="0" w:evenVBand="0" w:oddHBand="0" w:evenHBand="0" w:firstRowFirstColumn="0" w:firstRowLastColumn="0" w:lastRowFirstColumn="0" w:lastRowLastColumn="0"/>
            </w:pPr>
            <w:r w:rsidRPr="00183516">
              <w:t xml:space="preserve">   Relevant policy objectives or targets</w:t>
            </w:r>
          </w:p>
        </w:tc>
      </w:tr>
      <w:tr w:rsidR="00885BE2" w:rsidRPr="007E303F" w14:paraId="0330679E"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5B7C10D7" w14:textId="4AFB59A9" w:rsidR="00885BE2" w:rsidRPr="007E303F" w:rsidRDefault="00885BE2" w:rsidP="00885BE2">
            <w:pPr>
              <w:pStyle w:val="EEAtableleft"/>
            </w:pPr>
            <w:r w:rsidRPr="007E303F">
              <w:t>Water Framework Directive</w:t>
            </w:r>
            <w:r w:rsidR="00523136">
              <w:t xml:space="preserve"> (WFD)</w:t>
            </w:r>
            <w:r w:rsidRPr="007E303F">
              <w:br/>
              <w:t>(2000/60/EC)</w:t>
            </w:r>
          </w:p>
        </w:tc>
        <w:tc>
          <w:tcPr>
            <w:tcW w:w="248" w:type="dxa"/>
            <w:shd w:val="clear" w:color="auto" w:fill="FFFFFF" w:themeFill="background1"/>
            <w:vAlign w:val="center"/>
          </w:tcPr>
          <w:p w14:paraId="419EF487"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rPr>
                <w:b/>
              </w:rPr>
            </w:pPr>
          </w:p>
        </w:tc>
        <w:tc>
          <w:tcPr>
            <w:tcW w:w="7938" w:type="dxa"/>
            <w:shd w:val="clear" w:color="auto" w:fill="FFFFFF" w:themeFill="background1"/>
            <w:vAlign w:val="center"/>
          </w:tcPr>
          <w:p w14:paraId="0A17B284" w14:textId="77777777" w:rsidR="00885BE2" w:rsidRPr="007E303F" w:rsidRDefault="00885BE2" w:rsidP="00885BE2">
            <w:pPr>
              <w:pStyle w:val="EEAtabbull"/>
              <w:spacing w:before="100" w:beforeAutospacing="1" w:after="100" w:afterAutospacing="1"/>
              <w:cnfStyle w:val="000000000000" w:firstRow="0" w:lastRow="0" w:firstColumn="0" w:lastColumn="0" w:oddVBand="0" w:evenVBand="0" w:oddHBand="0" w:evenHBand="0" w:firstRowFirstColumn="0" w:firstRowLastColumn="0" w:lastRowFirstColumn="0" w:lastRowLastColumn="0"/>
            </w:pPr>
            <w:r w:rsidRPr="007E303F">
              <w:t>Member States to produce River Basin Management Plans, requiring the identification of point sources and their impacts.</w:t>
            </w:r>
          </w:p>
          <w:p w14:paraId="4A2832C4" w14:textId="77777777" w:rsidR="00885BE2" w:rsidRPr="007E303F" w:rsidRDefault="00885BE2" w:rsidP="00885BE2">
            <w:pPr>
              <w:pStyle w:val="EEAtabbull"/>
              <w:spacing w:before="0" w:after="0"/>
              <w:cnfStyle w:val="000000000000" w:firstRow="0" w:lastRow="0" w:firstColumn="0" w:lastColumn="0" w:oddVBand="0" w:evenVBand="0" w:oddHBand="0" w:evenHBand="0" w:firstRowFirstColumn="0" w:firstRowLastColumn="0" w:lastRowFirstColumn="0" w:lastRowLastColumn="0"/>
            </w:pPr>
            <w:r w:rsidRPr="007E303F">
              <w:t>Member States to establish programme of measures and implement ‘basic’ measures, including among others adapted agricultural production schemes to reduce nitrogen input on agricultural soils and as a consequence connected water bodies.</w:t>
            </w:r>
          </w:p>
        </w:tc>
      </w:tr>
      <w:tr w:rsidR="00885BE2" w:rsidRPr="004612EB" w14:paraId="33845479"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7303C6C7" w14:textId="77777777" w:rsidR="00885BE2" w:rsidRPr="00B86074" w:rsidRDefault="00885BE2" w:rsidP="00885BE2">
            <w:pPr>
              <w:pStyle w:val="EEAtableleft"/>
            </w:pPr>
            <w:r w:rsidRPr="00B86074">
              <w:t>Road Map for a Resource Efficient Europe</w:t>
            </w:r>
            <w:r>
              <w:br/>
            </w:r>
            <w:r w:rsidRPr="000A35B8">
              <w:t>(COM(2011) 571)</w:t>
            </w:r>
          </w:p>
        </w:tc>
        <w:tc>
          <w:tcPr>
            <w:tcW w:w="248" w:type="dxa"/>
            <w:shd w:val="clear" w:color="auto" w:fill="FFFFFF" w:themeFill="background1"/>
            <w:vAlign w:val="center"/>
          </w:tcPr>
          <w:p w14:paraId="72EDAAD7" w14:textId="77777777" w:rsidR="00885BE2" w:rsidRPr="00B86074"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22BFF644" w14:textId="668E7C1F"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Soil erosion is reduced by 2050</w:t>
            </w:r>
            <w:r w:rsidR="00F57659">
              <w:t>.</w:t>
            </w:r>
          </w:p>
          <w:p w14:paraId="3957416E" w14:textId="62464912"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Increase of soil organic matter between 2011 and 2050</w:t>
            </w:r>
            <w:r w:rsidR="00F57659">
              <w:t>.</w:t>
            </w:r>
          </w:p>
          <w:p w14:paraId="6375F1AD" w14:textId="3D170239"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By 2020 remedial work on contaminated sites well underway</w:t>
            </w:r>
            <w:r w:rsidR="00F57659">
              <w:t>.</w:t>
            </w:r>
          </w:p>
          <w:p w14:paraId="3EC55616" w14:textId="1181FC35"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Achieve no net land take by 2050</w:t>
            </w:r>
            <w:r w:rsidR="00F57659">
              <w:t>.</w:t>
            </w:r>
          </w:p>
        </w:tc>
      </w:tr>
      <w:tr w:rsidR="00885BE2" w:rsidRPr="007E303F" w14:paraId="5A8DB6A5"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76A96E8F" w14:textId="77777777" w:rsidR="00885BE2" w:rsidRPr="007E303F" w:rsidRDefault="00885BE2" w:rsidP="00885BE2">
            <w:pPr>
              <w:pStyle w:val="EEAtableleft"/>
            </w:pPr>
            <w:r>
              <w:t xml:space="preserve">National </w:t>
            </w:r>
            <w:r w:rsidRPr="007E303F">
              <w:t>Emissions Ceilings Directive</w:t>
            </w:r>
            <w:r w:rsidRPr="007E303F">
              <w:br/>
              <w:t>(EU) 2016/2284</w:t>
            </w:r>
            <w:r>
              <w:rPr>
                <w:rStyle w:val="Funotenzeichen"/>
              </w:rPr>
              <w:footnoteReference w:id="36"/>
            </w:r>
          </w:p>
        </w:tc>
        <w:tc>
          <w:tcPr>
            <w:tcW w:w="248" w:type="dxa"/>
            <w:shd w:val="clear" w:color="auto" w:fill="FFFFFF" w:themeFill="background1"/>
            <w:vAlign w:val="center"/>
          </w:tcPr>
          <w:p w14:paraId="5D036486"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rPr>
                <w:b/>
              </w:rPr>
            </w:pPr>
          </w:p>
        </w:tc>
        <w:tc>
          <w:tcPr>
            <w:tcW w:w="7938" w:type="dxa"/>
            <w:shd w:val="clear" w:color="auto" w:fill="FFFFFF" w:themeFill="background1"/>
            <w:vAlign w:val="center"/>
          </w:tcPr>
          <w:p w14:paraId="66345D31" w14:textId="22DB5C7A" w:rsidR="00885BE2"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A7638B">
              <w:t>Air pollution and its impacts on ecosystems and biodiversity are further reduced with the long-term aim of not exceeding critical loads and levels</w:t>
            </w:r>
            <w:r>
              <w:t xml:space="preserve"> (based on 7</w:t>
            </w:r>
            <w:r w:rsidRPr="00A7638B">
              <w:rPr>
                <w:vertAlign w:val="superscript"/>
              </w:rPr>
              <w:t>th</w:t>
            </w:r>
            <w:r>
              <w:t xml:space="preserve"> EAP)</w:t>
            </w:r>
            <w:r w:rsidR="00F57659">
              <w:t>.</w:t>
            </w:r>
          </w:p>
          <w:p w14:paraId="01E80BF4" w14:textId="2385C403" w:rsidR="00885BE2" w:rsidRPr="00346D5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t>To r</w:t>
            </w:r>
            <w:r w:rsidRPr="008B1C6E">
              <w:t>educ</w:t>
            </w:r>
            <w:r>
              <w:t>e</w:t>
            </w:r>
            <w:r w:rsidRPr="008B1C6E">
              <w:t xml:space="preserve"> the ecosystem area subjected to eutrophication by 35% by 2030, compared with 2005</w:t>
            </w:r>
            <w:r>
              <w:t xml:space="preserve"> </w:t>
            </w:r>
            <w:r w:rsidRPr="00346D5F">
              <w:t>(Clean Air Programme for Europe</w:t>
            </w:r>
            <w:r w:rsidRPr="00346D5F">
              <w:rPr>
                <w:rStyle w:val="Funotenzeichen"/>
              </w:rPr>
              <w:footnoteReference w:id="37"/>
            </w:r>
            <w:r>
              <w:t>)</w:t>
            </w:r>
            <w:r w:rsidR="00F57659">
              <w:t>.</w:t>
            </w:r>
          </w:p>
          <w:p w14:paraId="3E1F3960"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To achieve national emission reduction targets for anthropogenic emissions.</w:t>
            </w:r>
          </w:p>
          <w:p w14:paraId="4EE8F862"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Member States to assess the impacts of air pollutants to sensitive receiving environments (natural and semi-natural habitats and forest ecosystem).</w:t>
            </w:r>
          </w:p>
        </w:tc>
      </w:tr>
      <w:tr w:rsidR="00885BE2" w:rsidRPr="004612EB" w14:paraId="29E35D24"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09A4B921" w14:textId="77777777" w:rsidR="00885BE2" w:rsidRPr="007E303F" w:rsidRDefault="00885BE2" w:rsidP="00885BE2">
            <w:pPr>
              <w:pStyle w:val="EEAtableleft"/>
            </w:pPr>
            <w:r w:rsidRPr="007E303F">
              <w:lastRenderedPageBreak/>
              <w:t>LULUCF Regulation</w:t>
            </w:r>
            <w:r w:rsidRPr="007E303F">
              <w:br/>
              <w:t>(EU) 2018/841</w:t>
            </w:r>
          </w:p>
        </w:tc>
        <w:tc>
          <w:tcPr>
            <w:tcW w:w="248" w:type="dxa"/>
            <w:shd w:val="clear" w:color="auto" w:fill="FFFFFF" w:themeFill="background1"/>
            <w:vAlign w:val="center"/>
          </w:tcPr>
          <w:p w14:paraId="0F5ECAA8"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rPr>
                <w:b/>
              </w:rPr>
            </w:pPr>
          </w:p>
        </w:tc>
        <w:tc>
          <w:tcPr>
            <w:tcW w:w="7938" w:type="dxa"/>
            <w:shd w:val="clear" w:color="auto" w:fill="FFFFFF" w:themeFill="background1"/>
            <w:vAlign w:val="center"/>
          </w:tcPr>
          <w:p w14:paraId="42915431"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To ensure the contribution of the LULUCF sector to the achievement of the Union’s emission reduction target of at least 40 % and to the long-term goal of the Paris Agreement in the period 2021 to 2030.</w:t>
            </w:r>
          </w:p>
          <w:p w14:paraId="5C57A860" w14:textId="0C7D0516"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Member States have binding commitments to compensate CO</w:t>
            </w:r>
            <w:r w:rsidRPr="007E303F">
              <w:rPr>
                <w:vertAlign w:val="subscript"/>
              </w:rPr>
              <w:t>2</w:t>
            </w:r>
            <w:r w:rsidRPr="007E303F">
              <w:t xml:space="preserve"> emissions from the land use sector; land management practices which increase soil organic carbon stocks are accountable compensation measures</w:t>
            </w:r>
            <w:r w:rsidR="00F57659">
              <w:t>.</w:t>
            </w:r>
          </w:p>
        </w:tc>
      </w:tr>
      <w:tr w:rsidR="00885BE2" w:rsidRPr="004612EB" w14:paraId="68D429EC"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127907FF" w14:textId="77777777" w:rsidR="00885BE2" w:rsidRPr="004612EB" w:rsidRDefault="00885BE2" w:rsidP="00885BE2">
            <w:pPr>
              <w:pStyle w:val="EEAtableleft"/>
            </w:pPr>
            <w:r>
              <w:t>Common Agricultural Programme (2021-2027)</w:t>
            </w:r>
            <w:r>
              <w:br/>
            </w:r>
            <w:r w:rsidRPr="00240663">
              <w:t>Regulation (EU) No 1306/2013</w:t>
            </w:r>
          </w:p>
        </w:tc>
        <w:tc>
          <w:tcPr>
            <w:tcW w:w="248" w:type="dxa"/>
            <w:shd w:val="clear" w:color="auto" w:fill="FFFFFF" w:themeFill="background1"/>
            <w:vAlign w:val="center"/>
          </w:tcPr>
          <w:p w14:paraId="483473EA" w14:textId="77777777" w:rsidR="00885BE2" w:rsidRPr="00D131A9" w:rsidRDefault="00885BE2" w:rsidP="00885BE2">
            <w:pPr>
              <w:pStyle w:val="EEAtableleft"/>
              <w:cnfStyle w:val="000000000000" w:firstRow="0" w:lastRow="0" w:firstColumn="0" w:lastColumn="0" w:oddVBand="0" w:evenVBand="0" w:oddHBand="0" w:evenHBand="0" w:firstRowFirstColumn="0" w:firstRowLastColumn="0" w:lastRowFirstColumn="0" w:lastRowLastColumn="0"/>
              <w:rPr>
                <w:b/>
              </w:rPr>
            </w:pPr>
          </w:p>
        </w:tc>
        <w:tc>
          <w:tcPr>
            <w:tcW w:w="7938" w:type="dxa"/>
            <w:shd w:val="clear" w:color="auto" w:fill="FFFFFF" w:themeFill="background1"/>
            <w:vAlign w:val="center"/>
          </w:tcPr>
          <w:p w14:paraId="1F4FAD47" w14:textId="669FAA45"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 xml:space="preserve">CAP post-2020: continues to promote practices beneficial for the climate and the environment; introduces </w:t>
            </w:r>
            <w:r w:rsidR="003C4314" w:rsidRPr="00B021DF">
              <w:t>eco</w:t>
            </w:r>
            <w:r w:rsidR="003C4314">
              <w:t>-</w:t>
            </w:r>
            <w:r w:rsidR="003C4314" w:rsidRPr="00B021DF">
              <w:t>schemes</w:t>
            </w:r>
            <w:r w:rsidRPr="00B021DF">
              <w:t xml:space="preserve"> for additional measures. Impact indicators indicate the increase in soil carbon, reduction in soil erosion and nutrient (N) loss; a result indicator covers practices targeted to improve soils</w:t>
            </w:r>
            <w:r w:rsidR="00F57659">
              <w:t>.</w:t>
            </w:r>
          </w:p>
          <w:p w14:paraId="4EB74B64" w14:textId="60385CCB"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GAEC as conditional standards remain valid in the future CAP: GAEC in support of soil protection and quality: GAEC 6: Tillage management; GAEC 7 No bare soil; GAEC 8: Crop rotation</w:t>
            </w:r>
            <w:r w:rsidR="00F57659">
              <w:t>.</w:t>
            </w:r>
          </w:p>
        </w:tc>
      </w:tr>
      <w:tr w:rsidR="00885BE2" w:rsidRPr="004612EB" w14:paraId="2A86F44E"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2E592079" w14:textId="77777777" w:rsidR="00885BE2" w:rsidRPr="007E303F" w:rsidRDefault="00885BE2" w:rsidP="00885BE2">
            <w:pPr>
              <w:pStyle w:val="EEAtableleft"/>
            </w:pPr>
            <w:r w:rsidRPr="007E303F">
              <w:t>8</w:t>
            </w:r>
            <w:r w:rsidRPr="007E303F">
              <w:rPr>
                <w:vertAlign w:val="superscript"/>
              </w:rPr>
              <w:t>th</w:t>
            </w:r>
            <w:r w:rsidRPr="007E303F">
              <w:t xml:space="preserve"> Environment Action Programme 2030</w:t>
            </w:r>
            <w:r w:rsidRPr="007E303F">
              <w:br/>
              <w:t>(COM(2020) 652 final)</w:t>
            </w:r>
          </w:p>
        </w:tc>
        <w:tc>
          <w:tcPr>
            <w:tcW w:w="248" w:type="dxa"/>
            <w:shd w:val="clear" w:color="auto" w:fill="FFFFFF" w:themeFill="background1"/>
            <w:vAlign w:val="center"/>
          </w:tcPr>
          <w:p w14:paraId="2C3F7E5A"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78E6ED03" w14:textId="77777777" w:rsidR="00885BE2"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Protecting, preserving and restoring biodiversity and enhancing natural capital, notably air, water, soil, and forest, freshwater, wetland and marine ecosystems.</w:t>
            </w:r>
          </w:p>
          <w:p w14:paraId="4E1F86E6" w14:textId="10CBAB8B"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t>Umbrella programme</w:t>
            </w:r>
            <w:r>
              <w:rPr>
                <w:rStyle w:val="Funotenzeichen"/>
              </w:rPr>
              <w:footnoteReference w:id="38"/>
            </w:r>
            <w:r>
              <w:t xml:space="preserve"> against </w:t>
            </w:r>
            <w:r w:rsidRPr="00EF0358">
              <w:t xml:space="preserve">biodiversity loss and ecosystem services degradation, climate change and its impacts, and unsustainable use of resources, </w:t>
            </w:r>
            <w:r w:rsidR="003C4314" w:rsidRPr="00EF0358">
              <w:t>pollution,</w:t>
            </w:r>
            <w:r w:rsidRPr="00EF0358">
              <w:t xml:space="preserve"> and associated risks to human health</w:t>
            </w:r>
            <w:r w:rsidR="00F57659">
              <w:t>.</w:t>
            </w:r>
          </w:p>
        </w:tc>
      </w:tr>
      <w:tr w:rsidR="00885BE2" w:rsidRPr="007E303F" w14:paraId="688C9CD5"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16572A82" w14:textId="77777777" w:rsidR="00885BE2" w:rsidRPr="007E303F" w:rsidRDefault="00885BE2" w:rsidP="00885BE2">
            <w:pPr>
              <w:pStyle w:val="EEAtableleft"/>
            </w:pPr>
            <w:r w:rsidRPr="007E303F">
              <w:t>Biodiversity Strategy to 2030</w:t>
            </w:r>
            <w:r w:rsidRPr="007E303F">
              <w:br/>
              <w:t>COM(2020) 380 final</w:t>
            </w:r>
          </w:p>
        </w:tc>
        <w:tc>
          <w:tcPr>
            <w:tcW w:w="248" w:type="dxa"/>
            <w:shd w:val="clear" w:color="auto" w:fill="FFFFFF" w:themeFill="background1"/>
            <w:vAlign w:val="center"/>
          </w:tcPr>
          <w:p w14:paraId="29066C5C"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7677C28F" w14:textId="200D7ABA"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Legally protect a minimum of 30% of the EU’s land area</w:t>
            </w:r>
            <w:r w:rsidR="00F57659">
              <w:t>.</w:t>
            </w:r>
          </w:p>
          <w:p w14:paraId="6B6FF08B"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At least 25% of the EU’s agricultural land must be organically farmed by 2030.</w:t>
            </w:r>
          </w:p>
          <w:p w14:paraId="406BE36E"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At least 10% of agricultural area is under high-diversity landscape features.</w:t>
            </w:r>
          </w:p>
          <w:p w14:paraId="0600D233"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The risk and use of chemical pesticides is reduced by 50% and the use of more hazardous pesticides is reduced by 50%.</w:t>
            </w:r>
          </w:p>
        </w:tc>
      </w:tr>
      <w:tr w:rsidR="00885BE2" w:rsidRPr="004612EB" w14:paraId="6F229F6D"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75697AF5" w14:textId="77777777" w:rsidR="00885BE2" w:rsidRPr="007E303F" w:rsidRDefault="00885BE2" w:rsidP="00885BE2">
            <w:pPr>
              <w:pStyle w:val="EEAtableleft"/>
            </w:pPr>
            <w:r w:rsidRPr="007E303F">
              <w:t>Farm to Fork strategy</w:t>
            </w:r>
            <w:r w:rsidRPr="007E303F">
              <w:br/>
              <w:t>COM(2020) 381 final</w:t>
            </w:r>
          </w:p>
        </w:tc>
        <w:tc>
          <w:tcPr>
            <w:tcW w:w="248" w:type="dxa"/>
            <w:shd w:val="clear" w:color="auto" w:fill="FFFFFF" w:themeFill="background1"/>
            <w:vAlign w:val="center"/>
          </w:tcPr>
          <w:p w14:paraId="6A9EF233"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6EBE8FA0" w14:textId="75CBFF8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To reduce the overall use and risk of chemical pesticides by 50% and the use of more hazardous pesticides by 50% by 2030.</w:t>
            </w:r>
          </w:p>
          <w:p w14:paraId="1F98EC0E" w14:textId="7C7319FD"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To reduce the use of fertilisers by 2030 by at least 20%</w:t>
            </w:r>
            <w:r w:rsidR="00F57659">
              <w:t>.</w:t>
            </w:r>
          </w:p>
          <w:p w14:paraId="48A4A389"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At least 25% of the EU’s agricultural land must be organically farmed by 2030.</w:t>
            </w:r>
          </w:p>
        </w:tc>
      </w:tr>
      <w:tr w:rsidR="00885BE2" w:rsidRPr="004612EB" w14:paraId="65D7911C"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1E4AFE94" w14:textId="77777777" w:rsidR="00885BE2" w:rsidRPr="004612EB" w:rsidRDefault="00885BE2" w:rsidP="00885BE2">
            <w:pPr>
              <w:pStyle w:val="EEAtableleft"/>
            </w:pPr>
            <w:r w:rsidRPr="00FC61BB">
              <w:t>Zero Pollution Action Plan for Air</w:t>
            </w:r>
            <w:r>
              <w:t>,</w:t>
            </w:r>
            <w:r w:rsidRPr="00FC61BB">
              <w:t xml:space="preserve"> Soil and Water</w:t>
            </w:r>
            <w:r>
              <w:br/>
              <w:t>(in preparation)</w:t>
            </w:r>
          </w:p>
        </w:tc>
        <w:tc>
          <w:tcPr>
            <w:tcW w:w="248" w:type="dxa"/>
            <w:shd w:val="clear" w:color="auto" w:fill="FFFFFF" w:themeFill="background1"/>
            <w:vAlign w:val="center"/>
          </w:tcPr>
          <w:p w14:paraId="3E152F7C" w14:textId="77777777" w:rsidR="00885BE2" w:rsidRPr="004612EB"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4DCB78F8" w14:textId="77777777" w:rsidR="00885BE2"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A zero-pollution ambition for a toxic free-environment, including for air, water and soil.</w:t>
            </w:r>
          </w:p>
          <w:p w14:paraId="11ECA288" w14:textId="77777777"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To better monitor, report, prevent and remedy pollution from air, water, soil, and consumer products to levels that are no longer harmful to human health and the environment.</w:t>
            </w:r>
          </w:p>
          <w:p w14:paraId="3E23E61E" w14:textId="4DD904AA"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 xml:space="preserve">To propose new legislation </w:t>
            </w:r>
            <w:r>
              <w:t>covering</w:t>
            </w:r>
            <w:r w:rsidRPr="00B021DF">
              <w:t xml:space="preserve"> significant pollution sources</w:t>
            </w:r>
            <w:r w:rsidR="00F57659">
              <w:t>, which</w:t>
            </w:r>
            <w:r w:rsidRPr="00B021DF">
              <w:t xml:space="preserve"> are not yet addressed</w:t>
            </w:r>
            <w:r>
              <w:t xml:space="preserve"> by other policies, </w:t>
            </w:r>
            <w:r w:rsidR="003C4314">
              <w:t>strategies,</w:t>
            </w:r>
            <w:r>
              <w:t xml:space="preserve"> and protocols</w:t>
            </w:r>
            <w:r w:rsidRPr="00B021DF">
              <w:t>.</w:t>
            </w:r>
          </w:p>
          <w:p w14:paraId="023FD4E9" w14:textId="77777777" w:rsidR="00885BE2" w:rsidRPr="00B021D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B021DF">
              <w:t>To facilitate remediation of soil pollution via i) a monitoring framework on the state of pollution and ii) an outlook report including a specific assessment of the evolution of human health and environmental impacts</w:t>
            </w:r>
            <w:r>
              <w:t>.</w:t>
            </w:r>
          </w:p>
        </w:tc>
      </w:tr>
      <w:tr w:rsidR="00885BE2" w:rsidRPr="004612EB" w14:paraId="0F34D05E" w14:textId="77777777" w:rsidTr="00675792">
        <w:tc>
          <w:tcPr>
            <w:cnfStyle w:val="001000000000" w:firstRow="0" w:lastRow="0" w:firstColumn="1" w:lastColumn="0" w:oddVBand="0" w:evenVBand="0" w:oddHBand="0" w:evenHBand="0" w:firstRowFirstColumn="0" w:firstRowLastColumn="0" w:lastRowFirstColumn="0" w:lastRowLastColumn="0"/>
            <w:tcW w:w="1312" w:type="dxa"/>
            <w:shd w:val="clear" w:color="auto" w:fill="FFFFFF" w:themeFill="background1"/>
            <w:vAlign w:val="center"/>
          </w:tcPr>
          <w:p w14:paraId="19E6CE4C" w14:textId="77777777" w:rsidR="00885BE2" w:rsidRPr="007E303F" w:rsidRDefault="00885BE2" w:rsidP="00885BE2">
            <w:pPr>
              <w:pStyle w:val="EEAtableleft"/>
            </w:pPr>
            <w:r w:rsidRPr="007E303F">
              <w:t>Revised Soil Thematic Strategy (in preparation 2021)</w:t>
            </w:r>
          </w:p>
        </w:tc>
        <w:tc>
          <w:tcPr>
            <w:tcW w:w="248" w:type="dxa"/>
            <w:shd w:val="clear" w:color="auto" w:fill="FFFFFF" w:themeFill="background1"/>
            <w:vAlign w:val="center"/>
          </w:tcPr>
          <w:p w14:paraId="4684EC09" w14:textId="77777777" w:rsidR="00885BE2" w:rsidRPr="007E303F" w:rsidRDefault="00885BE2" w:rsidP="00885BE2">
            <w:pPr>
              <w:pStyle w:val="EEAtableleft"/>
              <w:cnfStyle w:val="000000000000" w:firstRow="0" w:lastRow="0" w:firstColumn="0" w:lastColumn="0" w:oddVBand="0" w:evenVBand="0" w:oddHBand="0" w:evenHBand="0" w:firstRowFirstColumn="0" w:firstRowLastColumn="0" w:lastRowFirstColumn="0" w:lastRowLastColumn="0"/>
            </w:pPr>
          </w:p>
        </w:tc>
        <w:tc>
          <w:tcPr>
            <w:tcW w:w="7938" w:type="dxa"/>
            <w:shd w:val="clear" w:color="auto" w:fill="FFFFFF" w:themeFill="background1"/>
            <w:vAlign w:val="center"/>
          </w:tcPr>
          <w:p w14:paraId="745FF879" w14:textId="77777777" w:rsidR="00885BE2" w:rsidRPr="007E303F" w:rsidRDefault="00885BE2" w:rsidP="00885BE2">
            <w:pPr>
              <w:pStyle w:val="EEAtabbull"/>
              <w:numPr>
                <w:ilvl w:val="0"/>
                <w:numId w:val="0"/>
              </w:numPr>
              <w:tabs>
                <w:tab w:val="clear" w:pos="284"/>
              </w:tabs>
              <w:ind w:left="2" w:hanging="2"/>
              <w:cnfStyle w:val="000000000000" w:firstRow="0" w:lastRow="0" w:firstColumn="0" w:lastColumn="0" w:oddVBand="0" w:evenVBand="0" w:oddHBand="0" w:evenHBand="0" w:firstRowFirstColumn="0" w:firstRowLastColumn="0" w:lastRowFirstColumn="0" w:lastRowLastColumn="0"/>
            </w:pPr>
            <w:r w:rsidRPr="007E303F">
              <w:t>The revised Soil Thematic Strategy is expected to be published as an EC communication by the end of Q2 2021; it is likely to refer to or contain:</w:t>
            </w:r>
          </w:p>
          <w:p w14:paraId="20CC26AE" w14:textId="3C0CAFF0"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 xml:space="preserve">Targets and objectives of the </w:t>
            </w:r>
            <w:r>
              <w:t>Horizon Europe-</w:t>
            </w:r>
            <w:r w:rsidRPr="007E303F">
              <w:t xml:space="preserve">Mission Board </w:t>
            </w:r>
            <w:r>
              <w:t>‘</w:t>
            </w:r>
            <w:r w:rsidRPr="007E303F">
              <w:t>Soil health and Food</w:t>
            </w:r>
            <w:r>
              <w:t>’</w:t>
            </w:r>
            <w:r w:rsidRPr="007E303F">
              <w:t xml:space="preserve">: </w:t>
            </w:r>
            <w:r w:rsidR="00F57659">
              <w:t>e</w:t>
            </w:r>
            <w:r w:rsidRPr="007E303F">
              <w:t xml:space="preserve">nsure that 75% of soils are healthy by 2030. </w:t>
            </w:r>
          </w:p>
          <w:p w14:paraId="52F4AA44" w14:textId="77777777" w:rsidR="00885BE2" w:rsidRPr="007E303F" w:rsidRDefault="00885BE2" w:rsidP="00885BE2">
            <w:pPr>
              <w:pStyle w:val="EEAtabbull"/>
              <w:cnfStyle w:val="000000000000" w:firstRow="0" w:lastRow="0" w:firstColumn="0" w:lastColumn="0" w:oddVBand="0" w:evenVBand="0" w:oddHBand="0" w:evenHBand="0" w:firstRowFirstColumn="0" w:firstRowLastColumn="0" w:lastRowFirstColumn="0" w:lastRowLastColumn="0"/>
            </w:pPr>
            <w:r w:rsidRPr="007E303F">
              <w:t xml:space="preserve">Restoration targets of the Biodiversity Strategy </w:t>
            </w:r>
            <w:r>
              <w:t xml:space="preserve">2030 </w:t>
            </w:r>
            <w:r w:rsidRPr="007E303F">
              <w:t xml:space="preserve">(see </w:t>
            </w:r>
            <w:r>
              <w:t>above</w:t>
            </w:r>
            <w:r w:rsidRPr="007E303F">
              <w:t>).</w:t>
            </w:r>
          </w:p>
        </w:tc>
      </w:tr>
    </w:tbl>
    <w:p w14:paraId="782A5B92" w14:textId="77777777" w:rsidR="00885BE2" w:rsidRDefault="00885BE2" w:rsidP="00885BE2"/>
    <w:p w14:paraId="24C6CCA8" w14:textId="06B34AD2" w:rsidR="00885BE2" w:rsidRDefault="00885BE2" w:rsidP="00885BE2">
      <w:r w:rsidRPr="004E3982">
        <w:t xml:space="preserve">Considering the objectives and targets listed in </w:t>
      </w:r>
      <w:r w:rsidR="005D0F20">
        <w:t>Table 1-</w:t>
      </w:r>
      <w:r w:rsidR="00305F7C">
        <w:t>7</w:t>
      </w:r>
      <w:r>
        <w:t xml:space="preserve">, </w:t>
      </w:r>
      <w:r w:rsidRPr="004E3982">
        <w:t xml:space="preserve">it </w:t>
      </w:r>
      <w:r>
        <w:t>becomes</w:t>
      </w:r>
      <w:r w:rsidRPr="004E3982">
        <w:t xml:space="preserve"> evident that monitoring </w:t>
      </w:r>
      <w:r>
        <w:t>of soil quality indicators and the resp</w:t>
      </w:r>
      <w:r w:rsidR="00F57659">
        <w:t>ective</w:t>
      </w:r>
      <w:r w:rsidRPr="004E3982">
        <w:t xml:space="preserve"> evaluation schemes</w:t>
      </w:r>
      <w:r>
        <w:t xml:space="preserve"> are needed</w:t>
      </w:r>
      <w:r w:rsidRPr="004E3982">
        <w:t xml:space="preserve">. </w:t>
      </w:r>
      <w:r>
        <w:t>A</w:t>
      </w:r>
      <w:r w:rsidRPr="004E3982">
        <w:t xml:space="preserve">ssessments </w:t>
      </w:r>
      <w:r>
        <w:t xml:space="preserve">of the European soil condition </w:t>
      </w:r>
      <w:r>
        <w:lastRenderedPageBreak/>
        <w:t xml:space="preserve">(EEA 2020, JRC 2012, </w:t>
      </w:r>
      <w:proofErr w:type="gramStart"/>
      <w:r>
        <w:t>EC</w:t>
      </w:r>
      <w:proofErr w:type="gramEnd"/>
      <w:r>
        <w:t xml:space="preserve"> 2020) have been lacking a systematic and complete indicator set, and information on trend and reliable statistics are still limited.</w:t>
      </w:r>
    </w:p>
    <w:p w14:paraId="754CB9EA" w14:textId="77777777" w:rsidR="00885BE2" w:rsidRDefault="00885BE2" w:rsidP="00885BE2"/>
    <w:p w14:paraId="1B8539C6" w14:textId="2C7CF716" w:rsidR="00885BE2" w:rsidRDefault="00885BE2" w:rsidP="00885BE2">
      <w:pPr>
        <w:pStyle w:val="berschrift2"/>
      </w:pPr>
      <w:bookmarkStart w:id="61" w:name="_Toc55299182"/>
      <w:bookmarkStart w:id="62" w:name="_Toc59005187"/>
      <w:bookmarkStart w:id="63" w:name="_Toc83997326"/>
      <w:r>
        <w:t>Conclusions</w:t>
      </w:r>
      <w:bookmarkEnd w:id="61"/>
      <w:bookmarkEnd w:id="62"/>
      <w:bookmarkEnd w:id="63"/>
    </w:p>
    <w:p w14:paraId="44F2C14B" w14:textId="3E08FC69" w:rsidR="00885BE2" w:rsidRDefault="00885BE2" w:rsidP="00A56A32">
      <w:pPr>
        <w:spacing w:before="120"/>
      </w:pPr>
      <w:r>
        <w:t xml:space="preserve">Soil degradation finds its expression as a reduction or elimination of soil functions, thus the loss of the ability of soils to support ecosystem services (FAO and ITPS, 2015). The loss of soil functions can affect the health and survival of organisms living in and from the soil, including humans, which feed from the soil, and which are in </w:t>
      </w:r>
      <w:r w:rsidR="00A01731">
        <w:t xml:space="preserve">daily </w:t>
      </w:r>
      <w:r>
        <w:t xml:space="preserve">contact with soil. The degree to which functions are reduced, depends on the degree to which critical limits are exceeded, as was shown in </w:t>
      </w:r>
      <w:r w:rsidR="00311C3B">
        <w:rPr>
          <w:highlight w:val="yellow"/>
        </w:rPr>
        <w:fldChar w:fldCharType="begin"/>
      </w:r>
      <w:r w:rsidR="00311C3B">
        <w:instrText xml:space="preserve"> REF _Ref82783053 \h </w:instrText>
      </w:r>
      <w:r w:rsidR="00311C3B">
        <w:rPr>
          <w:highlight w:val="yellow"/>
        </w:rPr>
        <w:instrText xml:space="preserve"> \* MERGEFORMAT </w:instrText>
      </w:r>
      <w:r w:rsidR="00311C3B">
        <w:rPr>
          <w:highlight w:val="yellow"/>
        </w:rPr>
      </w:r>
      <w:r w:rsidR="00311C3B">
        <w:rPr>
          <w:highlight w:val="yellow"/>
        </w:rPr>
        <w:fldChar w:fldCharType="separate"/>
      </w:r>
      <w:r w:rsidR="0067767C" w:rsidRPr="00305F7C">
        <w:t xml:space="preserve">Figure </w:t>
      </w:r>
      <w:r w:rsidR="0067767C">
        <w:rPr>
          <w:noProof/>
        </w:rPr>
        <w:t>1</w:t>
      </w:r>
      <w:r w:rsidR="0067767C">
        <w:rPr>
          <w:noProof/>
        </w:rPr>
        <w:noBreakHyphen/>
        <w:t>3</w:t>
      </w:r>
      <w:r w:rsidR="00311C3B">
        <w:rPr>
          <w:highlight w:val="yellow"/>
        </w:rPr>
        <w:fldChar w:fldCharType="end"/>
      </w:r>
      <w:r w:rsidRPr="003C4314">
        <w:t>.</w:t>
      </w:r>
      <w:r>
        <w:t xml:space="preserve"> The loss of functions may be visible as a reduction of plant production (e.g. yield reductions), reduced soil biodiversity or loss of soil stability (soil losses through erosion and landslides).</w:t>
      </w:r>
    </w:p>
    <w:p w14:paraId="3A5311E6" w14:textId="0AF4051E" w:rsidR="00885BE2" w:rsidRDefault="00885BE2" w:rsidP="00A56A32">
      <w:pPr>
        <w:spacing w:before="120"/>
      </w:pPr>
      <w:r>
        <w:t>As such, the approach to quantify the degree of soil degradation via linkage between critical thresholds and current soil (functional) condition is a big step forward compared to risk assessment schemes from the past. However, this method inherently has several drawbacks related to terminology, methodology and local conditions:</w:t>
      </w:r>
    </w:p>
    <w:p w14:paraId="1FE26CCA" w14:textId="77777777" w:rsidR="00885BE2" w:rsidRDefault="00885BE2" w:rsidP="002D24F5">
      <w:pPr>
        <w:pStyle w:val="EEAbullet0"/>
        <w:tabs>
          <w:tab w:val="clear" w:pos="397"/>
        </w:tabs>
        <w:spacing w:before="120"/>
        <w:ind w:left="567" w:hanging="255"/>
      </w:pPr>
      <w:r>
        <w:t xml:space="preserve">While various indicators related to soil threats have been proposed over the recent past, specifications for monitoring and evaluation are missing. </w:t>
      </w:r>
    </w:p>
    <w:p w14:paraId="4C7438C1" w14:textId="77777777" w:rsidR="00885BE2" w:rsidRDefault="00885BE2" w:rsidP="002D24F5">
      <w:pPr>
        <w:pStyle w:val="EEAbullet0"/>
        <w:tabs>
          <w:tab w:val="clear" w:pos="397"/>
        </w:tabs>
        <w:ind w:left="567" w:hanging="255"/>
      </w:pPr>
      <w:r>
        <w:t xml:space="preserve">There is no consensus yet between countries regarding valid regionalized critical limits used as thresholds for specific soil functions. </w:t>
      </w:r>
    </w:p>
    <w:p w14:paraId="21B226DF" w14:textId="77777777" w:rsidR="00885BE2" w:rsidRDefault="00885BE2" w:rsidP="002D24F5">
      <w:pPr>
        <w:pStyle w:val="EEAbullet0"/>
        <w:tabs>
          <w:tab w:val="clear" w:pos="397"/>
        </w:tabs>
        <w:ind w:left="567" w:hanging="255"/>
      </w:pPr>
      <w:r>
        <w:t xml:space="preserve">The methodology to link a specific threshold (via models) to the current condition in soil, or water, differs between countries or group of countries. </w:t>
      </w:r>
    </w:p>
    <w:p w14:paraId="4A89FBEC" w14:textId="77777777" w:rsidR="00885BE2" w:rsidRDefault="00885BE2" w:rsidP="00885BE2"/>
    <w:p w14:paraId="2A926E71" w14:textId="77777777" w:rsidR="00885BE2" w:rsidRDefault="00885BE2" w:rsidP="00A56A32">
      <w:r>
        <w:t xml:space="preserve">The result is that risk assessment approaches used to define the degree of soil degradation and the outcome thereof can vary widely between countries. </w:t>
      </w:r>
    </w:p>
    <w:p w14:paraId="7A100BCF" w14:textId="77777777" w:rsidR="00885BE2" w:rsidRDefault="00885BE2" w:rsidP="00A56A32">
      <w:pPr>
        <w:spacing w:before="120"/>
      </w:pPr>
      <w:r>
        <w:t>A more general limitation is that for some forms of soil degradation, the actual linkage between current soil condition and the specific threshold is not established yet due to either lack of process-based knowledge (e.g. related to the biogeochemical behaviour in soil for ‘new’ contaminants), or the fact that for a regional or national assessment, soil data needed to feed the models are simply not available or interactions are highly conditional and/or complex.</w:t>
      </w:r>
    </w:p>
    <w:p w14:paraId="64F78787" w14:textId="7EE78F1A" w:rsidR="00885BE2" w:rsidRDefault="00885BE2" w:rsidP="00A56A32">
      <w:pPr>
        <w:spacing w:before="120"/>
      </w:pPr>
      <w:r>
        <w:t>However, in order to evaluate the current soil status or the impact of relevant soil threats on the environment including human health, risk-based limit values are essential. At present, there is no consensus at EU level on unified critical limits in view of the listed soil threats. Even though progress has been made, for example, in the development of effect-based critical limits for metals such as Cd, Pb, Cu and Zn, national standards for soil protection within the EU still vary widely. One reason for not having such a harmonized set of standards is the complicated interconnection between soil functions and site conditions (e.g. climate, soil fertility level), management measures (e.g. fertilizer management) and corresponding soil threats. In addition, views from Member States on targets or endpoints (e.g. water quality, food quality, ecosystem health) to protect, and at what level, widely differ. This further complicates the quest for a harmonized concept to derive such standards or critical limits. For soil contamination, this has resulted in multiple soil quality standards within the EU, ranging from non-</w:t>
      </w:r>
      <w:r w:rsidR="002D24F5">
        <w:t>effect-based</w:t>
      </w:r>
      <w:r>
        <w:t xml:space="preserve"> target values (largely related to natural background levels in soils at MS level) to effect-based critical limits (targeting e.g. human health as endpoint). And even though both types of standards are of use, there is a need to </w:t>
      </w:r>
      <w:r w:rsidR="00C53260">
        <w:t>describe the background of policy-based and effect-based approaches more clearly,</w:t>
      </w:r>
      <w:r>
        <w:t xml:space="preserve"> </w:t>
      </w:r>
      <w:r w:rsidR="00C53260">
        <w:t>to</w:t>
      </w:r>
      <w:r>
        <w:t xml:space="preserve"> identify the common grounds on which risk assessment at EU level is to be built.</w:t>
      </w:r>
    </w:p>
    <w:p w14:paraId="1F9EB6B6" w14:textId="77777777" w:rsidR="00885BE2" w:rsidRDefault="00885BE2" w:rsidP="00A56A32">
      <w:pPr>
        <w:spacing w:before="120"/>
      </w:pPr>
      <w:r>
        <w:t>In Chapters 2 to 9, the current findings regarding thresholds for soil threats are summarized, while chapter 10 provides recommendations how this information can be used, e.g. for soil degradation assessments in Europe.</w:t>
      </w:r>
    </w:p>
    <w:p w14:paraId="1648ED63" w14:textId="34FAA0F3" w:rsidR="00E845BA" w:rsidRDefault="00E845BA">
      <w:pPr>
        <w:suppressAutoHyphens w:val="0"/>
        <w:jc w:val="left"/>
      </w:pPr>
      <w:r>
        <w:br w:type="page"/>
      </w:r>
    </w:p>
    <w:p w14:paraId="7FA69D2E" w14:textId="102A56D2" w:rsidR="00DA039D" w:rsidRDefault="00E845BA" w:rsidP="00D03A96">
      <w:pPr>
        <w:pStyle w:val="berschrift1"/>
        <w:tabs>
          <w:tab w:val="clear" w:pos="567"/>
        </w:tabs>
        <w:ind w:left="426" w:hanging="426"/>
      </w:pPr>
      <w:bookmarkStart w:id="64" w:name="_Toc2005784"/>
      <w:bookmarkStart w:id="65" w:name="_Toc83997327"/>
      <w:r>
        <w:lastRenderedPageBreak/>
        <w:t>Soil organic carbon</w:t>
      </w:r>
      <w:bookmarkEnd w:id="64"/>
      <w:bookmarkEnd w:id="65"/>
    </w:p>
    <w:p w14:paraId="2703C779" w14:textId="77777777" w:rsidR="002C7353" w:rsidRDefault="002C7353" w:rsidP="002C7353"/>
    <w:tbl>
      <w:tblPr>
        <w:tblW w:w="0" w:type="auto"/>
        <w:shd w:val="clear" w:color="auto" w:fill="D9D9D9" w:themeFill="background1" w:themeFillShade="D9"/>
        <w:tblLook w:val="04A0" w:firstRow="1" w:lastRow="0" w:firstColumn="1" w:lastColumn="0" w:noHBand="0" w:noVBand="1"/>
      </w:tblPr>
      <w:tblGrid>
        <w:gridCol w:w="9406"/>
      </w:tblGrid>
      <w:tr w:rsidR="002C7353" w14:paraId="6A803727" w14:textId="77777777" w:rsidTr="00CD55D6">
        <w:tc>
          <w:tcPr>
            <w:tcW w:w="9546" w:type="dxa"/>
            <w:shd w:val="clear" w:color="auto" w:fill="D9D9D9" w:themeFill="background1" w:themeFillShade="D9"/>
          </w:tcPr>
          <w:p w14:paraId="570826CD" w14:textId="77777777" w:rsidR="002C7353" w:rsidRDefault="002C7353" w:rsidP="00CD55D6">
            <w:pPr>
              <w:pStyle w:val="EEAspacesm"/>
            </w:pPr>
          </w:p>
          <w:p w14:paraId="6EC56900" w14:textId="71ADC2EE" w:rsidR="002C7353" w:rsidRDefault="002C7353" w:rsidP="00CD55D6">
            <w:r>
              <w:t xml:space="preserve">Soil organic carbon (SOC) is a central soil indicator for several soil functions. Although the indicator is already abundantly applied, it is challenging to define thresholds for optimal or critical content, below which soil functions are hampered. This is because of the complex </w:t>
            </w:r>
            <w:r w:rsidR="00450E30">
              <w:t xml:space="preserve">biochemical </w:t>
            </w:r>
            <w:r>
              <w:t xml:space="preserve">processes involved with decomposition, including mineralization and </w:t>
            </w:r>
            <w:r w:rsidR="0095780C">
              <w:t>stabilization</w:t>
            </w:r>
            <w:r>
              <w:t xml:space="preserve">. Also, soil and environmental conditions vary profoundly across Europe. SOC dynamics is a result of the interplay between vegetation, </w:t>
            </w:r>
            <w:r w:rsidR="00C53260">
              <w:t>climate,</w:t>
            </w:r>
            <w:r>
              <w:t xml:space="preserve"> and soil; depending on its chemical composition and nature of its binding with the reactive soil mineral environment, SOC can be very responsive to climatic changes or changes induced by land management. While natural equilibrium under undisturbed conditions can hardly be observed anymore, also the threshold of lowest necessary SOC content to fulfil SOC-dependent soil functions, is hardly known. This makes it difficult to determine the level at which soils are degraded from SOC loss. In this chapter, several approaches to define thresholds are summarized</w:t>
            </w:r>
            <w:r w:rsidRPr="00312259">
              <w:t xml:space="preserve">. They mostly rely on the relationship between SOC content and yield response for agricultural soils, but also include the role of SOC for structural stability of soils. </w:t>
            </w:r>
          </w:p>
          <w:p w14:paraId="265A1FBC" w14:textId="77777777" w:rsidR="002C7353" w:rsidRDefault="002C7353" w:rsidP="00CD55D6">
            <w:pPr>
              <w:pStyle w:val="EEAspacesm"/>
            </w:pPr>
          </w:p>
        </w:tc>
      </w:tr>
    </w:tbl>
    <w:p w14:paraId="53D0B46D" w14:textId="77777777" w:rsidR="002C7353" w:rsidRDefault="002C7353" w:rsidP="002C7353"/>
    <w:p w14:paraId="08A68A99" w14:textId="2CFAC7CE" w:rsidR="002C7353" w:rsidRDefault="002C7353" w:rsidP="002C7353">
      <w:r>
        <w:t xml:space="preserve">Conservation or increase of soil organic carbon has positive impacts on almost all key societal needs related to soil </w:t>
      </w:r>
      <w:r w:rsidR="00C53260">
        <w:t>and</w:t>
      </w:r>
      <w:r>
        <w:t xml:space="preserve"> almost all soil functions. The need for infrastructure is the only exception. </w:t>
      </w:r>
      <w:r w:rsidR="00F57659">
        <w:fldChar w:fldCharType="begin"/>
      </w:r>
      <w:r w:rsidR="00F57659">
        <w:instrText xml:space="preserve"> REF _Ref64552257 \h </w:instrText>
      </w:r>
      <w:r w:rsidR="00F57659">
        <w:fldChar w:fldCharType="separate"/>
      </w:r>
      <w:r w:rsidR="0067767C" w:rsidRPr="004712E0">
        <w:t xml:space="preserve">Table </w:t>
      </w:r>
      <w:r w:rsidR="0067767C">
        <w:rPr>
          <w:noProof/>
        </w:rPr>
        <w:t>2</w:t>
      </w:r>
      <w:r w:rsidR="0067767C">
        <w:noBreakHyphen/>
      </w:r>
      <w:r w:rsidR="0067767C">
        <w:rPr>
          <w:noProof/>
        </w:rPr>
        <w:t>1</w:t>
      </w:r>
      <w:r w:rsidR="00F57659">
        <w:fldChar w:fldCharType="end"/>
      </w:r>
      <w:r w:rsidR="00F57659">
        <w:t xml:space="preserve"> </w:t>
      </w:r>
      <w:r w:rsidR="00C10627">
        <w:t xml:space="preserve">below provides </w:t>
      </w:r>
      <w:r w:rsidR="00677A16">
        <w:t xml:space="preserve">the </w:t>
      </w:r>
      <w:r w:rsidR="00C10627">
        <w:t xml:space="preserve">relevance of the given indicator </w:t>
      </w:r>
      <w:r w:rsidR="00677A16">
        <w:t xml:space="preserve">to the soil health </w:t>
      </w:r>
      <w:r w:rsidR="00C10627">
        <w:t>objectives</w:t>
      </w:r>
      <w:r w:rsidR="00F57659">
        <w:t>.</w:t>
      </w:r>
    </w:p>
    <w:p w14:paraId="781FD09E" w14:textId="0C644A76" w:rsidR="002C7353" w:rsidRDefault="002C7353" w:rsidP="002C7353"/>
    <w:p w14:paraId="1EDAEC4D" w14:textId="188C84CF" w:rsidR="00F22EF8" w:rsidRDefault="00F22EF8" w:rsidP="00F22EF8">
      <w:pPr>
        <w:pStyle w:val="EEALabel"/>
      </w:pPr>
      <w:bookmarkStart w:id="66" w:name="_Ref64552257"/>
      <w:bookmarkStart w:id="67" w:name="_Toc83997501"/>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bookmarkEnd w:id="66"/>
      <w:r w:rsidRPr="004712E0">
        <w:t>:</w:t>
      </w:r>
      <w:r w:rsidRPr="004712E0">
        <w:tab/>
      </w:r>
      <w:r w:rsidR="003E7E6E" w:rsidRPr="003E7E6E">
        <w:t>Relationship of soil organic carbon (SOC) to key societal needs and soil functions</w:t>
      </w:r>
      <w:bookmarkEnd w:id="67"/>
    </w:p>
    <w:p w14:paraId="4FA80E81" w14:textId="1513AB76" w:rsidR="00F22EF8" w:rsidRDefault="00F22EF8" w:rsidP="00F22EF8"/>
    <w:tbl>
      <w:tblPr>
        <w:tblW w:w="921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776"/>
        <w:gridCol w:w="5879"/>
        <w:gridCol w:w="1559"/>
      </w:tblGrid>
      <w:tr w:rsidR="003E7E6E" w:rsidRPr="001478FA" w14:paraId="033C1E6F" w14:textId="77777777" w:rsidTr="00AC4033">
        <w:trPr>
          <w:trHeight w:val="300"/>
        </w:trPr>
        <w:tc>
          <w:tcPr>
            <w:tcW w:w="7655" w:type="dxa"/>
            <w:gridSpan w:val="2"/>
            <w:shd w:val="pct10" w:color="auto" w:fill="auto"/>
            <w:noWrap/>
            <w:vAlign w:val="bottom"/>
            <w:hideMark/>
          </w:tcPr>
          <w:p w14:paraId="1D385F4E" w14:textId="77777777" w:rsidR="003E7E6E" w:rsidRPr="001478FA" w:rsidRDefault="003E7E6E" w:rsidP="003E7E6E">
            <w:pPr>
              <w:suppressAutoHyphens w:val="0"/>
              <w:jc w:val="left"/>
              <w:rPr>
                <w:b/>
                <w:bCs/>
                <w:color w:val="000000"/>
                <w:szCs w:val="22"/>
                <w:lang w:eastAsia="de-AT"/>
              </w:rPr>
            </w:pPr>
            <w:r w:rsidRPr="001478FA">
              <w:rPr>
                <w:b/>
                <w:bCs/>
                <w:color w:val="000000"/>
                <w:szCs w:val="22"/>
                <w:lang w:eastAsia="de-AT"/>
              </w:rPr>
              <w:t>Soil organic carbon</w:t>
            </w:r>
          </w:p>
        </w:tc>
        <w:tc>
          <w:tcPr>
            <w:tcW w:w="1559" w:type="dxa"/>
            <w:shd w:val="pct10" w:color="auto" w:fill="auto"/>
            <w:noWrap/>
            <w:vAlign w:val="bottom"/>
            <w:hideMark/>
          </w:tcPr>
          <w:p w14:paraId="16ACEE3C" w14:textId="77777777" w:rsidR="003E7E6E" w:rsidRPr="001478FA" w:rsidRDefault="003E7E6E" w:rsidP="003E7E6E">
            <w:pPr>
              <w:suppressAutoHyphens w:val="0"/>
              <w:jc w:val="left"/>
              <w:rPr>
                <w:b/>
                <w:bCs/>
                <w:color w:val="000000"/>
                <w:szCs w:val="22"/>
                <w:lang w:eastAsia="de-AT"/>
              </w:rPr>
            </w:pPr>
          </w:p>
        </w:tc>
      </w:tr>
      <w:tr w:rsidR="003E7E6E" w:rsidRPr="001478FA" w14:paraId="7128D794" w14:textId="77777777" w:rsidTr="00AC4033">
        <w:trPr>
          <w:trHeight w:val="300"/>
        </w:trPr>
        <w:tc>
          <w:tcPr>
            <w:tcW w:w="1776" w:type="dxa"/>
            <w:shd w:val="pct10" w:color="auto" w:fill="auto"/>
            <w:noWrap/>
            <w:vAlign w:val="bottom"/>
            <w:hideMark/>
          </w:tcPr>
          <w:p w14:paraId="5FC5DE48" w14:textId="77777777" w:rsidR="003E7E6E" w:rsidRPr="00AC4033" w:rsidRDefault="003E7E6E" w:rsidP="00AC4033">
            <w:pPr>
              <w:pStyle w:val="EEAtableleft"/>
              <w:rPr>
                <w:b/>
                <w:bCs/>
                <w:lang w:eastAsia="de-AT"/>
              </w:rPr>
            </w:pPr>
            <w:r w:rsidRPr="00AC4033">
              <w:rPr>
                <w:b/>
                <w:bCs/>
                <w:lang w:eastAsia="de-AT"/>
              </w:rPr>
              <w:t>Societal need</w:t>
            </w:r>
          </w:p>
        </w:tc>
        <w:tc>
          <w:tcPr>
            <w:tcW w:w="5879" w:type="dxa"/>
            <w:shd w:val="pct10" w:color="auto" w:fill="auto"/>
            <w:noWrap/>
            <w:vAlign w:val="bottom"/>
            <w:hideMark/>
          </w:tcPr>
          <w:p w14:paraId="44ED5A1B" w14:textId="77777777" w:rsidR="003E7E6E" w:rsidRPr="00AC4033" w:rsidRDefault="003E7E6E" w:rsidP="00AC4033">
            <w:pPr>
              <w:pStyle w:val="EEAtableleft"/>
              <w:rPr>
                <w:b/>
                <w:bCs/>
                <w:lang w:eastAsia="de-AT"/>
              </w:rPr>
            </w:pPr>
            <w:r w:rsidRPr="00AC4033">
              <w:rPr>
                <w:b/>
                <w:bCs/>
                <w:lang w:eastAsia="de-AT"/>
              </w:rPr>
              <w:t>Soil function</w:t>
            </w:r>
          </w:p>
        </w:tc>
        <w:tc>
          <w:tcPr>
            <w:tcW w:w="1559" w:type="dxa"/>
            <w:shd w:val="pct10" w:color="auto" w:fill="auto"/>
            <w:noWrap/>
            <w:vAlign w:val="bottom"/>
            <w:hideMark/>
          </w:tcPr>
          <w:p w14:paraId="60A69180" w14:textId="77777777" w:rsidR="003E7E6E" w:rsidRPr="001478FA" w:rsidRDefault="003E7E6E" w:rsidP="00AC4033">
            <w:pPr>
              <w:pStyle w:val="EEATabcenterbold"/>
            </w:pPr>
            <w:r w:rsidRPr="001478FA">
              <w:t>impact</w:t>
            </w:r>
          </w:p>
        </w:tc>
      </w:tr>
      <w:tr w:rsidR="003E7E6E" w:rsidRPr="001478FA" w14:paraId="254D3D40" w14:textId="77777777" w:rsidTr="00AC4033">
        <w:trPr>
          <w:trHeight w:val="300"/>
        </w:trPr>
        <w:tc>
          <w:tcPr>
            <w:tcW w:w="1776" w:type="dxa"/>
            <w:vMerge w:val="restart"/>
            <w:shd w:val="clear" w:color="000000" w:fill="FFFFFF"/>
            <w:noWrap/>
            <w:vAlign w:val="center"/>
            <w:hideMark/>
          </w:tcPr>
          <w:p w14:paraId="46E3412D" w14:textId="77777777" w:rsidR="003E7E6E" w:rsidRPr="001478FA" w:rsidRDefault="003E7E6E" w:rsidP="003E7E6E">
            <w:pPr>
              <w:suppressAutoHyphens w:val="0"/>
              <w:jc w:val="left"/>
              <w:rPr>
                <w:b/>
                <w:bCs/>
                <w:sz w:val="20"/>
                <w:lang w:eastAsia="de-AT"/>
              </w:rPr>
            </w:pPr>
            <w:r w:rsidRPr="001478FA">
              <w:rPr>
                <w:b/>
                <w:bCs/>
                <w:sz w:val="20"/>
                <w:lang w:eastAsia="de-AT"/>
              </w:rPr>
              <w:t>Biomass</w:t>
            </w:r>
          </w:p>
        </w:tc>
        <w:tc>
          <w:tcPr>
            <w:tcW w:w="5879" w:type="dxa"/>
            <w:shd w:val="clear" w:color="auto" w:fill="auto"/>
            <w:vAlign w:val="center"/>
            <w:hideMark/>
          </w:tcPr>
          <w:p w14:paraId="1748314B" w14:textId="77777777" w:rsidR="003E7E6E" w:rsidRPr="001478FA" w:rsidRDefault="003E7E6E" w:rsidP="003E7E6E">
            <w:pPr>
              <w:pStyle w:val="EEAtableleft"/>
              <w:rPr>
                <w:lang w:eastAsia="de-AT"/>
              </w:rPr>
            </w:pPr>
            <w:r w:rsidRPr="001478FA">
              <w:rPr>
                <w:lang w:eastAsia="de-AT"/>
              </w:rPr>
              <w:t>Wood &amp; fibre production</w:t>
            </w:r>
          </w:p>
        </w:tc>
        <w:tc>
          <w:tcPr>
            <w:tcW w:w="1559" w:type="dxa"/>
            <w:shd w:val="clear" w:color="000000" w:fill="92D050"/>
            <w:noWrap/>
            <w:vAlign w:val="bottom"/>
            <w:hideMark/>
          </w:tcPr>
          <w:p w14:paraId="4797CAD6"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 xml:space="preserve">+ </w:t>
            </w:r>
          </w:p>
        </w:tc>
      </w:tr>
      <w:tr w:rsidR="003E7E6E" w:rsidRPr="001478FA" w14:paraId="7ED031E6" w14:textId="77777777" w:rsidTr="00AC4033">
        <w:trPr>
          <w:trHeight w:val="300"/>
        </w:trPr>
        <w:tc>
          <w:tcPr>
            <w:tcW w:w="1776" w:type="dxa"/>
            <w:vMerge/>
            <w:vAlign w:val="center"/>
            <w:hideMark/>
          </w:tcPr>
          <w:p w14:paraId="1F337AFF" w14:textId="77777777" w:rsidR="003E7E6E" w:rsidRPr="001478FA" w:rsidRDefault="003E7E6E" w:rsidP="003E7E6E">
            <w:pPr>
              <w:suppressAutoHyphens w:val="0"/>
              <w:jc w:val="left"/>
              <w:rPr>
                <w:b/>
                <w:bCs/>
                <w:sz w:val="20"/>
                <w:lang w:eastAsia="de-AT"/>
              </w:rPr>
            </w:pPr>
          </w:p>
        </w:tc>
        <w:tc>
          <w:tcPr>
            <w:tcW w:w="5879" w:type="dxa"/>
            <w:shd w:val="clear" w:color="auto" w:fill="auto"/>
            <w:vAlign w:val="center"/>
            <w:hideMark/>
          </w:tcPr>
          <w:p w14:paraId="15024BB3" w14:textId="77777777" w:rsidR="003E7E6E" w:rsidRPr="001478FA" w:rsidRDefault="003E7E6E" w:rsidP="003E7E6E">
            <w:pPr>
              <w:pStyle w:val="EEAtableleft"/>
              <w:rPr>
                <w:lang w:eastAsia="de-AT"/>
              </w:rPr>
            </w:pPr>
            <w:r w:rsidRPr="001478FA">
              <w:rPr>
                <w:lang w:eastAsia="de-AT"/>
              </w:rPr>
              <w:t>Growth of crops</w:t>
            </w:r>
          </w:p>
        </w:tc>
        <w:tc>
          <w:tcPr>
            <w:tcW w:w="1559" w:type="dxa"/>
            <w:shd w:val="clear" w:color="000000" w:fill="92D050"/>
            <w:noWrap/>
            <w:vAlign w:val="bottom"/>
            <w:hideMark/>
          </w:tcPr>
          <w:p w14:paraId="141EDB4F"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w:t>
            </w:r>
          </w:p>
        </w:tc>
      </w:tr>
      <w:tr w:rsidR="003E7E6E" w:rsidRPr="001478FA" w14:paraId="61CF9734" w14:textId="77777777" w:rsidTr="00AC4033">
        <w:trPr>
          <w:trHeight w:val="300"/>
        </w:trPr>
        <w:tc>
          <w:tcPr>
            <w:tcW w:w="1776" w:type="dxa"/>
            <w:vMerge w:val="restart"/>
            <w:shd w:val="clear" w:color="000000" w:fill="FFFFFF"/>
            <w:noWrap/>
            <w:vAlign w:val="center"/>
            <w:hideMark/>
          </w:tcPr>
          <w:p w14:paraId="14173A58" w14:textId="77777777" w:rsidR="003E7E6E" w:rsidRPr="001478FA" w:rsidRDefault="003E7E6E" w:rsidP="003E7E6E">
            <w:pPr>
              <w:suppressAutoHyphens w:val="0"/>
              <w:jc w:val="left"/>
              <w:rPr>
                <w:b/>
                <w:bCs/>
                <w:sz w:val="20"/>
                <w:lang w:eastAsia="de-AT"/>
              </w:rPr>
            </w:pPr>
            <w:r w:rsidRPr="001478FA">
              <w:rPr>
                <w:b/>
                <w:bCs/>
                <w:sz w:val="20"/>
                <w:lang w:eastAsia="de-AT"/>
              </w:rPr>
              <w:t>Water</w:t>
            </w:r>
          </w:p>
        </w:tc>
        <w:tc>
          <w:tcPr>
            <w:tcW w:w="5879" w:type="dxa"/>
            <w:shd w:val="clear" w:color="auto" w:fill="auto"/>
            <w:vAlign w:val="center"/>
            <w:hideMark/>
          </w:tcPr>
          <w:p w14:paraId="5A260A20" w14:textId="77777777" w:rsidR="003E7E6E" w:rsidRPr="001478FA" w:rsidRDefault="003E7E6E" w:rsidP="003E7E6E">
            <w:pPr>
              <w:pStyle w:val="EEAtableleft"/>
              <w:rPr>
                <w:lang w:eastAsia="de-AT"/>
              </w:rPr>
            </w:pPr>
            <w:r w:rsidRPr="001478FA">
              <w:rPr>
                <w:lang w:eastAsia="de-AT"/>
              </w:rPr>
              <w:t>Filtering of contaminants</w:t>
            </w:r>
          </w:p>
        </w:tc>
        <w:tc>
          <w:tcPr>
            <w:tcW w:w="1559" w:type="dxa"/>
            <w:shd w:val="clear" w:color="000000" w:fill="92D050"/>
            <w:noWrap/>
            <w:vAlign w:val="bottom"/>
            <w:hideMark/>
          </w:tcPr>
          <w:p w14:paraId="005F4465"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w:t>
            </w:r>
          </w:p>
        </w:tc>
      </w:tr>
      <w:tr w:rsidR="003E7E6E" w:rsidRPr="001478FA" w14:paraId="146015E4" w14:textId="77777777" w:rsidTr="00AC4033">
        <w:trPr>
          <w:trHeight w:val="300"/>
        </w:trPr>
        <w:tc>
          <w:tcPr>
            <w:tcW w:w="1776" w:type="dxa"/>
            <w:vMerge/>
            <w:vAlign w:val="center"/>
            <w:hideMark/>
          </w:tcPr>
          <w:p w14:paraId="73E88ECA" w14:textId="77777777" w:rsidR="003E7E6E" w:rsidRPr="001478FA" w:rsidRDefault="003E7E6E" w:rsidP="003E7E6E">
            <w:pPr>
              <w:suppressAutoHyphens w:val="0"/>
              <w:jc w:val="left"/>
              <w:rPr>
                <w:b/>
                <w:bCs/>
                <w:sz w:val="20"/>
                <w:lang w:eastAsia="de-AT"/>
              </w:rPr>
            </w:pPr>
          </w:p>
        </w:tc>
        <w:tc>
          <w:tcPr>
            <w:tcW w:w="5879" w:type="dxa"/>
            <w:shd w:val="clear" w:color="auto" w:fill="auto"/>
            <w:vAlign w:val="center"/>
            <w:hideMark/>
          </w:tcPr>
          <w:p w14:paraId="3BBACEFF" w14:textId="77777777" w:rsidR="003E7E6E" w:rsidRPr="001478FA" w:rsidRDefault="003E7E6E" w:rsidP="003E7E6E">
            <w:pPr>
              <w:pStyle w:val="EEAtableleft"/>
              <w:rPr>
                <w:lang w:eastAsia="de-AT"/>
              </w:rPr>
            </w:pPr>
            <w:r w:rsidRPr="001478FA">
              <w:rPr>
                <w:lang w:eastAsia="de-AT"/>
              </w:rPr>
              <w:t>Water storage</w:t>
            </w:r>
          </w:p>
        </w:tc>
        <w:tc>
          <w:tcPr>
            <w:tcW w:w="1559" w:type="dxa"/>
            <w:shd w:val="clear" w:color="000000" w:fill="92D050"/>
            <w:noWrap/>
            <w:vAlign w:val="bottom"/>
            <w:hideMark/>
          </w:tcPr>
          <w:p w14:paraId="08A3F0F8"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w:t>
            </w:r>
          </w:p>
        </w:tc>
      </w:tr>
      <w:tr w:rsidR="003E7E6E" w:rsidRPr="001478FA" w14:paraId="733282D9" w14:textId="77777777" w:rsidTr="00AC4033">
        <w:trPr>
          <w:trHeight w:val="300"/>
        </w:trPr>
        <w:tc>
          <w:tcPr>
            <w:tcW w:w="1776" w:type="dxa"/>
            <w:shd w:val="clear" w:color="000000" w:fill="FFFFFF"/>
            <w:noWrap/>
            <w:vAlign w:val="center"/>
            <w:hideMark/>
          </w:tcPr>
          <w:p w14:paraId="45347D5B" w14:textId="77777777" w:rsidR="003E7E6E" w:rsidRPr="001478FA" w:rsidRDefault="003E7E6E" w:rsidP="003E7E6E">
            <w:pPr>
              <w:suppressAutoHyphens w:val="0"/>
              <w:jc w:val="left"/>
              <w:rPr>
                <w:b/>
                <w:bCs/>
                <w:sz w:val="20"/>
                <w:lang w:eastAsia="de-AT"/>
              </w:rPr>
            </w:pPr>
            <w:r w:rsidRPr="001478FA">
              <w:rPr>
                <w:b/>
                <w:bCs/>
                <w:sz w:val="20"/>
                <w:lang w:eastAsia="de-AT"/>
              </w:rPr>
              <w:t>Climate</w:t>
            </w:r>
          </w:p>
        </w:tc>
        <w:tc>
          <w:tcPr>
            <w:tcW w:w="5879" w:type="dxa"/>
            <w:shd w:val="clear" w:color="auto" w:fill="auto"/>
            <w:vAlign w:val="center"/>
            <w:hideMark/>
          </w:tcPr>
          <w:p w14:paraId="09B9E860" w14:textId="77777777" w:rsidR="003E7E6E" w:rsidRPr="001478FA" w:rsidRDefault="003E7E6E" w:rsidP="003E7E6E">
            <w:pPr>
              <w:pStyle w:val="EEAtableleft"/>
              <w:rPr>
                <w:lang w:eastAsia="de-AT"/>
              </w:rPr>
            </w:pPr>
            <w:r w:rsidRPr="001478FA">
              <w:rPr>
                <w:lang w:eastAsia="de-AT"/>
              </w:rPr>
              <w:t>Carbon storage</w:t>
            </w:r>
          </w:p>
        </w:tc>
        <w:tc>
          <w:tcPr>
            <w:tcW w:w="1559" w:type="dxa"/>
            <w:shd w:val="clear" w:color="000000" w:fill="92D050"/>
            <w:noWrap/>
            <w:vAlign w:val="bottom"/>
            <w:hideMark/>
          </w:tcPr>
          <w:p w14:paraId="3C1455F6"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w:t>
            </w:r>
          </w:p>
        </w:tc>
      </w:tr>
      <w:tr w:rsidR="003E7E6E" w:rsidRPr="001478FA" w14:paraId="2E396AA4" w14:textId="77777777" w:rsidTr="00AC4033">
        <w:trPr>
          <w:trHeight w:val="300"/>
        </w:trPr>
        <w:tc>
          <w:tcPr>
            <w:tcW w:w="1776" w:type="dxa"/>
            <w:shd w:val="clear" w:color="000000" w:fill="FFFFFF"/>
            <w:noWrap/>
            <w:vAlign w:val="center"/>
            <w:hideMark/>
          </w:tcPr>
          <w:p w14:paraId="73D2BFC8" w14:textId="77777777" w:rsidR="003E7E6E" w:rsidRPr="001478FA" w:rsidRDefault="003E7E6E" w:rsidP="003E7E6E">
            <w:pPr>
              <w:suppressAutoHyphens w:val="0"/>
              <w:jc w:val="left"/>
              <w:rPr>
                <w:b/>
                <w:bCs/>
                <w:sz w:val="20"/>
                <w:lang w:eastAsia="de-AT"/>
              </w:rPr>
            </w:pPr>
            <w:r w:rsidRPr="001478FA">
              <w:rPr>
                <w:b/>
                <w:bCs/>
                <w:sz w:val="20"/>
                <w:lang w:eastAsia="de-AT"/>
              </w:rPr>
              <w:t>Biodiversity</w:t>
            </w:r>
          </w:p>
        </w:tc>
        <w:tc>
          <w:tcPr>
            <w:tcW w:w="5879" w:type="dxa"/>
            <w:shd w:val="clear" w:color="auto" w:fill="auto"/>
            <w:vAlign w:val="center"/>
            <w:hideMark/>
          </w:tcPr>
          <w:p w14:paraId="77144CB8" w14:textId="77777777" w:rsidR="003E7E6E" w:rsidRPr="001478FA" w:rsidRDefault="003E7E6E" w:rsidP="003E7E6E">
            <w:pPr>
              <w:pStyle w:val="EEAtableleft"/>
              <w:rPr>
                <w:lang w:eastAsia="de-AT"/>
              </w:rPr>
            </w:pPr>
            <w:r w:rsidRPr="001478FA">
              <w:rPr>
                <w:lang w:eastAsia="de-AT"/>
              </w:rPr>
              <w:t>Habitat for plants, insects, microbes, funghi</w:t>
            </w:r>
          </w:p>
        </w:tc>
        <w:tc>
          <w:tcPr>
            <w:tcW w:w="1559" w:type="dxa"/>
            <w:shd w:val="clear" w:color="000000" w:fill="92D050"/>
            <w:noWrap/>
            <w:vAlign w:val="bottom"/>
            <w:hideMark/>
          </w:tcPr>
          <w:p w14:paraId="60D032CA" w14:textId="77777777" w:rsidR="003E7E6E" w:rsidRPr="001478FA" w:rsidRDefault="003E7E6E" w:rsidP="003E7E6E">
            <w:pPr>
              <w:suppressAutoHyphens w:val="0"/>
              <w:jc w:val="center"/>
              <w:rPr>
                <w:b/>
                <w:bCs/>
                <w:color w:val="000000"/>
                <w:szCs w:val="22"/>
                <w:lang w:eastAsia="de-AT"/>
              </w:rPr>
            </w:pPr>
            <w:r w:rsidRPr="001478FA">
              <w:rPr>
                <w:b/>
                <w:bCs/>
                <w:color w:val="000000"/>
                <w:szCs w:val="22"/>
                <w:lang w:eastAsia="de-AT"/>
              </w:rPr>
              <w:t>+</w:t>
            </w:r>
          </w:p>
        </w:tc>
      </w:tr>
      <w:tr w:rsidR="003E7E6E" w:rsidRPr="001478FA" w14:paraId="11691BAE" w14:textId="77777777" w:rsidTr="00AC4033">
        <w:trPr>
          <w:trHeight w:val="300"/>
        </w:trPr>
        <w:tc>
          <w:tcPr>
            <w:tcW w:w="1776" w:type="dxa"/>
            <w:vMerge w:val="restart"/>
            <w:shd w:val="clear" w:color="auto" w:fill="auto"/>
            <w:noWrap/>
            <w:vAlign w:val="center"/>
            <w:hideMark/>
          </w:tcPr>
          <w:p w14:paraId="6BBCE7B2" w14:textId="77777777" w:rsidR="003E7E6E" w:rsidRPr="001478FA" w:rsidRDefault="003E7E6E" w:rsidP="003E7E6E">
            <w:pPr>
              <w:suppressAutoHyphens w:val="0"/>
              <w:jc w:val="left"/>
              <w:rPr>
                <w:b/>
                <w:bCs/>
                <w:sz w:val="20"/>
                <w:lang w:eastAsia="de-AT"/>
              </w:rPr>
            </w:pPr>
            <w:r w:rsidRPr="001478FA">
              <w:rPr>
                <w:b/>
                <w:bCs/>
                <w:sz w:val="20"/>
                <w:lang w:eastAsia="de-AT"/>
              </w:rPr>
              <w:t>Infrastructure</w:t>
            </w:r>
          </w:p>
        </w:tc>
        <w:tc>
          <w:tcPr>
            <w:tcW w:w="5879" w:type="dxa"/>
            <w:shd w:val="clear" w:color="auto" w:fill="auto"/>
            <w:vAlign w:val="center"/>
            <w:hideMark/>
          </w:tcPr>
          <w:p w14:paraId="49119ADD" w14:textId="77777777" w:rsidR="003E7E6E" w:rsidRPr="001478FA" w:rsidRDefault="003E7E6E" w:rsidP="003E7E6E">
            <w:pPr>
              <w:pStyle w:val="EEAtableleft"/>
              <w:rPr>
                <w:lang w:eastAsia="de-AT"/>
              </w:rPr>
            </w:pPr>
            <w:r w:rsidRPr="001478FA">
              <w:rPr>
                <w:lang w:eastAsia="de-AT"/>
              </w:rPr>
              <w:t>Platform for infrastructure</w:t>
            </w:r>
          </w:p>
        </w:tc>
        <w:tc>
          <w:tcPr>
            <w:tcW w:w="1559" w:type="dxa"/>
            <w:shd w:val="clear" w:color="000000" w:fill="FFFFFF"/>
            <w:noWrap/>
            <w:vAlign w:val="bottom"/>
            <w:hideMark/>
          </w:tcPr>
          <w:p w14:paraId="436EEC39" w14:textId="76A64FB0" w:rsidR="003E7E6E" w:rsidRPr="001478FA" w:rsidRDefault="003E7E6E" w:rsidP="00AC4033">
            <w:pPr>
              <w:suppressAutoHyphens w:val="0"/>
              <w:jc w:val="center"/>
              <w:rPr>
                <w:color w:val="000000"/>
                <w:sz w:val="20"/>
                <w:lang w:eastAsia="de-AT"/>
              </w:rPr>
            </w:pPr>
            <w:r w:rsidRPr="001478FA">
              <w:rPr>
                <w:color w:val="000000"/>
                <w:sz w:val="20"/>
                <w:lang w:eastAsia="de-AT"/>
              </w:rPr>
              <w:t>indiff</w:t>
            </w:r>
            <w:r>
              <w:rPr>
                <w:color w:val="000000"/>
                <w:sz w:val="20"/>
                <w:lang w:eastAsia="de-AT"/>
              </w:rPr>
              <w:t>erent</w:t>
            </w:r>
            <w:r w:rsidRPr="001478FA">
              <w:rPr>
                <w:color w:val="000000"/>
                <w:sz w:val="20"/>
                <w:lang w:eastAsia="de-AT"/>
              </w:rPr>
              <w:t xml:space="preserve"> </w:t>
            </w:r>
            <w:r w:rsidRPr="003B1F8A">
              <w:rPr>
                <w:b/>
                <w:bCs/>
                <w:color w:val="000000"/>
                <w:sz w:val="20"/>
                <w:vertAlign w:val="superscript"/>
                <w:lang w:eastAsia="de-AT"/>
              </w:rPr>
              <w:t>(</w:t>
            </w:r>
            <w:r w:rsidR="00AC4033" w:rsidRPr="00AC4033">
              <w:rPr>
                <w:b/>
                <w:bCs/>
                <w:color w:val="000000"/>
                <w:sz w:val="20"/>
                <w:vertAlign w:val="superscript"/>
                <w:lang w:eastAsia="de-AT"/>
              </w:rPr>
              <w:t>1</w:t>
            </w:r>
            <w:r w:rsidRPr="003B1F8A">
              <w:rPr>
                <w:b/>
                <w:bCs/>
                <w:color w:val="000000"/>
                <w:sz w:val="20"/>
                <w:vertAlign w:val="superscript"/>
                <w:lang w:eastAsia="de-AT"/>
              </w:rPr>
              <w:t>)</w:t>
            </w:r>
          </w:p>
        </w:tc>
      </w:tr>
      <w:tr w:rsidR="003E7E6E" w:rsidRPr="001478FA" w14:paraId="6BE98602" w14:textId="77777777" w:rsidTr="00AC4033">
        <w:trPr>
          <w:trHeight w:val="300"/>
        </w:trPr>
        <w:tc>
          <w:tcPr>
            <w:tcW w:w="1776" w:type="dxa"/>
            <w:vMerge/>
            <w:vAlign w:val="center"/>
            <w:hideMark/>
          </w:tcPr>
          <w:p w14:paraId="085794F1" w14:textId="77777777" w:rsidR="003E7E6E" w:rsidRPr="001478FA" w:rsidRDefault="003E7E6E" w:rsidP="003E7E6E">
            <w:pPr>
              <w:suppressAutoHyphens w:val="0"/>
              <w:jc w:val="left"/>
              <w:rPr>
                <w:b/>
                <w:bCs/>
                <w:sz w:val="20"/>
                <w:lang w:eastAsia="de-AT"/>
              </w:rPr>
            </w:pPr>
          </w:p>
        </w:tc>
        <w:tc>
          <w:tcPr>
            <w:tcW w:w="5879" w:type="dxa"/>
            <w:shd w:val="clear" w:color="auto" w:fill="auto"/>
            <w:vAlign w:val="center"/>
            <w:hideMark/>
          </w:tcPr>
          <w:p w14:paraId="22F993E8" w14:textId="77777777" w:rsidR="003E7E6E" w:rsidRPr="001478FA" w:rsidRDefault="003E7E6E" w:rsidP="003E7E6E">
            <w:pPr>
              <w:pStyle w:val="EEAtableleft"/>
              <w:rPr>
                <w:lang w:eastAsia="de-AT"/>
              </w:rPr>
            </w:pPr>
            <w:r w:rsidRPr="001478FA">
              <w:rPr>
                <w:lang w:eastAsia="de-AT"/>
              </w:rPr>
              <w:t>Storage of geological material</w:t>
            </w:r>
          </w:p>
        </w:tc>
        <w:tc>
          <w:tcPr>
            <w:tcW w:w="1559" w:type="dxa"/>
            <w:shd w:val="clear" w:color="000000" w:fill="FFFFFF"/>
            <w:noWrap/>
            <w:vAlign w:val="bottom"/>
            <w:hideMark/>
          </w:tcPr>
          <w:p w14:paraId="5BABE127" w14:textId="338C3933" w:rsidR="003E7E6E" w:rsidRPr="001478FA" w:rsidRDefault="003E7E6E" w:rsidP="003E7E6E">
            <w:pPr>
              <w:suppressAutoHyphens w:val="0"/>
              <w:jc w:val="center"/>
              <w:rPr>
                <w:color w:val="000000"/>
                <w:sz w:val="20"/>
                <w:lang w:eastAsia="de-AT"/>
              </w:rPr>
            </w:pPr>
            <w:r w:rsidRPr="001478FA">
              <w:rPr>
                <w:color w:val="000000"/>
                <w:sz w:val="20"/>
                <w:lang w:eastAsia="de-AT"/>
              </w:rPr>
              <w:t>indiff</w:t>
            </w:r>
            <w:r>
              <w:rPr>
                <w:color w:val="000000"/>
                <w:sz w:val="20"/>
                <w:lang w:eastAsia="de-AT"/>
              </w:rPr>
              <w:t>erent</w:t>
            </w:r>
          </w:p>
        </w:tc>
      </w:tr>
    </w:tbl>
    <w:p w14:paraId="78C6E9B1" w14:textId="528093FF" w:rsidR="003E7E6E" w:rsidRPr="001478FA" w:rsidRDefault="003E7E6E" w:rsidP="00714D8B">
      <w:pPr>
        <w:pStyle w:val="EEASource"/>
        <w:rPr>
          <w:lang w:val="en-US"/>
        </w:rPr>
      </w:pPr>
      <w:r w:rsidRPr="003E7E6E">
        <w:rPr>
          <w:b/>
          <w:lang w:val="en-US"/>
        </w:rPr>
        <w:t>Note:</w:t>
      </w:r>
      <w:r w:rsidRPr="003B1F8A">
        <w:rPr>
          <w:b/>
          <w:bCs/>
          <w:vertAlign w:val="superscript"/>
          <w:lang w:val="en-US"/>
        </w:rPr>
        <w:t xml:space="preserve"> </w:t>
      </w:r>
      <w:r>
        <w:rPr>
          <w:b/>
          <w:bCs/>
          <w:vertAlign w:val="superscript"/>
          <w:lang w:val="en-US"/>
        </w:rPr>
        <w:tab/>
      </w:r>
      <w:r w:rsidRPr="003B1F8A">
        <w:rPr>
          <w:b/>
          <w:bCs/>
          <w:vertAlign w:val="superscript"/>
          <w:lang w:val="en-US"/>
        </w:rPr>
        <w:t>(</w:t>
      </w:r>
      <w:r w:rsidR="00AC4033" w:rsidRPr="00AC4033">
        <w:rPr>
          <w:b/>
          <w:bCs/>
          <w:vertAlign w:val="superscript"/>
          <w:lang w:val="en-US"/>
        </w:rPr>
        <w:t>1</w:t>
      </w:r>
      <w:proofErr w:type="gramStart"/>
      <w:r w:rsidRPr="003B1F8A">
        <w:rPr>
          <w:b/>
          <w:bCs/>
          <w:vertAlign w:val="superscript"/>
          <w:lang w:val="en-US"/>
        </w:rPr>
        <w:t>)</w:t>
      </w:r>
      <w:r w:rsidRPr="001478FA">
        <w:rPr>
          <w:lang w:val="en-US"/>
        </w:rPr>
        <w:t>Soil</w:t>
      </w:r>
      <w:proofErr w:type="gramEnd"/>
      <w:r w:rsidRPr="001478FA">
        <w:rPr>
          <w:lang w:val="en-US"/>
        </w:rPr>
        <w:t xml:space="preserve"> organic carbon / infrastructure:  organic soils are instable as platform for infrastructure</w:t>
      </w:r>
    </w:p>
    <w:p w14:paraId="0B4FB99F" w14:textId="5FFFB4E1" w:rsidR="002C7353" w:rsidRDefault="002C7353" w:rsidP="002C7353">
      <w:pPr>
        <w:rPr>
          <w:lang w:val="en-US"/>
        </w:rPr>
      </w:pPr>
    </w:p>
    <w:p w14:paraId="0C90C78E" w14:textId="5688517C" w:rsidR="002C7353" w:rsidRDefault="002C7353" w:rsidP="002C488D">
      <w:pPr>
        <w:pStyle w:val="berschrift2"/>
      </w:pPr>
      <w:bookmarkStart w:id="68" w:name="_Toc54100679"/>
      <w:bookmarkStart w:id="69" w:name="_Toc60925145"/>
      <w:bookmarkStart w:id="70" w:name="_Toc83997328"/>
      <w:r w:rsidRPr="00E845BA">
        <w:t>Rationale</w:t>
      </w:r>
      <w:r>
        <w:t xml:space="preserve">: role of </w:t>
      </w:r>
      <w:r w:rsidRPr="00E845BA">
        <w:t>soil organic carbon</w:t>
      </w:r>
      <w:r>
        <w:t xml:space="preserve"> for soil productivity, filter and storage of water, nutrients and pollutants</w:t>
      </w:r>
      <w:bookmarkEnd w:id="68"/>
      <w:bookmarkEnd w:id="69"/>
      <w:bookmarkEnd w:id="70"/>
    </w:p>
    <w:p w14:paraId="29444E4E" w14:textId="77777777" w:rsidR="002C7353" w:rsidRPr="00F65021" w:rsidRDefault="002C7353" w:rsidP="002C7353"/>
    <w:p w14:paraId="3C7CD742" w14:textId="1F6381B8" w:rsidR="002C7353" w:rsidRDefault="002C7353" w:rsidP="002C7353">
      <w:r>
        <w:t>Soil organic carbon (SOC), and hence soil organic matter (SOM), play a key role in carbon sequestration in agricultural and forest ecosystems and hence in climate change mitigation, removing CO</w:t>
      </w:r>
      <w:r w:rsidRPr="002C3700">
        <w:rPr>
          <w:vertAlign w:val="subscript"/>
        </w:rPr>
        <w:t>2</w:t>
      </w:r>
      <w:r>
        <w:t xml:space="preserve"> from the atmosphere. It also has direct impact on storage and filtering capacity of water, </w:t>
      </w:r>
      <w:r w:rsidR="006F1A46">
        <w:t>nutrients,</w:t>
      </w:r>
      <w:r>
        <w:t xml:space="preserve"> and pollutants in soils and thereby on the environmental quality of water, air, soil and, ultimately, in water security. While there is a close relationship between soil nutrient status and SOC, it is not surprising that soil productivity is closely related to SOM levels (Korschens et al. 2005; Feller et al., 2012). SOM (as much as SOC) is today recognized as critical to preserve food security, and SOM decline leads to soil degradation because its loss is often followed by decreases in soil fertility and stability (Stolte et al., 2016). SOC can be considered a “universal keystone indicator” (Loveland and Webb 2003).</w:t>
      </w:r>
    </w:p>
    <w:p w14:paraId="1C5ADF69" w14:textId="77777777" w:rsidR="002C7353" w:rsidRDefault="002C7353" w:rsidP="002C7353"/>
    <w:p w14:paraId="65399037" w14:textId="6AEC2383" w:rsidR="002C7353" w:rsidRDefault="002C7353" w:rsidP="002C7353">
      <w:r w:rsidRPr="0011030B">
        <w:t>SOC has been widely used as an indicator to evaluate soil quality in response to management impacts under various environmental conditions (</w:t>
      </w:r>
      <w:r w:rsidRPr="00152C85">
        <w:t>Bünemann et al., 2018</w:t>
      </w:r>
      <w:r w:rsidRPr="0011030B">
        <w:t>).</w:t>
      </w:r>
      <w:r>
        <w:t xml:space="preserve"> While u</w:t>
      </w:r>
      <w:r w:rsidRPr="00CF1CBB">
        <w:t xml:space="preserve">nder </w:t>
      </w:r>
      <w:r>
        <w:t xml:space="preserve">stable environmental </w:t>
      </w:r>
      <w:r>
        <w:lastRenderedPageBreak/>
        <w:t>conditions</w:t>
      </w:r>
      <w:r w:rsidRPr="00CF1CBB">
        <w:t xml:space="preserve">, the SOC stock </w:t>
      </w:r>
      <w:r>
        <w:t>develops towards</w:t>
      </w:r>
      <w:r w:rsidRPr="00CF1CBB">
        <w:t xml:space="preserve"> a long-term equilibrium of </w:t>
      </w:r>
      <w:r>
        <w:t>mineralization</w:t>
      </w:r>
      <w:r w:rsidR="000D52D3">
        <w:t xml:space="preserve"> and stabilization</w:t>
      </w:r>
      <w:r>
        <w:t>,</w:t>
      </w:r>
      <w:r w:rsidRPr="00CF1CBB">
        <w:t xml:space="preserve"> </w:t>
      </w:r>
      <w:r>
        <w:t xml:space="preserve">changes in management and natural disturbances affect this equilibrium (Wiesmeier, </w:t>
      </w:r>
      <w:r w:rsidR="0045356C">
        <w:t>2019</w:t>
      </w:r>
      <w:r>
        <w:t xml:space="preserve">), causing the depletion of the SOC stock. If the SOC content falls below a certain </w:t>
      </w:r>
      <w:r w:rsidR="00C14212">
        <w:t xml:space="preserve">threshold </w:t>
      </w:r>
      <w:r>
        <w:t>(</w:t>
      </w:r>
      <w:r w:rsidR="00C14212">
        <w:t xml:space="preserve">or </w:t>
      </w:r>
      <w:r>
        <w:t xml:space="preserve">critical </w:t>
      </w:r>
      <w:r w:rsidR="00C14212">
        <w:t>limit</w:t>
      </w:r>
      <w:r>
        <w:t>), all major soil functions are affected, causing soil degradation.</w:t>
      </w:r>
    </w:p>
    <w:p w14:paraId="259E113F" w14:textId="3BFE157F" w:rsidR="00D5314D" w:rsidRDefault="00D5314D" w:rsidP="002C7353"/>
    <w:p w14:paraId="0C07242D" w14:textId="5E336257" w:rsidR="00B806E8" w:rsidRDefault="00620636" w:rsidP="00B806E8">
      <w:r>
        <w:t>SOC dynamics is closely related to nitrogen dynamics</w:t>
      </w:r>
      <w:r w:rsidR="007963FD">
        <w:t xml:space="preserve"> (</w:t>
      </w:r>
      <w:r w:rsidR="007963FD" w:rsidRPr="007963FD">
        <w:t>Van Groenigen</w:t>
      </w:r>
      <w:r w:rsidR="007963FD">
        <w:t xml:space="preserve"> et al. 2015)</w:t>
      </w:r>
      <w:r>
        <w:t xml:space="preserve">. </w:t>
      </w:r>
      <w:r w:rsidR="004D6967">
        <w:t xml:space="preserve">N affects the </w:t>
      </w:r>
      <w:r w:rsidR="004D6967" w:rsidRPr="00B97B0F">
        <w:t>composition of microbial communities</w:t>
      </w:r>
      <w:r w:rsidR="004D6967">
        <w:t xml:space="preserve"> (e.g. proportion of fungi and bacteria), root turnover and chemical composition of SOM. </w:t>
      </w:r>
      <w:r w:rsidR="00B806E8">
        <w:t>SO</w:t>
      </w:r>
      <w:r w:rsidR="004D6967">
        <w:t>M (</w:t>
      </w:r>
      <w:r w:rsidR="00FD6511">
        <w:t xml:space="preserve">research </w:t>
      </w:r>
      <w:r w:rsidR="004E181D">
        <w:t>is nowadays</w:t>
      </w:r>
      <w:r w:rsidR="00FD6511">
        <w:t xml:space="preserve"> focused on </w:t>
      </w:r>
      <w:r w:rsidR="004D6967">
        <w:t>SOC)</w:t>
      </w:r>
      <w:r w:rsidR="00B806E8">
        <w:t xml:space="preserve"> is </w:t>
      </w:r>
      <w:r w:rsidR="004E181D">
        <w:t xml:space="preserve">thus </w:t>
      </w:r>
      <w:r w:rsidR="004D6967">
        <w:t xml:space="preserve">an </w:t>
      </w:r>
      <w:r w:rsidR="00A83102">
        <w:t>important</w:t>
      </w:r>
      <w:r w:rsidR="00B806E8">
        <w:t xml:space="preserve"> </w:t>
      </w:r>
      <w:r w:rsidR="003A5640">
        <w:t xml:space="preserve">indicator </w:t>
      </w:r>
      <w:r w:rsidR="004D6967">
        <w:t xml:space="preserve">to </w:t>
      </w:r>
      <w:r w:rsidR="00A83102">
        <w:t>regulat</w:t>
      </w:r>
      <w:r w:rsidR="004D6967">
        <w:t>e</w:t>
      </w:r>
      <w:r w:rsidR="00A83102">
        <w:t xml:space="preserve"> </w:t>
      </w:r>
      <w:r w:rsidR="00B806E8">
        <w:t xml:space="preserve">N application (use of fertilizers) </w:t>
      </w:r>
      <w:r w:rsidR="003830FD">
        <w:t xml:space="preserve">while it contributes </w:t>
      </w:r>
      <w:r w:rsidR="00B806E8">
        <w:t xml:space="preserve">to </w:t>
      </w:r>
      <w:r w:rsidR="003830FD">
        <w:t xml:space="preserve">minimizing </w:t>
      </w:r>
      <w:r w:rsidR="00B806E8">
        <w:t>environmental pollution (</w:t>
      </w:r>
      <w:r w:rsidR="00B806E8" w:rsidRPr="00760EBB">
        <w:t>Musinguzi</w:t>
      </w:r>
      <w:r w:rsidR="00B806E8">
        <w:t xml:space="preserve"> et al., 2013). </w:t>
      </w:r>
      <w:r>
        <w:t xml:space="preserve">It seems that </w:t>
      </w:r>
      <w:r w:rsidRPr="00892BF9">
        <w:t>anthropogenic N deposition increases soil C storage in terrestrial ecosystems</w:t>
      </w:r>
      <w:r>
        <w:t xml:space="preserve">, while increasing </w:t>
      </w:r>
      <w:r w:rsidRPr="00E01A30">
        <w:t>SOC</w:t>
      </w:r>
      <w:r>
        <w:t xml:space="preserve"> improves the N use efficiency i.e. less </w:t>
      </w:r>
      <w:r w:rsidRPr="00E01A30">
        <w:t xml:space="preserve">mineral N </w:t>
      </w:r>
      <w:r>
        <w:t xml:space="preserve">is </w:t>
      </w:r>
      <w:r w:rsidRPr="00E01A30">
        <w:t xml:space="preserve">needed </w:t>
      </w:r>
      <w:r>
        <w:t xml:space="preserve">from fertilizer </w:t>
      </w:r>
      <w:r w:rsidRPr="00E01A30">
        <w:t xml:space="preserve">to obtain </w:t>
      </w:r>
      <w:r>
        <w:t>a</w:t>
      </w:r>
      <w:r w:rsidRPr="00E01A30">
        <w:t xml:space="preserve"> potential crop yield</w:t>
      </w:r>
      <w:r>
        <w:t xml:space="preserve"> (</w:t>
      </w:r>
      <w:r w:rsidRPr="000A50ED">
        <w:t>Schjønnin</w:t>
      </w:r>
      <w:r>
        <w:t>g et al. 2018).</w:t>
      </w:r>
      <w:r w:rsidR="004E181D">
        <w:t xml:space="preserve"> </w:t>
      </w:r>
      <w:r w:rsidR="00CE2B8C">
        <w:t>C</w:t>
      </w:r>
      <w:r w:rsidR="00B806E8">
        <w:t xml:space="preserve">ritical </w:t>
      </w:r>
      <w:r w:rsidR="004E181D">
        <w:t xml:space="preserve">SOM (or </w:t>
      </w:r>
      <w:r w:rsidR="00B806E8">
        <w:t>SOC</w:t>
      </w:r>
      <w:r w:rsidR="004E181D">
        <w:t>)</w:t>
      </w:r>
      <w:r w:rsidR="00B806E8">
        <w:t xml:space="preserve"> levels or thresholds </w:t>
      </w:r>
      <w:r w:rsidR="00CE2B8C">
        <w:t xml:space="preserve">may </w:t>
      </w:r>
      <w:r w:rsidR="00B806E8">
        <w:t>provide orientation to restore SOC- (and N-) depleted soils. Also, the connection between SOC and soil fertility and crop yield (where yield gaps are diagnosed) has now become the basis to identify SOC sequestration potentials (</w:t>
      </w:r>
      <w:r w:rsidR="00B806E8" w:rsidRPr="00152C85">
        <w:t>Amelung et al., 2020</w:t>
      </w:r>
      <w:r w:rsidR="00B806E8">
        <w:t>).</w:t>
      </w:r>
    </w:p>
    <w:p w14:paraId="1D8B8201" w14:textId="77777777" w:rsidR="00B806E8" w:rsidRDefault="00B806E8" w:rsidP="002C7353"/>
    <w:p w14:paraId="45A446A8" w14:textId="77777777" w:rsidR="00D5314D" w:rsidRDefault="00D5314D" w:rsidP="002C7353"/>
    <w:p w14:paraId="35A570CD" w14:textId="71E0A3CB" w:rsidR="002C7353" w:rsidRDefault="002C7353" w:rsidP="002C488D">
      <w:pPr>
        <w:pStyle w:val="berschrift2"/>
      </w:pPr>
      <w:bookmarkStart w:id="71" w:name="_Toc54100680"/>
      <w:bookmarkStart w:id="72" w:name="_Toc60925146"/>
      <w:bookmarkStart w:id="73" w:name="_Toc83997329"/>
      <w:r>
        <w:t>Indicator specification</w:t>
      </w:r>
      <w:bookmarkEnd w:id="71"/>
      <w:r>
        <w:t xml:space="preserve"> “Loss of SOC below critical levels”</w:t>
      </w:r>
      <w:bookmarkEnd w:id="72"/>
      <w:bookmarkEnd w:id="73"/>
    </w:p>
    <w:p w14:paraId="26E52A56" w14:textId="77777777" w:rsidR="002C7353" w:rsidRDefault="002C7353" w:rsidP="002C7353"/>
    <w:p w14:paraId="4095F21E" w14:textId="264FD5E3" w:rsidR="002C7353" w:rsidRDefault="002C7353" w:rsidP="002C7353">
      <w:r>
        <w:t xml:space="preserve">Soil organic matter (SOM) is the sum of all dead organic components </w:t>
      </w:r>
      <w:r w:rsidR="009746D3">
        <w:t>of diff</w:t>
      </w:r>
      <w:r w:rsidR="00455F81">
        <w:t xml:space="preserve">erent decompositional stages </w:t>
      </w:r>
      <w:r>
        <w:t xml:space="preserve">in a soil that are made from basic elements including carbon, nitrogen, oxygen, hydrogen and an array of cations and ions attached to it. </w:t>
      </w:r>
      <w:r w:rsidR="00E9145C">
        <w:t xml:space="preserve">Some definitions also include </w:t>
      </w:r>
      <w:r w:rsidR="00E9145C" w:rsidRPr="00A93F5E">
        <w:t>undecayed plant and animal residues</w:t>
      </w:r>
      <w:r w:rsidR="00E9145C">
        <w:t xml:space="preserve"> as well as microbial biomass.</w:t>
      </w:r>
      <w:r w:rsidR="00E9145C" w:rsidRPr="00A93F5E">
        <w:t xml:space="preserve"> </w:t>
      </w:r>
      <w:r>
        <w:t xml:space="preserve">Since SOM is difficult to measure directly, it is common practice to measure and report soil organic carbon (SOC). Historically, for the conversion of SOC to SOM a factor of 1.724 is used, based on the assumption that organic matter is 58% carbon. However, a review by Pribyl (2010) shows that a factor of 2 would often be more accurate especially in the case of soil layers rich </w:t>
      </w:r>
      <w:r w:rsidR="00F57659">
        <w:t xml:space="preserve">in </w:t>
      </w:r>
      <w:r>
        <w:t>organic matter, such as in forest floors; this is because of differences in the degree and kind of humification (a process which generates humus) related to different stages of decomposition and mineralization.</w:t>
      </w:r>
    </w:p>
    <w:p w14:paraId="537650AC" w14:textId="77777777" w:rsidR="002C7353" w:rsidRDefault="002C7353" w:rsidP="002C7353"/>
    <w:p w14:paraId="3CC68FC6" w14:textId="71625616" w:rsidR="00282874" w:rsidRDefault="002C7353" w:rsidP="00057C77">
      <w:r>
        <w:t xml:space="preserve">While the loss of </w:t>
      </w:r>
      <w:r w:rsidRPr="00BD2C69">
        <w:t>total</w:t>
      </w:r>
      <w:r>
        <w:t xml:space="preserve"> SOC concentration over a monitoring period is often suggested as an indicator, the change of the </w:t>
      </w:r>
      <w:r w:rsidRPr="00D03A96">
        <w:t>bulk SOC</w:t>
      </w:r>
      <w:r w:rsidR="002804FD">
        <w:t xml:space="preserve"> </w:t>
      </w:r>
      <w:r w:rsidR="00BC38BC">
        <w:t xml:space="preserve">concentration </w:t>
      </w:r>
      <w:r>
        <w:t xml:space="preserve">in a given soil may not be a good indicator for assessing how well a particular soil function is likely to perform. This is mainly because </w:t>
      </w:r>
      <w:r w:rsidRPr="00BD2C69">
        <w:rPr>
          <w:b/>
          <w:bCs/>
        </w:rPr>
        <w:t>labile (active) and stable pools</w:t>
      </w:r>
      <w:r>
        <w:t xml:space="preserve"> of soil organic matter vary considerably in their physical and chemical properties, resulting in a wide range of turnover (Gobin et al., 2011; overview of SOM fractions: </w:t>
      </w:r>
      <w:r w:rsidR="002E0086">
        <w:fldChar w:fldCharType="begin"/>
      </w:r>
      <w:r w:rsidR="002E0086">
        <w:instrText xml:space="preserve"> REF _Ref64555587 \h </w:instrText>
      </w:r>
      <w:r w:rsidR="002E0086">
        <w:fldChar w:fldCharType="separate"/>
      </w:r>
      <w:r w:rsidR="0067767C" w:rsidRPr="004712E0">
        <w:t xml:space="preserve">Table </w:t>
      </w:r>
      <w:r w:rsidR="0067767C">
        <w:rPr>
          <w:noProof/>
        </w:rPr>
        <w:t>2</w:t>
      </w:r>
      <w:r w:rsidR="0067767C">
        <w:noBreakHyphen/>
      </w:r>
      <w:r w:rsidR="0067767C">
        <w:rPr>
          <w:noProof/>
        </w:rPr>
        <w:t>2</w:t>
      </w:r>
      <w:r w:rsidR="002E0086">
        <w:fldChar w:fldCharType="end"/>
      </w:r>
      <w:r>
        <w:t xml:space="preserve">). </w:t>
      </w:r>
      <w:r w:rsidR="00282874">
        <w:t xml:space="preserve">Monitoring these different fractions is important because it helps to understand </w:t>
      </w:r>
      <w:r w:rsidR="00A312F4">
        <w:t xml:space="preserve">how </w:t>
      </w:r>
      <w:r w:rsidR="00282874">
        <w:t>carbon dynamics in soil</w:t>
      </w:r>
      <w:r w:rsidR="00282874" w:rsidRPr="006E098D">
        <w:t xml:space="preserve"> </w:t>
      </w:r>
      <w:r w:rsidR="001E27BF">
        <w:t>i</w:t>
      </w:r>
      <w:r w:rsidR="00306EE9">
        <w:t>s affected by disturbance</w:t>
      </w:r>
      <w:r w:rsidR="00A312F4">
        <w:t>s</w:t>
      </w:r>
      <w:r w:rsidR="00306EE9">
        <w:t xml:space="preserve"> and how it can be effectively </w:t>
      </w:r>
      <w:r w:rsidR="00A312F4" w:rsidRPr="00CB108A">
        <w:t>restored</w:t>
      </w:r>
      <w:r w:rsidR="00306EE9" w:rsidRPr="00CB108A">
        <w:t xml:space="preserve"> </w:t>
      </w:r>
      <w:r w:rsidR="00282874" w:rsidRPr="00CB108A">
        <w:t>(Lehmann et al., 2008</w:t>
      </w:r>
      <w:r w:rsidR="00D80798" w:rsidRPr="00CB108A">
        <w:t>, Poeplau</w:t>
      </w:r>
      <w:r w:rsidR="00D80798">
        <w:t xml:space="preserve"> et al. 2018</w:t>
      </w:r>
      <w:r w:rsidR="00282874">
        <w:t>).</w:t>
      </w:r>
    </w:p>
    <w:p w14:paraId="4A8BE6F6" w14:textId="77777777" w:rsidR="00282874" w:rsidRDefault="00282874" w:rsidP="00057C77"/>
    <w:p w14:paraId="31E35ECB" w14:textId="755DCDEF" w:rsidR="00BE5732" w:rsidRDefault="00FE4930" w:rsidP="00BE5732">
      <w:r>
        <w:t>Recen</w:t>
      </w:r>
      <w:r w:rsidR="002804FD">
        <w:t>t</w:t>
      </w:r>
      <w:r>
        <w:t xml:space="preserve"> findings indicat</w:t>
      </w:r>
      <w:r w:rsidR="009002DB">
        <w:t>e</w:t>
      </w:r>
      <w:r>
        <w:t xml:space="preserve"> that it is not the “humic substances”</w:t>
      </w:r>
      <w:r w:rsidR="006E098D">
        <w:t xml:space="preserve"> </w:t>
      </w:r>
      <w:r w:rsidR="00406645">
        <w:t xml:space="preserve">as </w:t>
      </w:r>
      <w:r w:rsidR="0017564D">
        <w:t>partly decomposed plant compounds,</w:t>
      </w:r>
      <w:r w:rsidR="00406645">
        <w:t xml:space="preserve"> </w:t>
      </w:r>
      <w:r w:rsidR="006E098D">
        <w:t xml:space="preserve">which form the basis for </w:t>
      </w:r>
      <w:r w:rsidR="008B562D">
        <w:t xml:space="preserve">the </w:t>
      </w:r>
      <w:r w:rsidR="006E098D">
        <w:t xml:space="preserve">carbon sequestration potential </w:t>
      </w:r>
      <w:r w:rsidR="008B562D">
        <w:t xml:space="preserve">in soil, </w:t>
      </w:r>
      <w:r w:rsidR="006E098D">
        <w:t>and soil fertility</w:t>
      </w:r>
      <w:r w:rsidR="00406645">
        <w:t>, b</w:t>
      </w:r>
      <w:r w:rsidR="0017564D">
        <w:t>ut</w:t>
      </w:r>
      <w:r w:rsidR="00406645">
        <w:t xml:space="preserve"> rather microbial necromass (</w:t>
      </w:r>
      <w:r w:rsidR="00057C77">
        <w:t>microbial residues and their</w:t>
      </w:r>
      <w:r w:rsidR="001A6F5E">
        <w:t xml:space="preserve"> </w:t>
      </w:r>
      <w:r w:rsidR="00057C77">
        <w:t xml:space="preserve">biomolecular </w:t>
      </w:r>
      <w:r w:rsidR="001A6F5E">
        <w:t>coating</w:t>
      </w:r>
      <w:r w:rsidR="00057C77">
        <w:t xml:space="preserve"> of dead fungi</w:t>
      </w:r>
      <w:r w:rsidR="001A6F5E">
        <w:t xml:space="preserve"> and</w:t>
      </w:r>
      <w:r w:rsidR="00057C77">
        <w:t xml:space="preserve"> bacteria</w:t>
      </w:r>
      <w:r w:rsidR="001A6F5E">
        <w:t>)</w:t>
      </w:r>
      <w:r w:rsidR="00406645">
        <w:t>.</w:t>
      </w:r>
      <w:r w:rsidR="009002DB" w:rsidRPr="009002DB">
        <w:t xml:space="preserve"> </w:t>
      </w:r>
      <w:r w:rsidR="009002DB">
        <w:t>The contribution of microbe‐derived carbon to SOC could reach up to 82%</w:t>
      </w:r>
      <w:r w:rsidR="000855A9">
        <w:t xml:space="preserve"> (</w:t>
      </w:r>
      <w:r w:rsidR="000855A9" w:rsidRPr="000855A9">
        <w:t>47% to 80%</w:t>
      </w:r>
      <w:r w:rsidR="000855A9">
        <w:t>)</w:t>
      </w:r>
      <w:r w:rsidR="00B35163">
        <w:t xml:space="preserve"> (Liang et al. 2019)</w:t>
      </w:r>
      <w:r w:rsidR="009002DB">
        <w:t>.</w:t>
      </w:r>
      <w:r w:rsidR="00BB2A7C" w:rsidRPr="00BB2A7C">
        <w:t xml:space="preserve"> </w:t>
      </w:r>
      <w:r w:rsidR="00BB2A7C">
        <w:t xml:space="preserve">On that basis, </w:t>
      </w:r>
      <w:r w:rsidR="00BB2A7C" w:rsidRPr="00BE5732">
        <w:t>Cotrufo et al. (2019)</w:t>
      </w:r>
      <w:r w:rsidR="00BB2A7C" w:rsidRPr="00BB2A7C">
        <w:t xml:space="preserve"> </w:t>
      </w:r>
      <w:r w:rsidR="00BB2A7C">
        <w:t xml:space="preserve">distinguish </w:t>
      </w:r>
      <w:r w:rsidR="00A312F4">
        <w:t xml:space="preserve">a </w:t>
      </w:r>
      <w:r w:rsidR="00BB2A7C" w:rsidRPr="00BE5732">
        <w:t xml:space="preserve">mineral-associated organic matter (MAOM) </w:t>
      </w:r>
      <w:r w:rsidR="00A312F4">
        <w:t xml:space="preserve">pool, </w:t>
      </w:r>
      <w:r w:rsidR="00BB2A7C" w:rsidRPr="00BE5732">
        <w:t xml:space="preserve">and </w:t>
      </w:r>
      <w:r w:rsidR="00A312F4">
        <w:t xml:space="preserve">a </w:t>
      </w:r>
      <w:r w:rsidR="00BB2A7C" w:rsidRPr="00BE5732">
        <w:t>particulate organic matter pool (POM</w:t>
      </w:r>
      <w:r w:rsidR="00BB2A7C">
        <w:t>).</w:t>
      </w:r>
      <w:r w:rsidR="00BB2A7C" w:rsidRPr="00BB2A7C">
        <w:t xml:space="preserve"> </w:t>
      </w:r>
      <w:r w:rsidR="00A312F4">
        <w:t xml:space="preserve">It must be </w:t>
      </w:r>
      <w:r w:rsidR="0016378F">
        <w:t>additionally considered that SOC storage and accumulation requires</w:t>
      </w:r>
      <w:r w:rsidR="00BE5732">
        <w:t xml:space="preserve"> a specific amount of N (</w:t>
      </w:r>
      <w:r w:rsidR="00BE5732" w:rsidRPr="00A4180D">
        <w:rPr>
          <w:b/>
          <w:bCs/>
        </w:rPr>
        <w:t>N efficiency of C sequestration</w:t>
      </w:r>
      <w:r w:rsidR="00BE5732" w:rsidRPr="00CE497F">
        <w:t>). According Cotrufo et al.</w:t>
      </w:r>
      <w:r w:rsidR="00BE5732">
        <w:t xml:space="preserve"> (</w:t>
      </w:r>
      <w:r w:rsidR="00BE5732" w:rsidRPr="00CE497F">
        <w:t>2019), this amount of N depends on the share MAOM and POM, and their respective C/N ratios</w:t>
      </w:r>
      <w:r w:rsidR="00BE5732">
        <w:t xml:space="preserve">. POM consists of partly decomposed </w:t>
      </w:r>
      <w:r w:rsidR="00BE5732" w:rsidRPr="005A3AA2">
        <w:t xml:space="preserve">plant origin </w:t>
      </w:r>
      <w:r w:rsidR="00BE5732">
        <w:t xml:space="preserve">(with low N content), while MAOM seems mostly of microbial origin and is </w:t>
      </w:r>
      <w:r w:rsidR="00BE5732" w:rsidRPr="006564BD">
        <w:t>chemical</w:t>
      </w:r>
      <w:r w:rsidR="00BE5732">
        <w:t xml:space="preserve">ly </w:t>
      </w:r>
      <w:r w:rsidR="00BE5732" w:rsidRPr="006564BD">
        <w:t>bo</w:t>
      </w:r>
      <w:r w:rsidR="00BE5732">
        <w:t xml:space="preserve">unded </w:t>
      </w:r>
      <w:r w:rsidR="00BE5732" w:rsidRPr="006564BD">
        <w:t xml:space="preserve">to minerals </w:t>
      </w:r>
      <w:r w:rsidR="00BE5732">
        <w:t>thus</w:t>
      </w:r>
      <w:r w:rsidR="00BE5732" w:rsidRPr="006564BD">
        <w:t xml:space="preserve"> physical</w:t>
      </w:r>
      <w:r w:rsidR="00BE5732">
        <w:t>ly</w:t>
      </w:r>
      <w:r w:rsidR="00BE5732" w:rsidRPr="006564BD">
        <w:t xml:space="preserve"> protect</w:t>
      </w:r>
      <w:r w:rsidR="00BE5732">
        <w:t>ed</w:t>
      </w:r>
      <w:r w:rsidR="00BE5732" w:rsidRPr="006564BD">
        <w:t xml:space="preserve"> in small aggregates</w:t>
      </w:r>
      <w:r w:rsidR="00BE5732">
        <w:t>.</w:t>
      </w:r>
      <w:r w:rsidR="00143177">
        <w:t xml:space="preserve"> </w:t>
      </w:r>
      <w:r w:rsidR="00BE5732">
        <w:t xml:space="preserve">Cotrufo et al. (2019) hypothesize that any </w:t>
      </w:r>
      <w:r w:rsidR="00BE5732" w:rsidRPr="00325302">
        <w:t xml:space="preserve">additional C </w:t>
      </w:r>
      <w:r w:rsidR="00143177">
        <w:t xml:space="preserve">storage </w:t>
      </w:r>
      <w:r w:rsidR="00282874">
        <w:t xml:space="preserve">in soil </w:t>
      </w:r>
      <w:r w:rsidR="00BE5732" w:rsidRPr="00325302">
        <w:t>is only realized through POM accrual</w:t>
      </w:r>
      <w:r w:rsidR="00BE5732">
        <w:t xml:space="preserve">. This research indicates that the determination of carbon sequestration potential and monitoring of SOC </w:t>
      </w:r>
      <w:r w:rsidR="002804FD">
        <w:t xml:space="preserve">in </w:t>
      </w:r>
      <w:r w:rsidR="00BE5732">
        <w:t>response to management actions would require a different SOC analysis</w:t>
      </w:r>
      <w:r w:rsidR="001264F7">
        <w:t xml:space="preserve"> compared to what is currently still common practice</w:t>
      </w:r>
      <w:r w:rsidR="00BE5732">
        <w:t>.</w:t>
      </w:r>
    </w:p>
    <w:p w14:paraId="08732BAB" w14:textId="77777777" w:rsidR="009002DB" w:rsidRDefault="009002DB" w:rsidP="009002DB"/>
    <w:p w14:paraId="46F7B79D" w14:textId="0F50CCBE" w:rsidR="002A63C4" w:rsidRPr="004712E0" w:rsidRDefault="002A63C4" w:rsidP="00675792">
      <w:pPr>
        <w:pStyle w:val="EEALabel"/>
      </w:pPr>
      <w:bookmarkStart w:id="74" w:name="_Ref64555587"/>
      <w:bookmarkStart w:id="75" w:name="_Toc83997502"/>
      <w:bookmarkStart w:id="76" w:name="_Hlk61114041"/>
      <w:r w:rsidRPr="004712E0">
        <w:lastRenderedPageBreak/>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74"/>
      <w:r w:rsidRPr="004712E0">
        <w:t>:</w:t>
      </w:r>
      <w:r w:rsidRPr="004712E0">
        <w:tab/>
        <w:t>SOM pools in soils</w:t>
      </w:r>
      <w:bookmarkEnd w:id="75"/>
    </w:p>
    <w:bookmarkEnd w:id="76"/>
    <w:p w14:paraId="5B14696C" w14:textId="117DF73D" w:rsidR="002C7353" w:rsidRPr="00D03A96" w:rsidRDefault="002C7353" w:rsidP="002C7353">
      <w:pPr>
        <w:pStyle w:val="EEASource"/>
        <w:rPr>
          <w:rFonts w:eastAsia="Calibri"/>
          <w:i/>
          <w:iCs/>
        </w:rPr>
      </w:pPr>
    </w:p>
    <w:tbl>
      <w:tblPr>
        <w:tblStyle w:val="Tabellenraster"/>
        <w:tblW w:w="9498"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4957"/>
        <w:gridCol w:w="1838"/>
        <w:gridCol w:w="2703"/>
      </w:tblGrid>
      <w:tr w:rsidR="002C7353" w:rsidRPr="00930704" w14:paraId="7F17F03C" w14:textId="77777777" w:rsidTr="00675792">
        <w:trPr>
          <w:jc w:val="center"/>
        </w:trPr>
        <w:tc>
          <w:tcPr>
            <w:tcW w:w="4957" w:type="dxa"/>
            <w:shd w:val="pct10" w:color="auto" w:fill="auto"/>
            <w:vAlign w:val="center"/>
          </w:tcPr>
          <w:p w14:paraId="391D2A7A" w14:textId="77777777" w:rsidR="002C7353" w:rsidRPr="00930704" w:rsidRDefault="002C7353" w:rsidP="00CD55D6">
            <w:pPr>
              <w:pStyle w:val="EEAtableleftbold"/>
            </w:pPr>
            <w:r w:rsidRPr="00930704">
              <w:t xml:space="preserve">Organic </w:t>
            </w:r>
            <w:r>
              <w:t>matter</w:t>
            </w:r>
            <w:r w:rsidRPr="00930704">
              <w:t xml:space="preserve"> fractions</w:t>
            </w:r>
            <w:r>
              <w:t>/pools</w:t>
            </w:r>
          </w:p>
        </w:tc>
        <w:tc>
          <w:tcPr>
            <w:tcW w:w="1838" w:type="dxa"/>
            <w:shd w:val="pct10" w:color="auto" w:fill="auto"/>
            <w:vAlign w:val="center"/>
          </w:tcPr>
          <w:p w14:paraId="2EF366C8" w14:textId="77777777" w:rsidR="002C7353" w:rsidRPr="00930704" w:rsidRDefault="002C7353" w:rsidP="00CD55D6">
            <w:pPr>
              <w:pStyle w:val="EEAtableleftbold"/>
            </w:pPr>
            <w:r>
              <w:t>Approximate share</w:t>
            </w:r>
            <w:r w:rsidRPr="00930704">
              <w:t xml:space="preserve"> of total SO</w:t>
            </w:r>
            <w:r>
              <w:t>C</w:t>
            </w:r>
          </w:p>
        </w:tc>
        <w:tc>
          <w:tcPr>
            <w:tcW w:w="2703" w:type="dxa"/>
            <w:shd w:val="pct10" w:color="auto" w:fill="auto"/>
            <w:vAlign w:val="center"/>
          </w:tcPr>
          <w:p w14:paraId="4ABAE60A" w14:textId="77777777" w:rsidR="002C7353" w:rsidRPr="00930704" w:rsidRDefault="002C7353" w:rsidP="00CD55D6">
            <w:pPr>
              <w:pStyle w:val="EEAtableleftbold"/>
            </w:pPr>
            <w:r>
              <w:t>Characteristics of pool</w:t>
            </w:r>
          </w:p>
        </w:tc>
      </w:tr>
      <w:tr w:rsidR="002C7353" w14:paraId="7A62CF8B" w14:textId="77777777" w:rsidTr="00675792">
        <w:trPr>
          <w:jc w:val="center"/>
        </w:trPr>
        <w:tc>
          <w:tcPr>
            <w:tcW w:w="4957" w:type="dxa"/>
            <w:vAlign w:val="center"/>
          </w:tcPr>
          <w:p w14:paraId="54682F7F" w14:textId="77777777" w:rsidR="002C7353" w:rsidRDefault="002C7353" w:rsidP="00CD55D6">
            <w:pPr>
              <w:pStyle w:val="EEAtableleft"/>
            </w:pPr>
            <w:r>
              <w:t>M</w:t>
            </w:r>
            <w:r w:rsidRPr="00281EF0">
              <w:t>icrobial biomass</w:t>
            </w:r>
            <w:r>
              <w:t>-C</w:t>
            </w:r>
            <w:r w:rsidRPr="00281EF0">
              <w:t xml:space="preserve"> </w:t>
            </w:r>
            <w:r>
              <w:t>(bacteria, fungi)</w:t>
            </w:r>
          </w:p>
        </w:tc>
        <w:tc>
          <w:tcPr>
            <w:tcW w:w="1838" w:type="dxa"/>
            <w:vAlign w:val="center"/>
          </w:tcPr>
          <w:p w14:paraId="3BF30529" w14:textId="77777777" w:rsidR="002C7353" w:rsidRDefault="002C7353" w:rsidP="00CD55D6">
            <w:pPr>
              <w:pStyle w:val="EEATabcenter"/>
            </w:pPr>
            <w:r>
              <w:t>5%</w:t>
            </w:r>
          </w:p>
        </w:tc>
        <w:tc>
          <w:tcPr>
            <w:tcW w:w="2703" w:type="dxa"/>
            <w:vAlign w:val="center"/>
          </w:tcPr>
          <w:p w14:paraId="7519D08E" w14:textId="77777777" w:rsidR="002C7353" w:rsidRDefault="002C7353" w:rsidP="00CD55D6">
            <w:pPr>
              <w:pStyle w:val="EEATabcenter"/>
            </w:pPr>
            <w:r>
              <w:t>labile, active</w:t>
            </w:r>
          </w:p>
        </w:tc>
      </w:tr>
      <w:tr w:rsidR="002C7353" w14:paraId="368EF01E" w14:textId="77777777" w:rsidTr="00675792">
        <w:trPr>
          <w:jc w:val="center"/>
        </w:trPr>
        <w:tc>
          <w:tcPr>
            <w:tcW w:w="4957" w:type="dxa"/>
            <w:vAlign w:val="center"/>
          </w:tcPr>
          <w:p w14:paraId="3BC1005B" w14:textId="77777777" w:rsidR="002C7353" w:rsidRDefault="002C7353" w:rsidP="00CD55D6">
            <w:pPr>
              <w:pStyle w:val="EEAtableleft"/>
            </w:pPr>
            <w:r>
              <w:t>F</w:t>
            </w:r>
            <w:r w:rsidRPr="00281EF0">
              <w:t>resh organic material</w:t>
            </w:r>
            <w:r>
              <w:t xml:space="preserve"> (freshly added</w:t>
            </w:r>
            <w:r w:rsidRPr="00281EF0">
              <w:t xml:space="preserve"> </w:t>
            </w:r>
            <w:r>
              <w:t xml:space="preserve">plant and animal </w:t>
            </w:r>
            <w:r w:rsidRPr="00281EF0">
              <w:t>residues</w:t>
            </w:r>
            <w:r>
              <w:t>)</w:t>
            </w:r>
          </w:p>
        </w:tc>
        <w:tc>
          <w:tcPr>
            <w:tcW w:w="1838" w:type="dxa"/>
            <w:vAlign w:val="center"/>
          </w:tcPr>
          <w:p w14:paraId="76377C72" w14:textId="77777777" w:rsidR="002C7353" w:rsidRDefault="002C7353" w:rsidP="00CD55D6">
            <w:pPr>
              <w:pStyle w:val="EEATabcenter"/>
            </w:pPr>
            <w:r>
              <w:t>10%</w:t>
            </w:r>
          </w:p>
        </w:tc>
        <w:tc>
          <w:tcPr>
            <w:tcW w:w="2703" w:type="dxa"/>
            <w:vAlign w:val="center"/>
          </w:tcPr>
          <w:p w14:paraId="49AE1601" w14:textId="77777777" w:rsidR="002C7353" w:rsidRDefault="002C7353" w:rsidP="00CD55D6">
            <w:pPr>
              <w:pStyle w:val="EEATabcenter"/>
            </w:pPr>
            <w:r>
              <w:t>labile, active</w:t>
            </w:r>
          </w:p>
        </w:tc>
      </w:tr>
      <w:tr w:rsidR="002C7353" w14:paraId="15BA99C8" w14:textId="77777777" w:rsidTr="00675792">
        <w:trPr>
          <w:jc w:val="center"/>
        </w:trPr>
        <w:tc>
          <w:tcPr>
            <w:tcW w:w="4957" w:type="dxa"/>
            <w:vAlign w:val="center"/>
          </w:tcPr>
          <w:p w14:paraId="249E7AE1" w14:textId="77777777" w:rsidR="002C7353" w:rsidRPr="00281EF0" w:rsidRDefault="002C7353" w:rsidP="00CD55D6">
            <w:pPr>
              <w:pStyle w:val="EEAtableleft"/>
            </w:pPr>
            <w:r>
              <w:t>Active organic matter (partially decomposed residues)</w:t>
            </w:r>
          </w:p>
        </w:tc>
        <w:tc>
          <w:tcPr>
            <w:tcW w:w="1838" w:type="dxa"/>
            <w:vAlign w:val="center"/>
          </w:tcPr>
          <w:p w14:paraId="6EDCC441" w14:textId="77777777" w:rsidR="002C7353" w:rsidRDefault="002C7353" w:rsidP="00CD55D6">
            <w:pPr>
              <w:pStyle w:val="EEATabcenter"/>
            </w:pPr>
            <w:r>
              <w:t>33%</w:t>
            </w:r>
          </w:p>
        </w:tc>
        <w:tc>
          <w:tcPr>
            <w:tcW w:w="2703" w:type="dxa"/>
            <w:vAlign w:val="center"/>
          </w:tcPr>
          <w:p w14:paraId="2661EC7F" w14:textId="77777777" w:rsidR="002C7353" w:rsidRDefault="002C7353" w:rsidP="00CD55D6">
            <w:pPr>
              <w:pStyle w:val="EEATabcenter"/>
            </w:pPr>
            <w:r>
              <w:t>labile, active</w:t>
            </w:r>
          </w:p>
        </w:tc>
      </w:tr>
      <w:tr w:rsidR="002C7353" w14:paraId="2C4FC123" w14:textId="77777777" w:rsidTr="00675792">
        <w:trPr>
          <w:jc w:val="center"/>
        </w:trPr>
        <w:tc>
          <w:tcPr>
            <w:tcW w:w="4957" w:type="dxa"/>
            <w:vAlign w:val="center"/>
          </w:tcPr>
          <w:p w14:paraId="32AA58BC" w14:textId="60D1CECC" w:rsidR="002C7353" w:rsidRPr="00281EF0" w:rsidRDefault="002C7353" w:rsidP="00307C84">
            <w:pPr>
              <w:pStyle w:val="EEAtableleft"/>
            </w:pPr>
            <w:r w:rsidRPr="00307C84">
              <w:rPr>
                <w:iCs/>
              </w:rPr>
              <w:t>Humified</w:t>
            </w:r>
            <w:r w:rsidR="00307C84" w:rsidRPr="00307C84">
              <w:rPr>
                <w:b/>
                <w:bCs/>
                <w:vertAlign w:val="superscript"/>
              </w:rPr>
              <w:t>(1</w:t>
            </w:r>
            <w:r w:rsidR="006D5A9D" w:rsidRPr="00307C84">
              <w:rPr>
                <w:b/>
                <w:bCs/>
                <w:vertAlign w:val="superscript"/>
              </w:rPr>
              <w:t>)</w:t>
            </w:r>
            <w:r w:rsidRPr="00281EF0">
              <w:t xml:space="preserve"> organic matter (i.e. the well-decomposed and highly stable organic material also known as humus</w:t>
            </w:r>
            <w:r w:rsidR="00307C84">
              <w:t>)</w:t>
            </w:r>
          </w:p>
        </w:tc>
        <w:tc>
          <w:tcPr>
            <w:tcW w:w="1838" w:type="dxa"/>
            <w:vAlign w:val="center"/>
          </w:tcPr>
          <w:p w14:paraId="4C1AFE49" w14:textId="77777777" w:rsidR="002C7353" w:rsidRDefault="002C7353" w:rsidP="00CD55D6">
            <w:pPr>
              <w:pStyle w:val="EEATabcenter"/>
            </w:pPr>
            <w:r>
              <w:t>33%</w:t>
            </w:r>
          </w:p>
        </w:tc>
        <w:tc>
          <w:tcPr>
            <w:tcW w:w="2703" w:type="dxa"/>
            <w:vAlign w:val="center"/>
          </w:tcPr>
          <w:p w14:paraId="429A1621" w14:textId="77777777" w:rsidR="002C7353" w:rsidRDefault="002C7353" w:rsidP="00CD55D6">
            <w:pPr>
              <w:pStyle w:val="EEATabcenter"/>
            </w:pPr>
            <w:r>
              <w:t>stable, activity level depends on degree of organo-mineral complexation</w:t>
            </w:r>
          </w:p>
        </w:tc>
      </w:tr>
      <w:tr w:rsidR="002C7353" w14:paraId="6B4AC9F8" w14:textId="77777777" w:rsidTr="00675792">
        <w:trPr>
          <w:jc w:val="center"/>
        </w:trPr>
        <w:tc>
          <w:tcPr>
            <w:tcW w:w="4957" w:type="dxa"/>
            <w:vAlign w:val="center"/>
          </w:tcPr>
          <w:p w14:paraId="0AB12AB1" w14:textId="77777777" w:rsidR="002C7353" w:rsidRPr="00281EF0" w:rsidRDefault="002C7353" w:rsidP="00CD55D6">
            <w:pPr>
              <w:pStyle w:val="EEAtableleft"/>
            </w:pPr>
            <w:r>
              <w:t>Inert organic matter</w:t>
            </w:r>
          </w:p>
        </w:tc>
        <w:tc>
          <w:tcPr>
            <w:tcW w:w="1838" w:type="dxa"/>
            <w:vAlign w:val="center"/>
          </w:tcPr>
          <w:p w14:paraId="49BF8D02" w14:textId="77777777" w:rsidR="002C7353" w:rsidRDefault="002C7353" w:rsidP="00CD55D6">
            <w:pPr>
              <w:pStyle w:val="EEATabcenter"/>
            </w:pPr>
            <w:r>
              <w:t>20%</w:t>
            </w:r>
          </w:p>
        </w:tc>
        <w:tc>
          <w:tcPr>
            <w:tcW w:w="2703" w:type="dxa"/>
            <w:vAlign w:val="center"/>
          </w:tcPr>
          <w:p w14:paraId="54917538" w14:textId="77777777" w:rsidR="002C7353" w:rsidRDefault="002C7353" w:rsidP="00CD55D6">
            <w:pPr>
              <w:pStyle w:val="EEATabcenter"/>
            </w:pPr>
            <w:r>
              <w:t>constant, not active</w:t>
            </w:r>
          </w:p>
        </w:tc>
      </w:tr>
    </w:tbl>
    <w:p w14:paraId="2349E549" w14:textId="13DED6C3" w:rsidR="00675792" w:rsidRDefault="00380284" w:rsidP="00714D8B">
      <w:pPr>
        <w:pStyle w:val="EEASource"/>
        <w:rPr>
          <w:rFonts w:eastAsia="Calibri"/>
        </w:rPr>
      </w:pPr>
      <w:r w:rsidRPr="00F57659">
        <w:rPr>
          <w:rFonts w:eastAsia="Calibri"/>
          <w:b/>
        </w:rPr>
        <w:t>Source:</w:t>
      </w:r>
      <w:r>
        <w:rPr>
          <w:rFonts w:eastAsia="Calibri"/>
        </w:rPr>
        <w:t xml:space="preserve"> </w:t>
      </w:r>
      <w:r>
        <w:rPr>
          <w:rFonts w:eastAsia="Calibri"/>
        </w:rPr>
        <w:tab/>
      </w:r>
      <w:r w:rsidRPr="0022597B">
        <w:rPr>
          <w:rFonts w:eastAsia="Calibri"/>
        </w:rPr>
        <w:t xml:space="preserve">Gobin et </w:t>
      </w:r>
      <w:r>
        <w:rPr>
          <w:rFonts w:eastAsia="Calibri"/>
        </w:rPr>
        <w:t>al. (2011)</w:t>
      </w:r>
    </w:p>
    <w:p w14:paraId="2F332D20" w14:textId="398E15EE" w:rsidR="002C7353" w:rsidRDefault="00714D8B" w:rsidP="00714D8B">
      <w:pPr>
        <w:pStyle w:val="EEASource"/>
      </w:pPr>
      <w:r>
        <w:rPr>
          <w:rFonts w:eastAsia="Calibri"/>
          <w:b/>
        </w:rPr>
        <w:t>Note:</w:t>
      </w:r>
      <w:r>
        <w:rPr>
          <w:b/>
          <w:bCs/>
          <w:vertAlign w:val="superscript"/>
        </w:rPr>
        <w:tab/>
      </w:r>
      <w:r w:rsidR="00307C84">
        <w:rPr>
          <w:b/>
          <w:bCs/>
          <w:vertAlign w:val="superscript"/>
        </w:rPr>
        <w:t>(</w:t>
      </w:r>
      <w:r w:rsidR="00FB68B8" w:rsidRPr="00CE497F">
        <w:rPr>
          <w:b/>
          <w:bCs/>
          <w:vertAlign w:val="superscript"/>
        </w:rPr>
        <w:t>1</w:t>
      </w:r>
      <w:r w:rsidR="00380284" w:rsidRPr="00CE497F">
        <w:rPr>
          <w:b/>
          <w:bCs/>
          <w:vertAlign w:val="superscript"/>
        </w:rPr>
        <w:t>)</w:t>
      </w:r>
      <w:r>
        <w:rPr>
          <w:b/>
          <w:bCs/>
          <w:vertAlign w:val="superscript"/>
        </w:rPr>
        <w:t xml:space="preserve"> </w:t>
      </w:r>
      <w:r w:rsidR="00AC3773" w:rsidRPr="00BF5944">
        <w:t xml:space="preserve">Recently, the </w:t>
      </w:r>
      <w:r w:rsidR="006D5A9D">
        <w:t>role</w:t>
      </w:r>
      <w:r w:rsidR="00AC3773" w:rsidRPr="00BF5944">
        <w:t xml:space="preserve"> hum</w:t>
      </w:r>
      <w:r w:rsidR="004716D6">
        <w:t>i</w:t>
      </w:r>
      <w:r w:rsidR="00AC3773" w:rsidRPr="00BF5944">
        <w:t xml:space="preserve">c </w:t>
      </w:r>
      <w:r w:rsidR="00307C84">
        <w:t xml:space="preserve">of </w:t>
      </w:r>
      <w:r w:rsidR="00AC3773" w:rsidRPr="00BF5944">
        <w:t xml:space="preserve">substances </w:t>
      </w:r>
      <w:r w:rsidR="00415D69">
        <w:t>(</w:t>
      </w:r>
      <w:r w:rsidR="00415D69" w:rsidRPr="00415D69">
        <w:t>uncharacterized</w:t>
      </w:r>
      <w:r w:rsidR="00415D69">
        <w:t xml:space="preserve"> </w:t>
      </w:r>
      <w:r w:rsidR="00415D69" w:rsidRPr="00415D69">
        <w:t>structural composition</w:t>
      </w:r>
      <w:r w:rsidR="00415D69">
        <w:t xml:space="preserve">, </w:t>
      </w:r>
      <w:r w:rsidR="00AC3773" w:rsidRPr="00BF5944">
        <w:t xml:space="preserve">persistent, </w:t>
      </w:r>
      <w:r w:rsidR="00F07BBB" w:rsidRPr="00BF5944">
        <w:t>large-molecular-size</w:t>
      </w:r>
      <w:r w:rsidR="006A16B8">
        <w:t xml:space="preserve"> constituents) </w:t>
      </w:r>
      <w:r w:rsidR="007929B2" w:rsidRPr="00BF5944">
        <w:t>has been questioned</w:t>
      </w:r>
      <w:r w:rsidR="007D3D56">
        <w:t xml:space="preserve">; rather, humus </w:t>
      </w:r>
      <w:r w:rsidR="001B094C">
        <w:t>is</w:t>
      </w:r>
      <w:r w:rsidR="007D3D56">
        <w:t xml:space="preserve"> perceived a</w:t>
      </w:r>
      <w:r w:rsidR="00F07BBB" w:rsidRPr="00BF5944">
        <w:t>s a continuum of progressively decomposing organic compounds</w:t>
      </w:r>
      <w:r w:rsidR="00192913">
        <w:t xml:space="preserve"> (</w:t>
      </w:r>
      <w:r w:rsidR="00235739">
        <w:t xml:space="preserve">Lehmann </w:t>
      </w:r>
      <w:r w:rsidR="00FA2A29">
        <w:t>and Kleber 2015)</w:t>
      </w:r>
      <w:r w:rsidR="006A3FB3">
        <w:t>; s</w:t>
      </w:r>
      <w:r w:rsidR="00FD2B42">
        <w:t xml:space="preserve">ee </w:t>
      </w:r>
      <w:r w:rsidR="00451603" w:rsidRPr="00317784">
        <w:t>Liang et al. (2019)</w:t>
      </w:r>
      <w:r w:rsidR="00451603">
        <w:t xml:space="preserve"> </w:t>
      </w:r>
      <w:r w:rsidR="00FD2B42">
        <w:t xml:space="preserve">about </w:t>
      </w:r>
      <w:r w:rsidR="00817455">
        <w:t xml:space="preserve">the role </w:t>
      </w:r>
      <w:r w:rsidR="00D87EE7" w:rsidRPr="00D87EE7">
        <w:t xml:space="preserve">of microbial necromass </w:t>
      </w:r>
      <w:r w:rsidR="00451603">
        <w:t>in the</w:t>
      </w:r>
      <w:r w:rsidR="00D87EE7" w:rsidRPr="00D87EE7">
        <w:t xml:space="preserve"> </w:t>
      </w:r>
      <w:r w:rsidR="001264F7">
        <w:t>mineral-associated</w:t>
      </w:r>
      <w:r w:rsidR="001264F7" w:rsidRPr="00D87EE7">
        <w:t xml:space="preserve"> </w:t>
      </w:r>
      <w:r w:rsidR="00D87EE7" w:rsidRPr="00D87EE7">
        <w:t>organic matter</w:t>
      </w:r>
      <w:r w:rsidR="00817455">
        <w:t xml:space="preserve"> </w:t>
      </w:r>
      <w:r w:rsidR="00451603">
        <w:t>fraction</w:t>
      </w:r>
      <w:r w:rsidR="00551DF8">
        <w:t>; it can make up mor</w:t>
      </w:r>
      <w:r w:rsidR="002B471B">
        <w:t>e</w:t>
      </w:r>
      <w:r w:rsidR="00551DF8">
        <w:t xml:space="preserve"> than 50% of SOC</w:t>
      </w:r>
      <w:r w:rsidR="00817455" w:rsidRPr="00317784">
        <w:t>.</w:t>
      </w:r>
    </w:p>
    <w:p w14:paraId="2E226223" w14:textId="2BC059B1" w:rsidR="00675792" w:rsidRDefault="00675792" w:rsidP="0095454B"/>
    <w:p w14:paraId="0D3D9633" w14:textId="77777777" w:rsidR="00905518" w:rsidRDefault="00905518" w:rsidP="0095454B"/>
    <w:p w14:paraId="51C6C6DE" w14:textId="7C1C0B8C" w:rsidR="000702E2" w:rsidRDefault="000702E2" w:rsidP="000702E2">
      <w:r>
        <w:t xml:space="preserve">Despite of the importance to look at the different components of SOC (labile and stable fractions), and because of the challenges to routinely determine them, measurement of </w:t>
      </w:r>
      <w:r w:rsidRPr="00BD2C69">
        <w:rPr>
          <w:b/>
          <w:bCs/>
        </w:rPr>
        <w:t>total SOC</w:t>
      </w:r>
      <w:r>
        <w:t xml:space="preserve"> is common practice in soil monitoring networks, e.g. from dry combustion (for which many laboratories have routine operations in place).</w:t>
      </w:r>
      <w:r>
        <w:rPr>
          <w:rStyle w:val="Funotenzeichen"/>
        </w:rPr>
        <w:footnoteReference w:id="39"/>
      </w:r>
      <w:r>
        <w:t xml:space="preserve"> In addition, in order to avoid overestimations of SOC, the amount of mineral soil carbon must be determined </w:t>
      </w:r>
      <w:r w:rsidR="00BF5944">
        <w:t xml:space="preserve">and </w:t>
      </w:r>
      <w:r w:rsidRPr="00C83235">
        <w:t xml:space="preserve">removed </w:t>
      </w:r>
      <w:r>
        <w:t>from any SOC estimate (with calcareous soils, or after liming).</w:t>
      </w:r>
      <w:r w:rsidRPr="00C83235">
        <w:t xml:space="preserve"> </w:t>
      </w:r>
    </w:p>
    <w:p w14:paraId="1F1470D3" w14:textId="77777777" w:rsidR="00502670" w:rsidRDefault="00502670" w:rsidP="002C7353"/>
    <w:p w14:paraId="500CC98C" w14:textId="7F7AE683" w:rsidR="009002DB" w:rsidRPr="004E392D" w:rsidRDefault="009002DB" w:rsidP="009002DB">
      <w:r w:rsidRPr="004E392D">
        <w:t>SOC as an indicator is commonly expressed as concentration or stock</w:t>
      </w:r>
      <w:r w:rsidR="00905518">
        <w:t xml:space="preserve"> (</w:t>
      </w:r>
      <w:r w:rsidR="00E25B01" w:rsidRPr="00D03A96">
        <w:rPr>
          <w:i/>
          <w:iCs/>
        </w:rPr>
        <w:t>syn</w:t>
      </w:r>
      <w:r w:rsidR="00E25B01">
        <w:t xml:space="preserve">. </w:t>
      </w:r>
      <w:r w:rsidR="00905518">
        <w:t>pool size</w:t>
      </w:r>
      <w:r w:rsidR="00E25B01">
        <w:t>, density</w:t>
      </w:r>
      <w:r w:rsidR="00905518">
        <w:t>)</w:t>
      </w:r>
      <w:r w:rsidRPr="004E392D">
        <w:t xml:space="preserve">, and its quantification refers to </w:t>
      </w:r>
      <w:r>
        <w:t>a</w:t>
      </w:r>
      <w:r w:rsidRPr="004E392D">
        <w:t xml:space="preserve"> specific soil depth</w:t>
      </w:r>
      <w:r>
        <w:t>.</w:t>
      </w:r>
      <w:r w:rsidRPr="004D7960">
        <w:t xml:space="preserve"> </w:t>
      </w:r>
      <w:r>
        <w:t xml:space="preserve">In the following, key references are selected from the vast literature base about </w:t>
      </w:r>
      <w:r w:rsidRPr="00D03A96">
        <w:rPr>
          <w:b/>
          <w:bCs/>
        </w:rPr>
        <w:t>SOC measurement and monitoring</w:t>
      </w:r>
      <w:r w:rsidRPr="004E392D">
        <w:t>:</w:t>
      </w:r>
    </w:p>
    <w:p w14:paraId="159CED7B" w14:textId="77777777" w:rsidR="009002DB" w:rsidRDefault="009002DB" w:rsidP="0095454B">
      <w:pPr>
        <w:pStyle w:val="EEAbullet0"/>
      </w:pPr>
      <w:r w:rsidRPr="004E392D">
        <w:t>Reference literature about SOC to address policy needs including greenhouse gas inventories: Bispo et al. (2017), FAO (2019), IPCC (2019)</w:t>
      </w:r>
    </w:p>
    <w:p w14:paraId="404F578F" w14:textId="77777777" w:rsidR="009002DB" w:rsidRPr="004E392D" w:rsidRDefault="009002DB" w:rsidP="0095454B">
      <w:pPr>
        <w:pStyle w:val="EEAbullet0"/>
      </w:pPr>
      <w:r w:rsidRPr="004E392D">
        <w:t xml:space="preserve">Reference literature about SOC </w:t>
      </w:r>
      <w:r>
        <w:t xml:space="preserve">analysis: </w:t>
      </w:r>
      <w:r w:rsidRPr="00686519">
        <w:t>Nelson</w:t>
      </w:r>
      <w:r>
        <w:t xml:space="preserve"> </w:t>
      </w:r>
      <w:r w:rsidRPr="00686519">
        <w:t>and Sommers (1996)</w:t>
      </w:r>
      <w:r>
        <w:t>, Standard Operating Procedures (SOP) of the Global Soil Laboratory Network (GLOSOLAN)</w:t>
      </w:r>
      <w:r>
        <w:rPr>
          <w:rStyle w:val="Funotenzeichen"/>
        </w:rPr>
        <w:footnoteReference w:id="40"/>
      </w:r>
      <w:r>
        <w:t xml:space="preserve"> </w:t>
      </w:r>
    </w:p>
    <w:p w14:paraId="3EDED48D" w14:textId="0AC4D004" w:rsidR="009002DB" w:rsidRPr="004E392D" w:rsidRDefault="009002DB" w:rsidP="0095454B">
      <w:pPr>
        <w:pStyle w:val="EEAbullet0"/>
      </w:pPr>
      <w:r w:rsidRPr="004E392D">
        <w:t xml:space="preserve">Reference literature about SOC monitoring: </w:t>
      </w:r>
      <w:r w:rsidR="00165148" w:rsidRPr="00165148">
        <w:t xml:space="preserve">Goidts </w:t>
      </w:r>
      <w:r w:rsidR="00165148">
        <w:t xml:space="preserve">et al. </w:t>
      </w:r>
      <w:r w:rsidR="00165148" w:rsidRPr="00CD55D6">
        <w:rPr>
          <w:lang w:val="de-AT"/>
        </w:rPr>
        <w:t xml:space="preserve">(2009), </w:t>
      </w:r>
      <w:r w:rsidRPr="00CD55D6">
        <w:rPr>
          <w:lang w:val="de-AT"/>
        </w:rPr>
        <w:t xml:space="preserve">Schrumpf et al. (2011), Poeplau et al. </w:t>
      </w:r>
      <w:r w:rsidRPr="004E392D">
        <w:t>(2017)</w:t>
      </w:r>
      <w:r>
        <w:t>, Arrouays et al. (2018)</w:t>
      </w:r>
      <w:r w:rsidRPr="004E392D">
        <w:t xml:space="preserve"> </w:t>
      </w:r>
    </w:p>
    <w:p w14:paraId="7DBCD38D" w14:textId="77777777" w:rsidR="009002DB" w:rsidRDefault="009002DB" w:rsidP="002C7353"/>
    <w:p w14:paraId="76AF8C74" w14:textId="64C1355A" w:rsidR="002C7353" w:rsidRDefault="002C7353" w:rsidP="002C7353">
      <w:r>
        <w:t xml:space="preserve">In the context of the assessment of soil degradation, the following </w:t>
      </w:r>
      <w:r w:rsidR="00D818FA">
        <w:t xml:space="preserve">functional </w:t>
      </w:r>
      <w:r w:rsidR="008C7C0C">
        <w:t xml:space="preserve">soil carbon </w:t>
      </w:r>
      <w:r>
        <w:t>indicator is proposed, based on the spatial quantification of soil carbon concentrations or soil carbon stock</w:t>
      </w:r>
      <w:r w:rsidR="008C7C0C">
        <w:t>s</w:t>
      </w:r>
      <w:r>
        <w:t xml:space="preserve"> in a given depth:</w:t>
      </w:r>
    </w:p>
    <w:p w14:paraId="47AC45FC" w14:textId="77777777" w:rsidR="002C7353" w:rsidRDefault="002C7353" w:rsidP="002C7353"/>
    <w:p w14:paraId="3705BA86" w14:textId="5CF827B1" w:rsidR="002C7353" w:rsidRPr="00776F43" w:rsidRDefault="002C7353" w:rsidP="002C7353">
      <w:pPr>
        <w:pStyle w:val="EEAformula"/>
        <w:rPr>
          <w:sz w:val="32"/>
          <w:szCs w:val="32"/>
        </w:rPr>
      </w:pPr>
      <w:r w:rsidRPr="00776F43">
        <w:rPr>
          <w:sz w:val="32"/>
          <w:szCs w:val="32"/>
        </w:rPr>
        <w:t xml:space="preserve">SOC area </w:t>
      </w:r>
      <w:r w:rsidRPr="00776F43">
        <w:rPr>
          <w:sz w:val="32"/>
          <w:szCs w:val="32"/>
          <w:vertAlign w:val="subscript"/>
        </w:rPr>
        <w:t>degraded</w:t>
      </w:r>
      <w:r w:rsidRPr="00776F43">
        <w:rPr>
          <w:sz w:val="32"/>
          <w:szCs w:val="32"/>
        </w:rPr>
        <w:t xml:space="preserve"> = soil area </w:t>
      </w:r>
      <w:r w:rsidRPr="00776F43">
        <w:rPr>
          <w:sz w:val="32"/>
          <w:szCs w:val="32"/>
          <w:vertAlign w:val="subscript"/>
        </w:rPr>
        <w:t xml:space="preserve">SOC concentration (or stock) &lt; </w:t>
      </w:r>
      <w:r w:rsidR="00C151A7">
        <w:rPr>
          <w:sz w:val="32"/>
          <w:szCs w:val="32"/>
          <w:vertAlign w:val="subscript"/>
        </w:rPr>
        <w:t>threshold</w:t>
      </w:r>
    </w:p>
    <w:p w14:paraId="71D188AF" w14:textId="77777777" w:rsidR="002C7353" w:rsidRDefault="002C7353" w:rsidP="0095454B"/>
    <w:p w14:paraId="0E7591E5" w14:textId="10C2A52B" w:rsidR="002C7353" w:rsidRPr="00F361C9" w:rsidRDefault="002C7353" w:rsidP="0095454B">
      <w:pPr>
        <w:rPr>
          <w:rFonts w:asciiTheme="majorHAnsi" w:hAnsiTheme="majorHAnsi" w:cstheme="majorHAnsi"/>
          <w:szCs w:val="22"/>
        </w:rPr>
      </w:pPr>
      <w:r w:rsidRPr="00F361C9">
        <w:rPr>
          <w:rFonts w:asciiTheme="majorHAnsi" w:hAnsiTheme="majorHAnsi" w:cstheme="majorHAnsi"/>
          <w:i/>
          <w:szCs w:val="22"/>
        </w:rPr>
        <w:t>SOC</w:t>
      </w:r>
      <w:r w:rsidRPr="00F361C9">
        <w:rPr>
          <w:rFonts w:asciiTheme="majorHAnsi" w:hAnsiTheme="majorHAnsi" w:cstheme="majorHAnsi"/>
          <w:i/>
          <w:szCs w:val="22"/>
          <w:vertAlign w:val="subscript"/>
        </w:rPr>
        <w:t>concentration</w:t>
      </w:r>
      <w:r w:rsidRPr="00F361C9">
        <w:rPr>
          <w:rFonts w:asciiTheme="majorHAnsi" w:hAnsiTheme="majorHAnsi" w:cstheme="majorHAnsi"/>
          <w:i/>
          <w:szCs w:val="22"/>
        </w:rPr>
        <w:t xml:space="preserve"> </w:t>
      </w:r>
      <w:r w:rsidRPr="00F361C9">
        <w:rPr>
          <w:rFonts w:asciiTheme="majorHAnsi" w:hAnsiTheme="majorHAnsi" w:cstheme="majorHAnsi"/>
          <w:szCs w:val="22"/>
        </w:rPr>
        <w:t xml:space="preserve">is expressed as the concentration of </w:t>
      </w:r>
      <w:r w:rsidR="00030F2D">
        <w:rPr>
          <w:rFonts w:asciiTheme="majorHAnsi" w:hAnsiTheme="majorHAnsi" w:cstheme="majorHAnsi"/>
          <w:szCs w:val="22"/>
        </w:rPr>
        <w:t xml:space="preserve">organic </w:t>
      </w:r>
      <w:r w:rsidRPr="00F361C9">
        <w:rPr>
          <w:rFonts w:asciiTheme="majorHAnsi" w:hAnsiTheme="majorHAnsi" w:cstheme="majorHAnsi"/>
          <w:szCs w:val="22"/>
        </w:rPr>
        <w:t>carbon in fine soil (fractions &lt; 2 mm) on a mass basis (e.g. in units such as g C kg</w:t>
      </w:r>
      <w:r w:rsidRPr="00F361C9">
        <w:rPr>
          <w:rFonts w:asciiTheme="majorHAnsi" w:hAnsiTheme="majorHAnsi" w:cstheme="majorHAnsi"/>
          <w:szCs w:val="22"/>
          <w:vertAlign w:val="superscript"/>
        </w:rPr>
        <w:t>-1</w:t>
      </w:r>
      <w:r w:rsidRPr="00F361C9">
        <w:rPr>
          <w:rFonts w:asciiTheme="majorHAnsi" w:hAnsiTheme="majorHAnsi" w:cstheme="majorHAnsi"/>
          <w:szCs w:val="22"/>
        </w:rPr>
        <w:t xml:space="preserve"> soil), from a sample representing a certain soil layer or soil horizon of a specific depth. </w:t>
      </w:r>
    </w:p>
    <w:p w14:paraId="4F6ABC75" w14:textId="1E028D81" w:rsidR="002C7353" w:rsidRDefault="002C7353" w:rsidP="002C7353">
      <w:pPr>
        <w:pStyle w:val="EEA-Standardindent3cm"/>
        <w:ind w:left="0"/>
        <w:rPr>
          <w:rFonts w:asciiTheme="majorHAnsi" w:hAnsiTheme="majorHAnsi" w:cstheme="majorHAnsi"/>
          <w:szCs w:val="22"/>
        </w:rPr>
      </w:pPr>
    </w:p>
    <w:p w14:paraId="62FB3CEB" w14:textId="77777777" w:rsidR="008A3F2D" w:rsidRPr="00F361C9" w:rsidRDefault="008A3F2D" w:rsidP="0095454B"/>
    <w:p w14:paraId="4CCCAC2B" w14:textId="0A0D49A4" w:rsidR="002C7353" w:rsidRPr="00F361C9" w:rsidRDefault="002C7353" w:rsidP="0095454B">
      <w:r w:rsidRPr="00F361C9">
        <w:rPr>
          <w:i/>
        </w:rPr>
        <w:lastRenderedPageBreak/>
        <w:t>SOC</w:t>
      </w:r>
      <w:r w:rsidRPr="00F361C9">
        <w:rPr>
          <w:i/>
          <w:vertAlign w:val="subscript"/>
        </w:rPr>
        <w:t>stock</w:t>
      </w:r>
      <w:r w:rsidRPr="00F361C9">
        <w:t xml:space="preserve"> is the total amount of </w:t>
      </w:r>
      <w:r w:rsidRPr="00F361C9">
        <w:rPr>
          <w:i/>
        </w:rPr>
        <w:t>SOC</w:t>
      </w:r>
      <w:r w:rsidRPr="00F361C9">
        <w:rPr>
          <w:i/>
          <w:vertAlign w:val="subscript"/>
        </w:rPr>
        <w:t>concentration</w:t>
      </w:r>
      <w:r w:rsidRPr="00F361C9">
        <w:rPr>
          <w:i/>
        </w:rPr>
        <w:t>,</w:t>
      </w:r>
      <w:r w:rsidRPr="00F361C9">
        <w:t xml:space="preserve"> per area and layer/horizon thickness (e.g. in units such as ton C ha</w:t>
      </w:r>
      <w:r w:rsidRPr="00F361C9">
        <w:rPr>
          <w:vertAlign w:val="superscript"/>
        </w:rPr>
        <w:t>-1</w:t>
      </w:r>
      <w:r w:rsidRPr="00F361C9">
        <w:t xml:space="preserve">); it depends on the bulk density </w:t>
      </w:r>
      <w:r w:rsidR="00C151A7">
        <w:t xml:space="preserve">and the stone content </w:t>
      </w:r>
      <w:r w:rsidRPr="00F361C9">
        <w:t xml:space="preserve">of the soil. </w:t>
      </w:r>
    </w:p>
    <w:p w14:paraId="62F5DB64" w14:textId="77777777" w:rsidR="002C7353" w:rsidRDefault="002C7353" w:rsidP="0095454B"/>
    <w:p w14:paraId="0CEE6924" w14:textId="36B7384F" w:rsidR="002C7353" w:rsidRDefault="002C7353" w:rsidP="0095454B">
      <w:r>
        <w:t>SOC</w:t>
      </w:r>
      <w:r w:rsidRPr="00C352AA">
        <w:rPr>
          <w:vertAlign w:val="subscript"/>
        </w:rPr>
        <w:t>stock</w:t>
      </w:r>
      <w:r>
        <w:t xml:space="preserve"> is the reporting unit in greenhouse gas inventories (Goulding et al., 2013). Because bulk density is not always measured, pedo-transfer functions are available (see e.g. Hollis et al., 2012), although this approach is error-prone (Wiesmeier et al. 2012). Farm advisors usually build their recommendations on SOC</w:t>
      </w:r>
      <w:r w:rsidRPr="000825C2">
        <w:rPr>
          <w:vertAlign w:val="subscript"/>
        </w:rPr>
        <w:t>concentration</w:t>
      </w:r>
      <w:r>
        <w:t xml:space="preserve">. </w:t>
      </w:r>
      <w:r w:rsidR="00C151A7">
        <w:t>Reg</w:t>
      </w:r>
      <w:r w:rsidR="009973B9">
        <w:t>ar</w:t>
      </w:r>
      <w:r w:rsidR="00C151A7">
        <w:t xml:space="preserve">ding the stone content, </w:t>
      </w:r>
      <w:r w:rsidR="00030F2D">
        <w:t>it is often negl</w:t>
      </w:r>
      <w:r w:rsidR="00F922A6">
        <w:t>e</w:t>
      </w:r>
      <w:r w:rsidR="00030F2D">
        <w:t xml:space="preserve">cted in agricultural </w:t>
      </w:r>
      <w:r w:rsidR="0032212F">
        <w:t>topsoils</w:t>
      </w:r>
      <w:r w:rsidR="00030F2D">
        <w:t xml:space="preserve">; however, </w:t>
      </w:r>
      <w:r w:rsidR="003E5BE8">
        <w:t xml:space="preserve">following recommendations by IPCC (2006), it is good practice to quantify carbon stocks </w:t>
      </w:r>
      <w:r w:rsidR="003E2B4D">
        <w:t>in subsoils in order to quantif</w:t>
      </w:r>
      <w:r w:rsidR="002074BE">
        <w:t>y</w:t>
      </w:r>
      <w:r w:rsidR="003E2B4D">
        <w:t xml:space="preserve">, which amount of carbon is vertically redistributed, and which part is lost (or gained) in the </w:t>
      </w:r>
      <w:r w:rsidR="002074BE">
        <w:t>local soil under investigation. For this reason</w:t>
      </w:r>
      <w:r w:rsidR="00B32CF5">
        <w:t>,</w:t>
      </w:r>
      <w:r w:rsidR="002074BE">
        <w:t xml:space="preserve"> </w:t>
      </w:r>
      <w:r w:rsidR="00B32CF5">
        <w:t xml:space="preserve">the </w:t>
      </w:r>
      <w:r w:rsidR="00F922A6">
        <w:t>weight,</w:t>
      </w:r>
      <w:r w:rsidR="00B32CF5">
        <w:t xml:space="preserve"> or the volume of </w:t>
      </w:r>
      <w:r w:rsidR="002074BE">
        <w:t xml:space="preserve">fine gravel (inside the </w:t>
      </w:r>
      <w:r w:rsidR="00B32CF5">
        <w:t xml:space="preserve">sampling cylinders for determining bulk density) as well as coarse gravel and stones need to be estimated. </w:t>
      </w:r>
    </w:p>
    <w:p w14:paraId="31444D71" w14:textId="77777777" w:rsidR="002C7353" w:rsidRDefault="002C7353" w:rsidP="0095454B"/>
    <w:p w14:paraId="3BD5CA5C" w14:textId="77777777" w:rsidR="002C7353" w:rsidRDefault="002C7353" w:rsidP="0095454B"/>
    <w:p w14:paraId="13C10BDC" w14:textId="68489B1A" w:rsidR="002C7353" w:rsidRDefault="002C7353" w:rsidP="002C7353">
      <w:pPr>
        <w:pStyle w:val="berschrift2"/>
      </w:pPr>
      <w:bookmarkStart w:id="77" w:name="_Toc60925147"/>
      <w:bookmarkStart w:id="78" w:name="_Toc83997330"/>
      <w:r w:rsidRPr="00BC1304">
        <w:t>Critical limits for soil organic carbon</w:t>
      </w:r>
      <w:bookmarkEnd w:id="77"/>
      <w:bookmarkEnd w:id="78"/>
    </w:p>
    <w:p w14:paraId="392B095E" w14:textId="3ACDBB5D" w:rsidR="009D5972" w:rsidRPr="009D5972" w:rsidRDefault="000C097B" w:rsidP="002C488D">
      <w:pPr>
        <w:pStyle w:val="berschrift2"/>
        <w:numPr>
          <w:ilvl w:val="2"/>
          <w:numId w:val="3"/>
        </w:numPr>
        <w:rPr>
          <w:rStyle w:val="FormatvorlageFormatvorlageberschrift3Zchn1"/>
        </w:rPr>
      </w:pPr>
      <w:bookmarkStart w:id="79" w:name="_Toc83997331"/>
      <w:r w:rsidRPr="000C097B">
        <w:rPr>
          <w:rStyle w:val="FormatvorlageFormatvorlageberschrift3Zchn1"/>
        </w:rPr>
        <w:t>Overview of approaches to determine degradation by SOC</w:t>
      </w:r>
      <w:bookmarkEnd w:id="79"/>
    </w:p>
    <w:p w14:paraId="2BEF510E" w14:textId="77777777" w:rsidR="009D5972" w:rsidRDefault="009D5972" w:rsidP="002C7353"/>
    <w:p w14:paraId="21833FD4" w14:textId="2EDA49B0" w:rsidR="002C7353" w:rsidRDefault="00F922A6" w:rsidP="002C7353">
      <w:r>
        <w:t>About</w:t>
      </w:r>
      <w:r w:rsidR="002C7353">
        <w:t xml:space="preserve"> the effects of soil management and the derivation of SOC thresholds for sustainable soil management, most available studies about thresholds have focused on the effect of SOC decline on crop yield. Crop yield is the result of the interaction of many factors in particular soil fertility, for which SOM and nutrient availability is important, as much as sufficient water. Hence, crop yield could be </w:t>
      </w:r>
      <w:r>
        <w:t>considered</w:t>
      </w:r>
      <w:r w:rsidR="002C7353">
        <w:t xml:space="preserve"> as a parameter </w:t>
      </w:r>
      <w:r w:rsidR="00307C84">
        <w:t xml:space="preserve">for the definition of </w:t>
      </w:r>
      <w:r w:rsidR="002C7353">
        <w:t xml:space="preserve">SOC threshold. </w:t>
      </w:r>
    </w:p>
    <w:p w14:paraId="433477D0" w14:textId="77777777" w:rsidR="002C7353" w:rsidRDefault="002C7353" w:rsidP="002C7353"/>
    <w:p w14:paraId="4EE5518F" w14:textId="1BAE7ACB" w:rsidR="002C7353" w:rsidRDefault="002C7353" w:rsidP="002C7353">
      <w:r>
        <w:t xml:space="preserve">Recently, Oldfield et al. (2019) developed a quantitative model exploring how SOC relates to crop yield potential of maize and wheat, considering co-varying factors of management, soil type and climate; SOC is found to have an impact on yield also with zero input of N. Yields of these two crops are on average greater with higher concentrations of SOC, with yield increases levelling off at 2% SOC (Oldfield et al., 2019). Significant correlations between SOM and </w:t>
      </w:r>
      <w:r w:rsidR="00C063E0">
        <w:t xml:space="preserve">soil </w:t>
      </w:r>
      <w:r>
        <w:t xml:space="preserve">productivity have been found also for cereals, even under fertilization regimes (Pan et al., 2009); for rice, SOM positively correlated with the yield under no fertilization, contributing to 70% of the rice yield when under fertilization (Zhao et al., 2016). While these studies are often local, it seems difficult to drive globally valid thresholds for SOC-yield relationships. </w:t>
      </w:r>
    </w:p>
    <w:p w14:paraId="4E76C379" w14:textId="77777777" w:rsidR="002C7353" w:rsidRDefault="002C7353" w:rsidP="002C7353"/>
    <w:p w14:paraId="3D35E1B5" w14:textId="1374B4A5" w:rsidR="002C7353" w:rsidRDefault="002C7353" w:rsidP="002C7353">
      <w:r>
        <w:t>An often-mentioned SOC threshold is 2% (~3.4% SOM) (</w:t>
      </w:r>
      <w:r w:rsidRPr="00A921B0">
        <w:t>Kemper and Koch, 1966; Greenland et al., 1975,</w:t>
      </w:r>
      <w:r>
        <w:t xml:space="preserve"> both cited from </w:t>
      </w:r>
      <w:r w:rsidRPr="00337829">
        <w:t>Huber et al., 2008</w:t>
      </w:r>
      <w:r>
        <w:t xml:space="preserve">), below which potentially serious degradation of soil would occur. Loveland and Webb (2003) summarised what is known about critical thresholds of SOC </w:t>
      </w:r>
      <w:r w:rsidR="00806531">
        <w:t>respectively</w:t>
      </w:r>
      <w:r>
        <w:t xml:space="preserve"> SOM, mainly in soils of temperate regions (for tropical soils</w:t>
      </w:r>
      <w:r w:rsidR="00806531">
        <w:t>,</w:t>
      </w:r>
      <w:r>
        <w:t xml:space="preserve"> see Musinguzi et al., 2013). They concluded that the quantitative evidence for thresholds is limited; a SOC threshold of 1% seems more appropriate than 2%. Below that level, “</w:t>
      </w:r>
      <w:r w:rsidRPr="00C3226F">
        <w:t xml:space="preserve">and without addition of exogenous soil organic matter and fertilizers, a disequilibrium in N-supply to plants might occur, leading to a decrease of both SOM and </w:t>
      </w:r>
      <w:r>
        <w:t xml:space="preserve">consequently </w:t>
      </w:r>
      <w:r w:rsidRPr="00C3226F">
        <w:t>biomass production</w:t>
      </w:r>
      <w:r>
        <w:t>” (</w:t>
      </w:r>
      <w:r w:rsidRPr="00410AF1">
        <w:t xml:space="preserve">Körschens et </w:t>
      </w:r>
      <w:r>
        <w:t xml:space="preserve">al. </w:t>
      </w:r>
      <w:r w:rsidRPr="00156853">
        <w:t>1998). Wessolek et al. (2008) also question</w:t>
      </w:r>
      <w:r>
        <w:t xml:space="preserve"> the 2% threshold for SOC, because it cannot be achieved for various soils with naturally low SOC levels – not even through practices with optimal supply of organic matter (e.g. sandy cropland soils in north-eastern Germany).</w:t>
      </w:r>
    </w:p>
    <w:p w14:paraId="5720B40B" w14:textId="77777777" w:rsidR="002C7353" w:rsidRDefault="002C7353" w:rsidP="002C7353"/>
    <w:p w14:paraId="479CE5AD" w14:textId="1E213FE5" w:rsidR="002C7353" w:rsidRDefault="002C7353" w:rsidP="002C7353">
      <w:r w:rsidRPr="008B15D7">
        <w:rPr>
          <w:rFonts w:asciiTheme="majorHAnsi" w:hAnsiTheme="majorHAnsi" w:cstheme="majorHAnsi"/>
          <w:szCs w:val="22"/>
        </w:rPr>
        <w:t xml:space="preserve">Loveland and Webb (2003) conclude that quantitative evidence for </w:t>
      </w:r>
      <w:r>
        <w:rPr>
          <w:rFonts w:asciiTheme="majorHAnsi" w:hAnsiTheme="majorHAnsi" w:cstheme="majorHAnsi"/>
          <w:szCs w:val="22"/>
        </w:rPr>
        <w:t xml:space="preserve">single thresholds </w:t>
      </w:r>
      <w:r w:rsidRPr="008B15D7">
        <w:rPr>
          <w:rFonts w:asciiTheme="majorHAnsi" w:hAnsiTheme="majorHAnsi" w:cstheme="majorHAnsi"/>
          <w:szCs w:val="22"/>
        </w:rPr>
        <w:t xml:space="preserve">in relation to crop yields is difficult to </w:t>
      </w:r>
      <w:r>
        <w:rPr>
          <w:rFonts w:asciiTheme="majorHAnsi" w:hAnsiTheme="majorHAnsi" w:cstheme="majorHAnsi"/>
          <w:szCs w:val="22"/>
        </w:rPr>
        <w:t>broadly apply</w:t>
      </w:r>
      <w:r w:rsidRPr="008B15D7">
        <w:rPr>
          <w:rFonts w:asciiTheme="majorHAnsi" w:hAnsiTheme="majorHAnsi" w:cstheme="majorHAnsi"/>
          <w:szCs w:val="22"/>
        </w:rPr>
        <w:t>.</w:t>
      </w:r>
      <w:r>
        <w:rPr>
          <w:rFonts w:asciiTheme="majorHAnsi" w:hAnsiTheme="majorHAnsi" w:cstheme="majorHAnsi"/>
          <w:szCs w:val="22"/>
        </w:rPr>
        <w:t xml:space="preserve"> Rather, any typical SOC content can only be determined if specific soil, management, and climatic conditions are considered. G</w:t>
      </w:r>
      <w:r>
        <w:t xml:space="preserve">iven the diversity of soils and growing factors, </w:t>
      </w:r>
      <w:r w:rsidR="00A054A0">
        <w:t>one</w:t>
      </w:r>
      <w:r>
        <w:t xml:space="preserve"> universal value for a critical minimum SOC level may not be appropriate (Goulding et al., 2013).</w:t>
      </w:r>
      <w:r w:rsidR="00E40DF8">
        <w:t xml:space="preserve"> </w:t>
      </w:r>
      <w:r w:rsidR="002E0086">
        <w:fldChar w:fldCharType="begin"/>
      </w:r>
      <w:r w:rsidR="002E0086">
        <w:instrText xml:space="preserve"> REF _Ref64555606 \h </w:instrText>
      </w:r>
      <w:r w:rsidR="002E0086">
        <w:fldChar w:fldCharType="separate"/>
      </w:r>
      <w:r w:rsidR="0067767C" w:rsidRPr="004712E0">
        <w:t xml:space="preserve">Table </w:t>
      </w:r>
      <w:r w:rsidR="0067767C">
        <w:rPr>
          <w:noProof/>
        </w:rPr>
        <w:t>2</w:t>
      </w:r>
      <w:r w:rsidR="0067767C">
        <w:noBreakHyphen/>
      </w:r>
      <w:r w:rsidR="0067767C">
        <w:rPr>
          <w:noProof/>
        </w:rPr>
        <w:t>3</w:t>
      </w:r>
      <w:r w:rsidR="002E0086">
        <w:fldChar w:fldCharType="end"/>
      </w:r>
      <w:r>
        <w:t xml:space="preserve"> presents an overview of thresholds for SOC as discussed in this report.</w:t>
      </w:r>
    </w:p>
    <w:p w14:paraId="6923EE65" w14:textId="1355C81A" w:rsidR="00A054A0" w:rsidRDefault="00A054A0">
      <w:pPr>
        <w:suppressAutoHyphens w:val="0"/>
        <w:jc w:val="left"/>
      </w:pPr>
      <w:r>
        <w:br w:type="page"/>
      </w:r>
    </w:p>
    <w:p w14:paraId="5CEA3C20" w14:textId="77777777" w:rsidR="002C7353" w:rsidRDefault="002C7353" w:rsidP="002C7353"/>
    <w:p w14:paraId="6169E3F4" w14:textId="16404131" w:rsidR="00DA6FF5" w:rsidRDefault="00DA6FF5" w:rsidP="00675792">
      <w:pPr>
        <w:pStyle w:val="EEALabel"/>
      </w:pPr>
      <w:bookmarkStart w:id="80" w:name="_Ref64555606"/>
      <w:bookmarkStart w:id="81" w:name="_Toc83997503"/>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3</w:t>
      </w:r>
      <w:r w:rsidR="00C76C23">
        <w:fldChar w:fldCharType="end"/>
      </w:r>
      <w:bookmarkEnd w:id="80"/>
      <w:r w:rsidRPr="004712E0">
        <w:t>:</w:t>
      </w:r>
      <w:r w:rsidRPr="004712E0">
        <w:tab/>
        <w:t>Overview of Chapter 2.3 on SOC thresholds</w:t>
      </w:r>
      <w:bookmarkEnd w:id="81"/>
    </w:p>
    <w:p w14:paraId="5F184B39" w14:textId="77777777" w:rsidR="00675792" w:rsidRPr="00675792" w:rsidRDefault="00675792" w:rsidP="00675792"/>
    <w:tbl>
      <w:tblPr>
        <w:tblStyle w:val="Tabellenraster"/>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970"/>
        <w:gridCol w:w="4310"/>
        <w:gridCol w:w="4076"/>
      </w:tblGrid>
      <w:tr w:rsidR="002C7353" w:rsidRPr="003323AE" w14:paraId="15A51A8C" w14:textId="77777777" w:rsidTr="00675792">
        <w:tc>
          <w:tcPr>
            <w:tcW w:w="970" w:type="dxa"/>
            <w:shd w:val="pct10" w:color="auto" w:fill="auto"/>
            <w:vAlign w:val="center"/>
          </w:tcPr>
          <w:p w14:paraId="4323AB9F" w14:textId="77777777" w:rsidR="002C7353" w:rsidRPr="005C0EB8" w:rsidRDefault="002C7353" w:rsidP="00675792">
            <w:pPr>
              <w:pStyle w:val="EEAtableleftbold"/>
            </w:pPr>
            <w:r w:rsidRPr="005C0EB8">
              <w:t>Chapter</w:t>
            </w:r>
          </w:p>
        </w:tc>
        <w:tc>
          <w:tcPr>
            <w:tcW w:w="4310" w:type="dxa"/>
            <w:shd w:val="pct10" w:color="auto" w:fill="auto"/>
            <w:vAlign w:val="center"/>
          </w:tcPr>
          <w:p w14:paraId="4A7BB8E5" w14:textId="77777777" w:rsidR="002C7353" w:rsidRPr="005C0EB8" w:rsidRDefault="002C7353" w:rsidP="00675792">
            <w:pPr>
              <w:pStyle w:val="EEAtableleftbold"/>
            </w:pPr>
            <w:r w:rsidRPr="00BC1304">
              <w:t>Definition</w:t>
            </w:r>
          </w:p>
        </w:tc>
        <w:tc>
          <w:tcPr>
            <w:tcW w:w="4076" w:type="dxa"/>
            <w:shd w:val="pct10" w:color="auto" w:fill="auto"/>
          </w:tcPr>
          <w:p w14:paraId="077103A2" w14:textId="77777777" w:rsidR="002C7353" w:rsidRPr="00BC1304" w:rsidRDefault="002C7353" w:rsidP="00675792">
            <w:pPr>
              <w:pStyle w:val="EEAtableleftbold"/>
            </w:pPr>
            <w:r>
              <w:t>Comments on the practicability of existing t</w:t>
            </w:r>
            <w:r w:rsidRPr="005C0EB8">
              <w:t>hreshold</w:t>
            </w:r>
            <w:r>
              <w:t xml:space="preserve">s </w:t>
            </w:r>
          </w:p>
        </w:tc>
      </w:tr>
      <w:tr w:rsidR="002C7353" w:rsidRPr="00F64A5C" w14:paraId="19D7BAAA" w14:textId="77777777" w:rsidTr="00675792">
        <w:tc>
          <w:tcPr>
            <w:tcW w:w="970" w:type="dxa"/>
            <w:vMerge w:val="restart"/>
            <w:vAlign w:val="center"/>
          </w:tcPr>
          <w:p w14:paraId="79F82547" w14:textId="77777777" w:rsidR="002C7353" w:rsidRDefault="002C7353" w:rsidP="00675792">
            <w:pPr>
              <w:pStyle w:val="EEAtableleft"/>
            </w:pPr>
            <w:r>
              <w:t>2.3.2</w:t>
            </w:r>
          </w:p>
        </w:tc>
        <w:tc>
          <w:tcPr>
            <w:tcW w:w="4310" w:type="dxa"/>
            <w:vAlign w:val="center"/>
          </w:tcPr>
          <w:p w14:paraId="3FBB0C61" w14:textId="77777777" w:rsidR="002C7353" w:rsidRPr="00BC1304" w:rsidRDefault="002C7353" w:rsidP="00675792">
            <w:pPr>
              <w:pStyle w:val="EEAtableleftbold"/>
            </w:pPr>
            <w:r w:rsidRPr="006D73CD">
              <w:t>Reference values</w:t>
            </w:r>
          </w:p>
        </w:tc>
        <w:tc>
          <w:tcPr>
            <w:tcW w:w="4076" w:type="dxa"/>
            <w:vAlign w:val="center"/>
          </w:tcPr>
          <w:p w14:paraId="05D6BB2F" w14:textId="77777777" w:rsidR="002C7353" w:rsidRPr="005C0EB8" w:rsidRDefault="002C7353" w:rsidP="00CD55D6">
            <w:pPr>
              <w:jc w:val="left"/>
            </w:pPr>
          </w:p>
        </w:tc>
      </w:tr>
      <w:tr w:rsidR="002C7353" w:rsidRPr="00F64A5C" w14:paraId="384FF376" w14:textId="77777777" w:rsidTr="00675792">
        <w:tc>
          <w:tcPr>
            <w:tcW w:w="970" w:type="dxa"/>
            <w:vMerge/>
            <w:vAlign w:val="center"/>
          </w:tcPr>
          <w:p w14:paraId="0420D544" w14:textId="77777777" w:rsidR="002C7353" w:rsidRPr="00F64A5C" w:rsidRDefault="002C7353" w:rsidP="00675792">
            <w:pPr>
              <w:pStyle w:val="EEAtableleft"/>
            </w:pPr>
          </w:p>
        </w:tc>
        <w:tc>
          <w:tcPr>
            <w:tcW w:w="4310" w:type="dxa"/>
            <w:vAlign w:val="center"/>
          </w:tcPr>
          <w:p w14:paraId="7AA24C72" w14:textId="77777777" w:rsidR="002C7353" w:rsidRPr="00F64A5C" w:rsidRDefault="002C7353" w:rsidP="00675792">
            <w:pPr>
              <w:pStyle w:val="EEAtableleft"/>
            </w:pPr>
            <w:r w:rsidRPr="005C0EB8">
              <w:rPr>
                <w:b/>
                <w:bCs/>
              </w:rPr>
              <w:t>Site-specific</w:t>
            </w:r>
            <w:r w:rsidRPr="00F64A5C">
              <w:t>, typical SOC or SOM values under current management</w:t>
            </w:r>
          </w:p>
        </w:tc>
        <w:tc>
          <w:tcPr>
            <w:tcW w:w="4076" w:type="dxa"/>
            <w:vAlign w:val="center"/>
          </w:tcPr>
          <w:p w14:paraId="3F5B9AD7" w14:textId="77777777" w:rsidR="002C7353" w:rsidRPr="005C0EB8" w:rsidRDefault="002C7353" w:rsidP="00675792">
            <w:pPr>
              <w:pStyle w:val="EEAtableleft"/>
            </w:pPr>
            <w:r>
              <w:t>Can be easily derived from existing monitoring systems (e.g. as baseline)</w:t>
            </w:r>
          </w:p>
        </w:tc>
      </w:tr>
      <w:tr w:rsidR="002C7353" w:rsidRPr="00F64A5C" w14:paraId="19363E85" w14:textId="77777777" w:rsidTr="00675792">
        <w:tc>
          <w:tcPr>
            <w:tcW w:w="970" w:type="dxa"/>
            <w:vMerge/>
            <w:vAlign w:val="center"/>
          </w:tcPr>
          <w:p w14:paraId="6E3BC909" w14:textId="77777777" w:rsidR="002C7353" w:rsidRPr="00F64A5C" w:rsidRDefault="002C7353" w:rsidP="00675792">
            <w:pPr>
              <w:pStyle w:val="EEAtableleft"/>
            </w:pPr>
          </w:p>
        </w:tc>
        <w:tc>
          <w:tcPr>
            <w:tcW w:w="4310" w:type="dxa"/>
            <w:vAlign w:val="center"/>
          </w:tcPr>
          <w:p w14:paraId="069C4FF1" w14:textId="77777777" w:rsidR="002C7353" w:rsidRPr="00F64A5C" w:rsidRDefault="002C7353" w:rsidP="00675792">
            <w:pPr>
              <w:pStyle w:val="EEAtableleft"/>
            </w:pPr>
            <w:r w:rsidRPr="005C0EB8">
              <w:rPr>
                <w:b/>
                <w:bCs/>
              </w:rPr>
              <w:t>Benchmark</w:t>
            </w:r>
            <w:r w:rsidRPr="00F64A5C">
              <w:t xml:space="preserve"> SOC values from</w:t>
            </w:r>
          </w:p>
        </w:tc>
        <w:tc>
          <w:tcPr>
            <w:tcW w:w="4076" w:type="dxa"/>
            <w:vMerge w:val="restart"/>
            <w:vAlign w:val="center"/>
          </w:tcPr>
          <w:p w14:paraId="35B372CB" w14:textId="77777777" w:rsidR="002C7353" w:rsidRPr="00BC1304" w:rsidRDefault="002C7353" w:rsidP="00675792">
            <w:pPr>
              <w:pStyle w:val="EEAtableleft"/>
            </w:pPr>
            <w:r>
              <w:t>Requires extensive monitoring evaluations (forest soil and natural grassland incl. organic soils)</w:t>
            </w:r>
          </w:p>
          <w:p w14:paraId="4047AFF6" w14:textId="77777777" w:rsidR="002C7353" w:rsidRPr="005C0EB8" w:rsidRDefault="002C7353" w:rsidP="00675792">
            <w:pPr>
              <w:pStyle w:val="EEAtableleft"/>
            </w:pPr>
            <w:r>
              <w:t>Requires validation</w:t>
            </w:r>
          </w:p>
        </w:tc>
      </w:tr>
      <w:tr w:rsidR="002C7353" w:rsidRPr="00F64A5C" w14:paraId="5C9EF967" w14:textId="77777777" w:rsidTr="00675792">
        <w:tc>
          <w:tcPr>
            <w:tcW w:w="970" w:type="dxa"/>
            <w:vMerge/>
            <w:vAlign w:val="center"/>
          </w:tcPr>
          <w:p w14:paraId="5109391A" w14:textId="77777777" w:rsidR="002C7353" w:rsidRPr="00F64A5C" w:rsidRDefault="002C7353" w:rsidP="00675792">
            <w:pPr>
              <w:pStyle w:val="EEAtableleft"/>
            </w:pPr>
          </w:p>
        </w:tc>
        <w:tc>
          <w:tcPr>
            <w:tcW w:w="4310" w:type="dxa"/>
            <w:vAlign w:val="center"/>
          </w:tcPr>
          <w:p w14:paraId="69E06A8B" w14:textId="77777777" w:rsidR="002C7353" w:rsidRPr="00F64A5C" w:rsidRDefault="002C7353" w:rsidP="00675792">
            <w:pPr>
              <w:pStyle w:val="EEAtableleft"/>
            </w:pPr>
            <w:r w:rsidRPr="00F64A5C">
              <w:t>Natural soils (forest soils with low historic disturbance)</w:t>
            </w:r>
          </w:p>
        </w:tc>
        <w:tc>
          <w:tcPr>
            <w:tcW w:w="4076" w:type="dxa"/>
            <w:vMerge/>
            <w:vAlign w:val="center"/>
          </w:tcPr>
          <w:p w14:paraId="61643701" w14:textId="77777777" w:rsidR="002C7353" w:rsidRPr="000F578A" w:rsidRDefault="002C7353" w:rsidP="00675792">
            <w:pPr>
              <w:pStyle w:val="EEAtableleft"/>
            </w:pPr>
          </w:p>
        </w:tc>
      </w:tr>
      <w:tr w:rsidR="002C7353" w:rsidRPr="00F64A5C" w14:paraId="769D1F4B" w14:textId="77777777" w:rsidTr="00675792">
        <w:tc>
          <w:tcPr>
            <w:tcW w:w="970" w:type="dxa"/>
            <w:vMerge/>
            <w:vAlign w:val="center"/>
          </w:tcPr>
          <w:p w14:paraId="59D2CEAA" w14:textId="77777777" w:rsidR="002C7353" w:rsidRPr="00F64A5C" w:rsidRDefault="002C7353" w:rsidP="00675792">
            <w:pPr>
              <w:pStyle w:val="EEAtableleft"/>
            </w:pPr>
          </w:p>
        </w:tc>
        <w:tc>
          <w:tcPr>
            <w:tcW w:w="4310" w:type="dxa"/>
            <w:vAlign w:val="center"/>
          </w:tcPr>
          <w:p w14:paraId="074F3F54" w14:textId="46FC6BC1" w:rsidR="002C7353" w:rsidRPr="00F64A5C" w:rsidRDefault="002C7353" w:rsidP="00675792">
            <w:pPr>
              <w:pStyle w:val="EEAtableleft"/>
            </w:pPr>
            <w:r w:rsidRPr="00F64A5C">
              <w:t xml:space="preserve">25 </w:t>
            </w:r>
            <w:r w:rsidR="00A054A0" w:rsidRPr="00F64A5C">
              <w:t>quartile</w:t>
            </w:r>
            <w:r w:rsidRPr="00F64A5C">
              <w:t xml:space="preserve"> of the SOC median for permanent grassland</w:t>
            </w:r>
          </w:p>
        </w:tc>
        <w:tc>
          <w:tcPr>
            <w:tcW w:w="4076" w:type="dxa"/>
            <w:vMerge/>
            <w:vAlign w:val="center"/>
          </w:tcPr>
          <w:p w14:paraId="063D3EC1" w14:textId="77777777" w:rsidR="002C7353" w:rsidRPr="000F578A" w:rsidRDefault="002C7353" w:rsidP="00675792">
            <w:pPr>
              <w:pStyle w:val="EEAtableleft"/>
            </w:pPr>
          </w:p>
        </w:tc>
      </w:tr>
      <w:tr w:rsidR="002C7353" w:rsidRPr="00F64A5C" w14:paraId="3D1F5210" w14:textId="77777777" w:rsidTr="00675792">
        <w:tc>
          <w:tcPr>
            <w:tcW w:w="970" w:type="dxa"/>
            <w:vMerge/>
            <w:vAlign w:val="center"/>
          </w:tcPr>
          <w:p w14:paraId="04C66E65" w14:textId="77777777" w:rsidR="002C7353" w:rsidRPr="00F64A5C" w:rsidRDefault="002C7353" w:rsidP="00675792">
            <w:pPr>
              <w:pStyle w:val="EEAtableleft"/>
            </w:pPr>
          </w:p>
        </w:tc>
        <w:tc>
          <w:tcPr>
            <w:tcW w:w="4310" w:type="dxa"/>
          </w:tcPr>
          <w:p w14:paraId="4B85CCC4" w14:textId="77777777" w:rsidR="002C7353" w:rsidRPr="00F64A5C" w:rsidRDefault="002C7353" w:rsidP="00675792">
            <w:pPr>
              <w:pStyle w:val="EEAtableleft"/>
            </w:pPr>
            <w:r w:rsidRPr="005C0EB8">
              <w:rPr>
                <w:b/>
                <w:bCs/>
              </w:rPr>
              <w:t>Optimal</w:t>
            </w:r>
            <w:r w:rsidRPr="00F64A5C">
              <w:t xml:space="preserve"> SOC content for soil functioning (based on the role of SOC in soil functional PTF, combined with data long term field experiments)</w:t>
            </w:r>
          </w:p>
        </w:tc>
        <w:tc>
          <w:tcPr>
            <w:tcW w:w="4076" w:type="dxa"/>
            <w:vAlign w:val="center"/>
          </w:tcPr>
          <w:p w14:paraId="670D5E42" w14:textId="77777777" w:rsidR="002C7353" w:rsidRDefault="002C7353" w:rsidP="00675792">
            <w:pPr>
              <w:pStyle w:val="EEAtableleft"/>
            </w:pPr>
            <w:r>
              <w:t>Reference values for central European soil and climate conditions are available</w:t>
            </w:r>
          </w:p>
          <w:p w14:paraId="06E5E8C4" w14:textId="77777777" w:rsidR="002C7353" w:rsidRPr="005C0EB8" w:rsidRDefault="002C7353" w:rsidP="00675792">
            <w:pPr>
              <w:pStyle w:val="EEAtableleft"/>
            </w:pPr>
            <w:r>
              <w:t>Needs to be validated for clay-rich soils and climate regions outside central Europe</w:t>
            </w:r>
          </w:p>
        </w:tc>
      </w:tr>
      <w:tr w:rsidR="002C7353" w:rsidRPr="00F64A5C" w14:paraId="26EE5923" w14:textId="77777777" w:rsidTr="00675792">
        <w:tc>
          <w:tcPr>
            <w:tcW w:w="970" w:type="dxa"/>
            <w:vAlign w:val="center"/>
          </w:tcPr>
          <w:p w14:paraId="759C05C1" w14:textId="77777777" w:rsidR="002C7353" w:rsidRDefault="002C7353" w:rsidP="00675792">
            <w:pPr>
              <w:pStyle w:val="EEAtableleft"/>
            </w:pPr>
            <w:r>
              <w:t>2.3.3</w:t>
            </w:r>
          </w:p>
        </w:tc>
        <w:tc>
          <w:tcPr>
            <w:tcW w:w="4310" w:type="dxa"/>
            <w:vAlign w:val="center"/>
          </w:tcPr>
          <w:p w14:paraId="7D95A410" w14:textId="77777777" w:rsidR="002C7353" w:rsidRPr="00F64A5C" w:rsidRDefault="002C7353" w:rsidP="00675792">
            <w:pPr>
              <w:pStyle w:val="EEAtableleft"/>
            </w:pPr>
            <w:r w:rsidRPr="002D28DE">
              <w:t xml:space="preserve">Soil </w:t>
            </w:r>
            <w:r w:rsidRPr="005C0EB8">
              <w:rPr>
                <w:b/>
                <w:bCs/>
              </w:rPr>
              <w:t>vulnerability</w:t>
            </w:r>
            <w:r w:rsidRPr="002D28DE">
              <w:t xml:space="preserve"> index </w:t>
            </w:r>
            <w:r>
              <w:t xml:space="preserve">based on the </w:t>
            </w:r>
            <w:r w:rsidRPr="002D28DE">
              <w:t>SOC/clay ratio</w:t>
            </w:r>
          </w:p>
        </w:tc>
        <w:tc>
          <w:tcPr>
            <w:tcW w:w="4076" w:type="dxa"/>
            <w:vAlign w:val="center"/>
          </w:tcPr>
          <w:p w14:paraId="70C3E9D4" w14:textId="414519B0" w:rsidR="002C7353" w:rsidRPr="00BC1304" w:rsidRDefault="002C7353" w:rsidP="00675792">
            <w:pPr>
              <w:pStyle w:val="EEAtableleft"/>
            </w:pPr>
            <w:r>
              <w:t>O</w:t>
            </w:r>
            <w:r w:rsidRPr="006E51C2">
              <w:t>ptimum SOC content as 10% of the clay content</w:t>
            </w:r>
            <w:r>
              <w:t xml:space="preserve"> (piloted in Switzerland, </w:t>
            </w:r>
            <w:r w:rsidR="00A054A0">
              <w:t>England,</w:t>
            </w:r>
            <w:r>
              <w:t xml:space="preserve"> and Wales)</w:t>
            </w:r>
          </w:p>
        </w:tc>
      </w:tr>
      <w:tr w:rsidR="002C7353" w:rsidRPr="00F64A5C" w14:paraId="14C20E7E" w14:textId="77777777" w:rsidTr="00675792">
        <w:tc>
          <w:tcPr>
            <w:tcW w:w="970" w:type="dxa"/>
            <w:vAlign w:val="center"/>
          </w:tcPr>
          <w:p w14:paraId="20DE5594" w14:textId="77777777" w:rsidR="002C7353" w:rsidRDefault="002C7353" w:rsidP="00675792">
            <w:pPr>
              <w:pStyle w:val="EEAtableleft"/>
            </w:pPr>
            <w:r>
              <w:t>2.3.4</w:t>
            </w:r>
          </w:p>
        </w:tc>
        <w:tc>
          <w:tcPr>
            <w:tcW w:w="4310" w:type="dxa"/>
            <w:vAlign w:val="center"/>
          </w:tcPr>
          <w:p w14:paraId="0C85DBA5" w14:textId="77777777" w:rsidR="002C7353" w:rsidRPr="00F64A5C" w:rsidRDefault="002C7353" w:rsidP="00675792">
            <w:pPr>
              <w:pStyle w:val="EEAtableleft"/>
            </w:pPr>
            <w:r>
              <w:t xml:space="preserve">Reciprocal SOC </w:t>
            </w:r>
            <w:r w:rsidRPr="005C0EB8">
              <w:rPr>
                <w:b/>
                <w:bCs/>
              </w:rPr>
              <w:t>sequestration</w:t>
            </w:r>
            <w:r>
              <w:t xml:space="preserve"> potential</w:t>
            </w:r>
          </w:p>
        </w:tc>
        <w:tc>
          <w:tcPr>
            <w:tcW w:w="4076" w:type="dxa"/>
            <w:vAlign w:val="center"/>
          </w:tcPr>
          <w:p w14:paraId="06480A5C" w14:textId="77777777" w:rsidR="002C7353" w:rsidRPr="00BC1304" w:rsidRDefault="002C7353" w:rsidP="00675792">
            <w:pPr>
              <w:pStyle w:val="EEAtableleft"/>
            </w:pPr>
            <w:r>
              <w:t>Optimum SOC content for CO</w:t>
            </w:r>
            <w:r w:rsidRPr="00CD2551">
              <w:rPr>
                <w:vertAlign w:val="subscript"/>
              </w:rPr>
              <w:t>2</w:t>
            </w:r>
            <w:r>
              <w:t>-mitigation function of soils; target values represent SOC equilibrium under long-term sustainable soil management</w:t>
            </w:r>
          </w:p>
        </w:tc>
      </w:tr>
      <w:tr w:rsidR="002C7353" w:rsidRPr="00F64A5C" w14:paraId="616B9467" w14:textId="77777777" w:rsidTr="00675792">
        <w:tc>
          <w:tcPr>
            <w:tcW w:w="970" w:type="dxa"/>
            <w:vAlign w:val="center"/>
          </w:tcPr>
          <w:p w14:paraId="73B2AB8C" w14:textId="77777777" w:rsidR="002C7353" w:rsidRDefault="002C7353" w:rsidP="00675792">
            <w:pPr>
              <w:pStyle w:val="EEAtableleft"/>
            </w:pPr>
            <w:r>
              <w:t>2.3.5</w:t>
            </w:r>
          </w:p>
        </w:tc>
        <w:tc>
          <w:tcPr>
            <w:tcW w:w="4310" w:type="dxa"/>
            <w:vAlign w:val="center"/>
          </w:tcPr>
          <w:p w14:paraId="286C0768" w14:textId="77777777" w:rsidR="002C7353" w:rsidRPr="00F64A5C" w:rsidRDefault="002C7353" w:rsidP="00675792">
            <w:pPr>
              <w:pStyle w:val="EEAtableleft"/>
            </w:pPr>
            <w:r w:rsidRPr="0060547F">
              <w:t xml:space="preserve">Thresholds from </w:t>
            </w:r>
            <w:r w:rsidRPr="005C0EB8">
              <w:rPr>
                <w:b/>
                <w:bCs/>
              </w:rPr>
              <w:t>long-term field experiments</w:t>
            </w:r>
          </w:p>
        </w:tc>
        <w:tc>
          <w:tcPr>
            <w:tcW w:w="4076" w:type="dxa"/>
            <w:vAlign w:val="center"/>
          </w:tcPr>
          <w:p w14:paraId="5364E9D6" w14:textId="77777777" w:rsidR="002C7353" w:rsidRPr="00BC1304" w:rsidRDefault="002C7353" w:rsidP="00675792">
            <w:pPr>
              <w:pStyle w:val="EEAtableleft"/>
            </w:pPr>
            <w:r>
              <w:t>Minimum SOC levels for sustainable crop production (values for central Europe)</w:t>
            </w:r>
          </w:p>
        </w:tc>
      </w:tr>
      <w:tr w:rsidR="002C7353" w:rsidRPr="00F64A5C" w14:paraId="177C333D" w14:textId="77777777" w:rsidTr="00675792">
        <w:tc>
          <w:tcPr>
            <w:tcW w:w="970" w:type="dxa"/>
            <w:vAlign w:val="center"/>
          </w:tcPr>
          <w:p w14:paraId="77290F34" w14:textId="77777777" w:rsidR="002C7353" w:rsidRDefault="002C7353" w:rsidP="00675792">
            <w:pPr>
              <w:pStyle w:val="EEAtableleft"/>
            </w:pPr>
            <w:r>
              <w:t>2.3.6</w:t>
            </w:r>
          </w:p>
        </w:tc>
        <w:tc>
          <w:tcPr>
            <w:tcW w:w="4310" w:type="dxa"/>
            <w:vAlign w:val="center"/>
          </w:tcPr>
          <w:p w14:paraId="7D392B48" w14:textId="77777777" w:rsidR="002C7353" w:rsidRPr="00F64A5C" w:rsidRDefault="002C7353" w:rsidP="00675792">
            <w:pPr>
              <w:pStyle w:val="EEAtableleft"/>
            </w:pPr>
            <w:r w:rsidRPr="005C0EB8">
              <w:rPr>
                <w:b/>
                <w:bCs/>
              </w:rPr>
              <w:t>Farmers perspective</w:t>
            </w:r>
            <w:r>
              <w:t xml:space="preserve"> on deficient SOC</w:t>
            </w:r>
          </w:p>
        </w:tc>
        <w:tc>
          <w:tcPr>
            <w:tcW w:w="4076" w:type="dxa"/>
            <w:vAlign w:val="center"/>
          </w:tcPr>
          <w:p w14:paraId="153E70DB" w14:textId="77777777" w:rsidR="002C7353" w:rsidRPr="005C0EB8" w:rsidRDefault="002C7353" w:rsidP="00675792">
            <w:pPr>
              <w:pStyle w:val="EEAtableleft"/>
            </w:pPr>
            <w:r>
              <w:t>Degraded SOC levels according to farmer’s perception (values for Europe)</w:t>
            </w:r>
          </w:p>
        </w:tc>
      </w:tr>
    </w:tbl>
    <w:p w14:paraId="2A964E92" w14:textId="77777777" w:rsidR="00675792" w:rsidRDefault="00675792" w:rsidP="002C7353">
      <w:pPr>
        <w:rPr>
          <w:i/>
          <w:iCs/>
          <w:sz w:val="18"/>
          <w:szCs w:val="18"/>
        </w:rPr>
      </w:pPr>
    </w:p>
    <w:p w14:paraId="12C66F0C" w14:textId="7C916553" w:rsidR="002C7353" w:rsidRPr="00F149E2" w:rsidRDefault="00675792" w:rsidP="00714D8B">
      <w:pPr>
        <w:pStyle w:val="EEASource"/>
      </w:pPr>
      <w:r w:rsidRPr="00EF3E3D">
        <w:rPr>
          <w:b/>
          <w:iCs/>
        </w:rPr>
        <w:t>Note</w:t>
      </w:r>
      <w:r w:rsidR="00EF3E3D" w:rsidRPr="00EF3E3D">
        <w:rPr>
          <w:b/>
          <w:iCs/>
        </w:rPr>
        <w:t>:</w:t>
      </w:r>
      <w:r w:rsidRPr="00EF3E3D">
        <w:rPr>
          <w:i/>
          <w:iCs/>
        </w:rPr>
        <w:t xml:space="preserve"> </w:t>
      </w:r>
      <w:r>
        <w:rPr>
          <w:i/>
          <w:iCs/>
        </w:rPr>
        <w:tab/>
      </w:r>
      <w:r w:rsidR="002C7353" w:rsidRPr="00B07CB3">
        <w:rPr>
          <w:i/>
          <w:iCs/>
        </w:rPr>
        <w:t>Benchmark sites</w:t>
      </w:r>
      <w:r w:rsidR="002C7353" w:rsidRPr="00F149E2">
        <w:t xml:space="preserve"> reflect environmental and management conditions that are representative for a larger area (Van Lynden et al. 2004</w:t>
      </w:r>
      <w:r w:rsidR="002C7353">
        <w:t xml:space="preserve">). Each site represents a very specific set of local </w:t>
      </w:r>
      <w:r w:rsidR="002C7353" w:rsidRPr="00A615A7">
        <w:t xml:space="preserve">conditions </w:t>
      </w:r>
      <w:r w:rsidR="002C7353">
        <w:t xml:space="preserve">which are </w:t>
      </w:r>
      <w:r w:rsidR="002C7353" w:rsidRPr="00A615A7">
        <w:t>distinct from other</w:t>
      </w:r>
      <w:r w:rsidR="002C7353">
        <w:t xml:space="preserve"> </w:t>
      </w:r>
      <w:r w:rsidR="002C7353" w:rsidRPr="00A615A7">
        <w:t>environments</w:t>
      </w:r>
      <w:r w:rsidR="002C7353">
        <w:t xml:space="preserve">. Benchmark sites are particularly important to </w:t>
      </w:r>
      <w:r w:rsidR="002C7353" w:rsidRPr="001E73F3">
        <w:t>validat</w:t>
      </w:r>
      <w:r w:rsidR="002C7353">
        <w:t xml:space="preserve">e simulation models </w:t>
      </w:r>
      <w:r w:rsidR="002C7353" w:rsidRPr="001E73F3">
        <w:t xml:space="preserve">of </w:t>
      </w:r>
      <w:r w:rsidR="002C7353">
        <w:t>indicators.</w:t>
      </w:r>
    </w:p>
    <w:p w14:paraId="6274C192" w14:textId="77777777" w:rsidR="00FE4CE5" w:rsidRDefault="00FE4CE5">
      <w:pPr>
        <w:suppressAutoHyphens w:val="0"/>
        <w:jc w:val="left"/>
      </w:pPr>
    </w:p>
    <w:p w14:paraId="3A0AAC00" w14:textId="3FA1F9D3" w:rsidR="009D5972" w:rsidRPr="009D5972" w:rsidRDefault="000C097B" w:rsidP="002C488D">
      <w:pPr>
        <w:pStyle w:val="berschrift2"/>
        <w:numPr>
          <w:ilvl w:val="2"/>
          <w:numId w:val="3"/>
        </w:numPr>
        <w:rPr>
          <w:rStyle w:val="FormatvorlageFormatvorlageberschrift3Zchn1"/>
        </w:rPr>
      </w:pPr>
      <w:bookmarkStart w:id="82" w:name="_Toc83997332"/>
      <w:r w:rsidRPr="000C097B">
        <w:rPr>
          <w:rStyle w:val="FormatvorlageFormatvorlageberschrift3Zchn1"/>
        </w:rPr>
        <w:t>Optimal or site-specific SOC reference values</w:t>
      </w:r>
      <w:bookmarkEnd w:id="82"/>
    </w:p>
    <w:p w14:paraId="04EBA546" w14:textId="77777777" w:rsidR="000C097B" w:rsidRDefault="000C097B" w:rsidP="002C7353"/>
    <w:p w14:paraId="5DD36495" w14:textId="1D9C0154" w:rsidR="002C7353" w:rsidRDefault="002C7353" w:rsidP="002C7353">
      <w:r w:rsidRPr="00325B98">
        <w:t xml:space="preserve">There has been much discussion in the soil science community about whether there is a common </w:t>
      </w:r>
      <w:r>
        <w:t xml:space="preserve">optimal or </w:t>
      </w:r>
      <w:r w:rsidRPr="00325B98">
        <w:t xml:space="preserve">critical </w:t>
      </w:r>
      <w:r>
        <w:t xml:space="preserve">minimum </w:t>
      </w:r>
      <w:r w:rsidRPr="00325B98">
        <w:t xml:space="preserve">SOM or SOC level (Goulding et </w:t>
      </w:r>
      <w:r>
        <w:t>al.</w:t>
      </w:r>
      <w:r w:rsidRPr="00325B98">
        <w:t>, 2013), below which soil fertility, water retention (drought resistance), soil structure and other soil properties become insufficient, such that crop yields are affected even at optimal nutrient fertilization rates. This concept derives from the fact that SOM provides</w:t>
      </w:r>
      <w:r w:rsidR="00D00BFE">
        <w:t xml:space="preserve"> and represents</w:t>
      </w:r>
      <w:r w:rsidRPr="00325B98">
        <w:t xml:space="preserve"> key properties to soils, while depending on, and regulating, various biologically mediated </w:t>
      </w:r>
      <w:r w:rsidR="00D00BFE">
        <w:t xml:space="preserve">soil </w:t>
      </w:r>
      <w:r w:rsidRPr="00325B98">
        <w:t>process</w:t>
      </w:r>
      <w:r w:rsidR="00D00BFE">
        <w:t>es</w:t>
      </w:r>
      <w:r w:rsidRPr="00325B98">
        <w:t xml:space="preserve"> and soil functions.</w:t>
      </w:r>
      <w:r w:rsidR="007A1034">
        <w:t xml:space="preserve"> </w:t>
      </w:r>
    </w:p>
    <w:p w14:paraId="11C6826C" w14:textId="77777777" w:rsidR="002C7353" w:rsidRDefault="002C7353" w:rsidP="002C7353"/>
    <w:p w14:paraId="078617FE" w14:textId="333D097C" w:rsidR="002C7353" w:rsidRDefault="002C7353" w:rsidP="002C7353">
      <w:r>
        <w:t>A simplified approach to thresholds</w:t>
      </w:r>
      <w:r w:rsidRPr="00CB108A">
        <w:t>, Arshad und Martin (2002) suggest</w:t>
      </w:r>
      <w:r>
        <w:t xml:space="preserve"> </w:t>
      </w:r>
      <w:r w:rsidR="00A054A0">
        <w:t>deriving</w:t>
      </w:r>
      <w:r>
        <w:t xml:space="preserve"> site-specific SOM values as reference for monitoring and as proxy for optimal SOM levels (see also benchmark SOC stocks, as proposed </w:t>
      </w:r>
      <w:r w:rsidRPr="00156853">
        <w:t>by De Vos et al. 2015, for forests</w:t>
      </w:r>
      <w:r>
        <w:t xml:space="preserve"> soils). Such values can be taken from more or less undisturbed soils under natural vegetation (e.g. forests) or modelled</w:t>
      </w:r>
      <w:r w:rsidR="00052EA0">
        <w:t xml:space="preserve">, which thus would theoretically represent the </w:t>
      </w:r>
      <w:r w:rsidR="00052EA0" w:rsidRPr="00052EA0">
        <w:t>highest SOC stock that can be reached by a given soil</w:t>
      </w:r>
      <w:r w:rsidR="001634DF">
        <w:t xml:space="preserve"> (</w:t>
      </w:r>
      <w:r w:rsidR="001634DF" w:rsidRPr="001634DF">
        <w:t>“reference SOC stocks”</w:t>
      </w:r>
      <w:r w:rsidR="001634DF">
        <w:t xml:space="preserve"> a</w:t>
      </w:r>
      <w:r w:rsidR="001634DF" w:rsidRPr="001634DF">
        <w:t>ccording to Batjes</w:t>
      </w:r>
      <w:r w:rsidR="001634DF">
        <w:t xml:space="preserve"> </w:t>
      </w:r>
      <w:r w:rsidR="001634DF" w:rsidRPr="001634DF">
        <w:t>2011)</w:t>
      </w:r>
      <w:r>
        <w:t>.</w:t>
      </w:r>
      <w:r w:rsidRPr="00DE4C3A">
        <w:rPr>
          <w:rFonts w:asciiTheme="majorHAnsi" w:hAnsiTheme="majorHAnsi" w:cstheme="majorHAnsi"/>
          <w:szCs w:val="22"/>
        </w:rPr>
        <w:t xml:space="preserve"> </w:t>
      </w:r>
      <w:r w:rsidR="00D764CC" w:rsidRPr="00156853">
        <w:t>Barré et al. (2017)</w:t>
      </w:r>
      <w:r w:rsidR="000456DC" w:rsidRPr="00156853">
        <w:t xml:space="preserve"> suggest</w:t>
      </w:r>
      <w:r w:rsidR="000456DC">
        <w:t xml:space="preserve"> that </w:t>
      </w:r>
      <w:r w:rsidR="003B4F63" w:rsidRPr="003B4F63">
        <w:t xml:space="preserve">the </w:t>
      </w:r>
      <w:r w:rsidR="002405CD">
        <w:t>“</w:t>
      </w:r>
      <w:r w:rsidR="003B4F63" w:rsidRPr="003B4F63">
        <w:t>highest reachable SOC stock for a given pedoclimatic condition under a given land-use could correspond to the mean of the top 10% of the measured SOC stocks for these conditions</w:t>
      </w:r>
      <w:r w:rsidR="002405CD">
        <w:t>”</w:t>
      </w:r>
      <w:r w:rsidR="003B4F63" w:rsidRPr="003B4F63">
        <w:t>.</w:t>
      </w:r>
      <w:r w:rsidR="002405CD">
        <w:t xml:space="preserve"> </w:t>
      </w:r>
      <w:r w:rsidRPr="00FE5A63">
        <w:t xml:space="preserve">Sparling et </w:t>
      </w:r>
      <w:r>
        <w:t>al.</w:t>
      </w:r>
      <w:r w:rsidRPr="00FE5A63">
        <w:t xml:space="preserve"> (2003)</w:t>
      </w:r>
      <w:r w:rsidR="006636DE">
        <w:t xml:space="preserve">, for New Zealand, has </w:t>
      </w:r>
      <w:r>
        <w:t>propose</w:t>
      </w:r>
      <w:r w:rsidR="006636DE">
        <w:t>d</w:t>
      </w:r>
      <w:r>
        <w:t xml:space="preserve"> as target value the SOC median for permanent grassland, and its 25 quartile as minimum value. This is a pragmatic solution and can be easily </w:t>
      </w:r>
      <w:r>
        <w:lastRenderedPageBreak/>
        <w:t xml:space="preserve">determined. The 25 quartile represents a conservative orientation, which seems quite realistic. </w:t>
      </w:r>
      <w:r w:rsidR="00022B78">
        <w:t>An example to derive modelled referenc</w:t>
      </w:r>
      <w:r w:rsidR="000B427A">
        <w:t>e</w:t>
      </w:r>
      <w:r w:rsidR="00022B78">
        <w:t xml:space="preserve"> SOC stocks is </w:t>
      </w:r>
      <w:r w:rsidR="00022B78" w:rsidRPr="00022B78">
        <w:t>Lugato et al.</w:t>
      </w:r>
      <w:r w:rsidR="00022B78">
        <w:t xml:space="preserve"> (</w:t>
      </w:r>
      <w:r w:rsidR="00022B78" w:rsidRPr="00022B78">
        <w:t>201</w:t>
      </w:r>
      <w:r w:rsidR="00F8636A">
        <w:t>5</w:t>
      </w:r>
      <w:r w:rsidR="00022B78" w:rsidRPr="00022B78">
        <w:t xml:space="preserve">), </w:t>
      </w:r>
      <w:r w:rsidR="007B66B4">
        <w:t>who have</w:t>
      </w:r>
      <w:r w:rsidR="00022B78" w:rsidRPr="00022B78">
        <w:t xml:space="preserve"> produce</w:t>
      </w:r>
      <w:r w:rsidR="007B66B4">
        <w:t>d</w:t>
      </w:r>
      <w:r w:rsidR="00022B78" w:rsidRPr="00022B78">
        <w:t xml:space="preserve"> a spatially explicit estimation of soil C storage potential in European arable soils by 2050, </w:t>
      </w:r>
      <w:r w:rsidR="007B66B4">
        <w:t>applying</w:t>
      </w:r>
      <w:r w:rsidR="00022B78" w:rsidRPr="00022B78">
        <w:t xml:space="preserve"> different management scenarios</w:t>
      </w:r>
      <w:r w:rsidR="007B66B4">
        <w:t>.</w:t>
      </w:r>
    </w:p>
    <w:p w14:paraId="3E532BF0" w14:textId="77777777" w:rsidR="002C7353" w:rsidRDefault="002C7353" w:rsidP="002C7353">
      <w:pPr>
        <w:rPr>
          <w:rFonts w:asciiTheme="majorHAnsi" w:hAnsiTheme="majorHAnsi" w:cstheme="majorHAnsi"/>
          <w:szCs w:val="22"/>
        </w:rPr>
      </w:pPr>
    </w:p>
    <w:p w14:paraId="17C966AA" w14:textId="77777777" w:rsidR="002C7353" w:rsidRDefault="002C7353" w:rsidP="002C7353">
      <w:pPr>
        <w:rPr>
          <w:rFonts w:asciiTheme="majorHAnsi" w:hAnsiTheme="majorHAnsi" w:cstheme="majorHAnsi"/>
          <w:szCs w:val="22"/>
        </w:rPr>
      </w:pPr>
      <w:r w:rsidRPr="00156853">
        <w:rPr>
          <w:rFonts w:asciiTheme="majorHAnsi" w:hAnsiTheme="majorHAnsi" w:cstheme="majorHAnsi"/>
          <w:szCs w:val="22"/>
        </w:rPr>
        <w:t>Wessolek et al.</w:t>
      </w:r>
      <w:r>
        <w:rPr>
          <w:rFonts w:asciiTheme="majorHAnsi" w:hAnsiTheme="majorHAnsi" w:cstheme="majorHAnsi"/>
          <w:szCs w:val="22"/>
        </w:rPr>
        <w:t xml:space="preserve"> (2008; in German) have reviewed a great variety of soil models which were developed to predict soil functions and potential threats (e.g.</w:t>
      </w:r>
      <w:r w:rsidRPr="005E345D">
        <w:t xml:space="preserve"> </w:t>
      </w:r>
      <w:r>
        <w:t xml:space="preserve">soil water storage, </w:t>
      </w:r>
      <w:r>
        <w:rPr>
          <w:rFonts w:asciiTheme="majorHAnsi" w:hAnsiTheme="majorHAnsi" w:cstheme="majorHAnsi"/>
          <w:szCs w:val="22"/>
        </w:rPr>
        <w:t xml:space="preserve">cation exchange capacity), and which contain SOM as a driver. Models are mostly pedotransfer functions, and most of them entail the quantified relationship between SOM and soil properties, because soil organic matter is one of the key covariates. Despite the long tradition and vast research invested in SOM dynamics, the derivation of site-specific SOM content in relation to soil functions is still difficult. This is largely determined by the limited availability of representative and long-term SOC monitoring data. Based on a set of 16 German long-term field trials, the authors have developed a matrix of soil organic matter concentrations, depending on soil texture, climatic water balance and management intensity (type of fertilization). </w:t>
      </w:r>
    </w:p>
    <w:p w14:paraId="24743E62" w14:textId="77777777" w:rsidR="002C7353" w:rsidRDefault="002C7353" w:rsidP="002C7353">
      <w:pPr>
        <w:rPr>
          <w:rFonts w:asciiTheme="majorHAnsi" w:hAnsiTheme="majorHAnsi" w:cstheme="majorHAnsi"/>
          <w:szCs w:val="22"/>
        </w:rPr>
      </w:pPr>
    </w:p>
    <w:p w14:paraId="1A89F90A" w14:textId="7390AB4C" w:rsidR="002C7353" w:rsidRDefault="002E0086" w:rsidP="002C7353">
      <w:pPr>
        <w:rPr>
          <w:rFonts w:asciiTheme="majorHAnsi" w:hAnsiTheme="majorHAnsi" w:cstheme="majorHAnsi"/>
          <w:szCs w:val="22"/>
        </w:rPr>
      </w:pPr>
      <w:r w:rsidRPr="002E0086">
        <w:rPr>
          <w:rFonts w:asciiTheme="majorHAnsi" w:hAnsiTheme="majorHAnsi" w:cstheme="majorHAnsi"/>
          <w:szCs w:val="22"/>
        </w:rPr>
        <w:fldChar w:fldCharType="begin"/>
      </w:r>
      <w:r w:rsidRPr="002E0086">
        <w:rPr>
          <w:rFonts w:asciiTheme="majorHAnsi" w:hAnsiTheme="majorHAnsi" w:cstheme="majorHAnsi"/>
          <w:szCs w:val="22"/>
        </w:rPr>
        <w:instrText xml:space="preserve"> REF _Ref64555629 \h </w:instrText>
      </w:r>
      <w:r>
        <w:rPr>
          <w:rFonts w:asciiTheme="majorHAnsi" w:hAnsiTheme="majorHAnsi" w:cstheme="majorHAnsi"/>
          <w:szCs w:val="22"/>
        </w:rPr>
        <w:instrText xml:space="preserve"> \* MERGEFORMAT </w:instrText>
      </w:r>
      <w:r w:rsidRPr="002E0086">
        <w:rPr>
          <w:rFonts w:asciiTheme="majorHAnsi" w:hAnsiTheme="majorHAnsi" w:cstheme="majorHAnsi"/>
          <w:szCs w:val="22"/>
        </w:rPr>
      </w:r>
      <w:r w:rsidRPr="002E0086">
        <w:rPr>
          <w:rFonts w:asciiTheme="majorHAnsi" w:hAnsiTheme="majorHAnsi" w:cstheme="majorHAnsi"/>
          <w:szCs w:val="22"/>
        </w:rPr>
        <w:fldChar w:fldCharType="separate"/>
      </w:r>
      <w:r w:rsidR="0067767C" w:rsidRPr="004712E0">
        <w:t xml:space="preserve">Table </w:t>
      </w:r>
      <w:r w:rsidR="0067767C">
        <w:rPr>
          <w:noProof/>
        </w:rPr>
        <w:t>2</w:t>
      </w:r>
      <w:r w:rsidR="0067767C">
        <w:rPr>
          <w:noProof/>
        </w:rPr>
        <w:noBreakHyphen/>
        <w:t>4</w:t>
      </w:r>
      <w:r w:rsidRPr="002E0086">
        <w:rPr>
          <w:rFonts w:asciiTheme="majorHAnsi" w:hAnsiTheme="majorHAnsi" w:cstheme="majorHAnsi"/>
          <w:szCs w:val="22"/>
        </w:rPr>
        <w:fldChar w:fldCharType="end"/>
      </w:r>
      <w:r w:rsidRPr="002E0086">
        <w:rPr>
          <w:rFonts w:asciiTheme="majorHAnsi" w:hAnsiTheme="majorHAnsi" w:cstheme="majorHAnsi"/>
          <w:szCs w:val="22"/>
        </w:rPr>
        <w:t xml:space="preserve"> and </w:t>
      </w:r>
      <w:r w:rsidRPr="002E0086">
        <w:rPr>
          <w:rFonts w:asciiTheme="majorHAnsi" w:hAnsiTheme="majorHAnsi" w:cstheme="majorHAnsi"/>
          <w:szCs w:val="22"/>
        </w:rPr>
        <w:fldChar w:fldCharType="begin"/>
      </w:r>
      <w:r w:rsidRPr="002E0086">
        <w:rPr>
          <w:rFonts w:asciiTheme="majorHAnsi" w:hAnsiTheme="majorHAnsi" w:cstheme="majorHAnsi"/>
          <w:szCs w:val="22"/>
        </w:rPr>
        <w:instrText xml:space="preserve"> REF _Ref64555632 \h </w:instrText>
      </w:r>
      <w:r>
        <w:rPr>
          <w:rFonts w:asciiTheme="majorHAnsi" w:hAnsiTheme="majorHAnsi" w:cstheme="majorHAnsi"/>
          <w:szCs w:val="22"/>
        </w:rPr>
        <w:instrText xml:space="preserve"> \* MERGEFORMAT </w:instrText>
      </w:r>
      <w:r w:rsidRPr="002E0086">
        <w:rPr>
          <w:rFonts w:asciiTheme="majorHAnsi" w:hAnsiTheme="majorHAnsi" w:cstheme="majorHAnsi"/>
          <w:szCs w:val="22"/>
        </w:rPr>
      </w:r>
      <w:r w:rsidRPr="002E0086">
        <w:rPr>
          <w:rFonts w:asciiTheme="majorHAnsi" w:hAnsiTheme="majorHAnsi" w:cstheme="majorHAnsi"/>
          <w:szCs w:val="22"/>
        </w:rPr>
        <w:fldChar w:fldCharType="separate"/>
      </w:r>
      <w:r w:rsidR="0067767C" w:rsidRPr="004712E0">
        <w:t xml:space="preserve">Table </w:t>
      </w:r>
      <w:r w:rsidR="0067767C">
        <w:rPr>
          <w:noProof/>
        </w:rPr>
        <w:t>2</w:t>
      </w:r>
      <w:r w:rsidR="0067767C">
        <w:rPr>
          <w:noProof/>
        </w:rPr>
        <w:noBreakHyphen/>
        <w:t>5</w:t>
      </w:r>
      <w:r w:rsidRPr="002E0086">
        <w:rPr>
          <w:rFonts w:asciiTheme="majorHAnsi" w:hAnsiTheme="majorHAnsi" w:cstheme="majorHAnsi"/>
          <w:szCs w:val="22"/>
        </w:rPr>
        <w:fldChar w:fldCharType="end"/>
      </w:r>
      <w:r w:rsidR="002C7353" w:rsidRPr="002E0086" w:rsidDel="000F10EB">
        <w:rPr>
          <w:rFonts w:asciiTheme="majorHAnsi" w:hAnsiTheme="majorHAnsi" w:cstheme="majorHAnsi"/>
          <w:szCs w:val="22"/>
        </w:rPr>
        <w:t xml:space="preserve"> </w:t>
      </w:r>
      <w:r w:rsidR="002C7353" w:rsidRPr="002E0086">
        <w:rPr>
          <w:rFonts w:asciiTheme="majorHAnsi" w:hAnsiTheme="majorHAnsi" w:cstheme="majorHAnsi"/>
          <w:szCs w:val="22"/>
        </w:rPr>
        <w:t>present matrix</w:t>
      </w:r>
      <w:r w:rsidR="00640360" w:rsidRPr="002E0086">
        <w:rPr>
          <w:rFonts w:asciiTheme="majorHAnsi" w:hAnsiTheme="majorHAnsi" w:cstheme="majorHAnsi"/>
          <w:szCs w:val="22"/>
        </w:rPr>
        <w:t>es</w:t>
      </w:r>
      <w:r w:rsidR="002C7353" w:rsidRPr="002E0086">
        <w:rPr>
          <w:rFonts w:asciiTheme="majorHAnsi" w:hAnsiTheme="majorHAnsi" w:cstheme="majorHAnsi"/>
          <w:szCs w:val="22"/>
        </w:rPr>
        <w:t xml:space="preserve"> of site- and management-specific reference values as derived by</w:t>
      </w:r>
      <w:r w:rsidR="002C7353">
        <w:rPr>
          <w:rFonts w:asciiTheme="majorHAnsi" w:hAnsiTheme="majorHAnsi" w:cstheme="majorHAnsi"/>
          <w:szCs w:val="22"/>
        </w:rPr>
        <w:t xml:space="preserve"> </w:t>
      </w:r>
      <w:r w:rsidR="002C7353" w:rsidRPr="00156853">
        <w:rPr>
          <w:rFonts w:asciiTheme="majorHAnsi" w:hAnsiTheme="majorHAnsi" w:cstheme="majorHAnsi"/>
          <w:szCs w:val="22"/>
        </w:rPr>
        <w:t>Wessolek et al. (2008).</w:t>
      </w:r>
      <w:r w:rsidR="002C7353">
        <w:rPr>
          <w:rFonts w:asciiTheme="majorHAnsi" w:hAnsiTheme="majorHAnsi" w:cstheme="majorHAnsi"/>
          <w:szCs w:val="22"/>
        </w:rPr>
        <w:t xml:space="preserve"> The approach seems promising (a) to serve as a proxy for </w:t>
      </w:r>
      <w:r w:rsidR="002C7353" w:rsidRPr="0027631A">
        <w:rPr>
          <w:rFonts w:asciiTheme="majorHAnsi" w:hAnsiTheme="majorHAnsi" w:cstheme="majorHAnsi"/>
          <w:b/>
          <w:bCs/>
          <w:szCs w:val="22"/>
        </w:rPr>
        <w:t xml:space="preserve">minimum SOC values in </w:t>
      </w:r>
      <w:proofErr w:type="gramStart"/>
      <w:r w:rsidR="002C7353" w:rsidRPr="0027631A">
        <w:rPr>
          <w:rFonts w:asciiTheme="majorHAnsi" w:hAnsiTheme="majorHAnsi" w:cstheme="majorHAnsi"/>
          <w:b/>
          <w:bCs/>
          <w:szCs w:val="22"/>
        </w:rPr>
        <w:t>soils</w:t>
      </w:r>
      <w:r w:rsidR="002C7353">
        <w:rPr>
          <w:rFonts w:asciiTheme="majorHAnsi" w:hAnsiTheme="majorHAnsi" w:cstheme="majorHAnsi"/>
          <w:szCs w:val="22"/>
        </w:rPr>
        <w:t xml:space="preserve"> ,</w:t>
      </w:r>
      <w:proofErr w:type="gramEnd"/>
      <w:r w:rsidR="002C7353">
        <w:rPr>
          <w:rFonts w:asciiTheme="majorHAnsi" w:hAnsiTheme="majorHAnsi" w:cstheme="majorHAnsi"/>
          <w:szCs w:val="22"/>
        </w:rPr>
        <w:t xml:space="preserve"> and (b) to be validated/extended for all of Europe (especially for </w:t>
      </w:r>
      <w:r w:rsidR="002C7353" w:rsidRPr="0045536C">
        <w:rPr>
          <w:rFonts w:asciiTheme="majorHAnsi" w:hAnsiTheme="majorHAnsi" w:cstheme="majorHAnsi"/>
          <w:szCs w:val="22"/>
        </w:rPr>
        <w:t>loamy and clayey soils</w:t>
      </w:r>
      <w:r w:rsidR="002C7353">
        <w:rPr>
          <w:rFonts w:asciiTheme="majorHAnsi" w:hAnsiTheme="majorHAnsi" w:cstheme="majorHAnsi"/>
          <w:szCs w:val="22"/>
        </w:rPr>
        <w:t>, following the conclusion by</w:t>
      </w:r>
      <w:r w:rsidR="002C7353" w:rsidRPr="0045536C">
        <w:rPr>
          <w:rFonts w:asciiTheme="majorHAnsi" w:hAnsiTheme="majorHAnsi" w:cstheme="majorHAnsi"/>
          <w:szCs w:val="22"/>
        </w:rPr>
        <w:t xml:space="preserve"> Wessolek et al. 2008).</w:t>
      </w:r>
    </w:p>
    <w:p w14:paraId="1B52F9EE" w14:textId="594AD0EA" w:rsidR="00DA6FF5" w:rsidRDefault="00DA6FF5" w:rsidP="002C7353">
      <w:pPr>
        <w:rPr>
          <w:rFonts w:asciiTheme="majorHAnsi" w:hAnsiTheme="majorHAnsi" w:cstheme="majorHAnsi"/>
          <w:szCs w:val="22"/>
        </w:rPr>
      </w:pPr>
    </w:p>
    <w:p w14:paraId="263D765A" w14:textId="77777777" w:rsidR="00DA6FF5" w:rsidRDefault="00DA6FF5" w:rsidP="002C7353">
      <w:pPr>
        <w:rPr>
          <w:rFonts w:asciiTheme="majorHAnsi" w:hAnsiTheme="majorHAnsi" w:cstheme="majorHAnsi"/>
          <w:szCs w:val="22"/>
        </w:rPr>
      </w:pPr>
    </w:p>
    <w:p w14:paraId="45624243" w14:textId="49E8B880" w:rsidR="00DA6FF5" w:rsidRDefault="00DA6FF5" w:rsidP="00EF3E3D">
      <w:pPr>
        <w:pStyle w:val="EEALabel"/>
      </w:pPr>
      <w:bookmarkStart w:id="83" w:name="_Ref64555629"/>
      <w:bookmarkStart w:id="84" w:name="_Toc83997504"/>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4</w:t>
      </w:r>
      <w:r w:rsidR="00C76C23">
        <w:fldChar w:fldCharType="end"/>
      </w:r>
      <w:bookmarkEnd w:id="83"/>
      <w:r w:rsidRPr="004712E0">
        <w:t>:</w:t>
      </w:r>
      <w:r w:rsidRPr="004712E0">
        <w:tab/>
        <w:t>Matrix for optimal SOM values for different soils, management type and climate</w:t>
      </w:r>
      <w:bookmarkEnd w:id="84"/>
    </w:p>
    <w:p w14:paraId="09F52B29" w14:textId="77777777" w:rsidR="00EF3E3D" w:rsidRPr="00EF3E3D" w:rsidRDefault="00EF3E3D" w:rsidP="00EF3E3D"/>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3260"/>
        <w:gridCol w:w="1701"/>
        <w:gridCol w:w="1701"/>
        <w:gridCol w:w="1418"/>
      </w:tblGrid>
      <w:tr w:rsidR="002C7353" w:rsidRPr="00EF3E3D" w14:paraId="483858D1" w14:textId="77777777" w:rsidTr="00EF3E3D">
        <w:tc>
          <w:tcPr>
            <w:tcW w:w="1418" w:type="dxa"/>
            <w:vMerge w:val="restart"/>
            <w:tcBorders>
              <w:top w:val="single" w:sz="4" w:space="0" w:color="auto"/>
            </w:tcBorders>
            <w:shd w:val="pct10" w:color="auto" w:fill="auto"/>
            <w:vAlign w:val="center"/>
          </w:tcPr>
          <w:p w14:paraId="5805D59F" w14:textId="77777777" w:rsidR="002C7353" w:rsidRPr="00EF3E3D" w:rsidRDefault="002C7353" w:rsidP="00EF3E3D">
            <w:pPr>
              <w:pStyle w:val="EEAtableleft"/>
              <w:rPr>
                <w:b/>
                <w:bCs/>
              </w:rPr>
            </w:pPr>
            <w:r w:rsidRPr="00EF3E3D">
              <w:rPr>
                <w:b/>
                <w:bCs/>
              </w:rPr>
              <w:t>Soil texture class</w:t>
            </w:r>
          </w:p>
        </w:tc>
        <w:tc>
          <w:tcPr>
            <w:tcW w:w="3260" w:type="dxa"/>
            <w:vMerge w:val="restart"/>
            <w:tcBorders>
              <w:top w:val="single" w:sz="4" w:space="0" w:color="auto"/>
            </w:tcBorders>
            <w:shd w:val="pct10" w:color="auto" w:fill="auto"/>
            <w:vAlign w:val="center"/>
          </w:tcPr>
          <w:p w14:paraId="72E11797" w14:textId="77777777" w:rsidR="002C7353" w:rsidRPr="00EF3E3D" w:rsidRDefault="002C7353" w:rsidP="00EF3E3D">
            <w:pPr>
              <w:pStyle w:val="EEAtableleft"/>
              <w:rPr>
                <w:b/>
                <w:bCs/>
              </w:rPr>
            </w:pPr>
            <w:r w:rsidRPr="00EF3E3D">
              <w:rPr>
                <w:b/>
                <w:bCs/>
              </w:rPr>
              <w:t>Management intensity (fertilizer)</w:t>
            </w:r>
          </w:p>
        </w:tc>
        <w:tc>
          <w:tcPr>
            <w:tcW w:w="4820" w:type="dxa"/>
            <w:gridSpan w:val="3"/>
            <w:tcBorders>
              <w:top w:val="single" w:sz="4" w:space="0" w:color="auto"/>
            </w:tcBorders>
            <w:shd w:val="pct10" w:color="auto" w:fill="auto"/>
            <w:vAlign w:val="center"/>
          </w:tcPr>
          <w:p w14:paraId="4052EC19" w14:textId="08825DF2" w:rsidR="002C7353" w:rsidRPr="00EF3E3D" w:rsidRDefault="002C7353" w:rsidP="00EF3E3D">
            <w:pPr>
              <w:pStyle w:val="EEAtableleft"/>
              <w:rPr>
                <w:b/>
                <w:bCs/>
              </w:rPr>
            </w:pPr>
            <w:r w:rsidRPr="00EF3E3D">
              <w:rPr>
                <w:b/>
                <w:bCs/>
              </w:rPr>
              <w:t>Climatic water balance [mm] during summer</w:t>
            </w:r>
            <w:r w:rsidR="00307C84" w:rsidRPr="00307C84">
              <w:rPr>
                <w:b/>
                <w:bCs/>
                <w:vertAlign w:val="superscript"/>
              </w:rPr>
              <w:t>(</w:t>
            </w:r>
            <w:r w:rsidRPr="00307C84">
              <w:rPr>
                <w:b/>
                <w:bCs/>
                <w:vertAlign w:val="superscript"/>
              </w:rPr>
              <w:t>1)</w:t>
            </w:r>
          </w:p>
        </w:tc>
      </w:tr>
      <w:tr w:rsidR="002C7353" w14:paraId="2D28FB32" w14:textId="77777777" w:rsidTr="00EF3E3D">
        <w:tc>
          <w:tcPr>
            <w:tcW w:w="1418" w:type="dxa"/>
            <w:vMerge/>
            <w:tcBorders>
              <w:bottom w:val="single" w:sz="4" w:space="0" w:color="auto"/>
            </w:tcBorders>
          </w:tcPr>
          <w:p w14:paraId="34B42CAF" w14:textId="77777777" w:rsidR="002C7353" w:rsidRPr="00E403A9" w:rsidRDefault="002C7353" w:rsidP="00EF3E3D">
            <w:pPr>
              <w:pStyle w:val="EEAtableleft"/>
            </w:pPr>
          </w:p>
        </w:tc>
        <w:tc>
          <w:tcPr>
            <w:tcW w:w="3260" w:type="dxa"/>
            <w:vMerge/>
            <w:tcBorders>
              <w:bottom w:val="single" w:sz="4" w:space="0" w:color="auto"/>
            </w:tcBorders>
          </w:tcPr>
          <w:p w14:paraId="7F22F87B" w14:textId="77777777" w:rsidR="002C7353" w:rsidRPr="00E403A9" w:rsidRDefault="002C7353" w:rsidP="00EF3E3D">
            <w:pPr>
              <w:pStyle w:val="EEAtableleft"/>
            </w:pPr>
          </w:p>
        </w:tc>
        <w:tc>
          <w:tcPr>
            <w:tcW w:w="1701" w:type="dxa"/>
            <w:tcBorders>
              <w:bottom w:val="single" w:sz="4" w:space="0" w:color="auto"/>
            </w:tcBorders>
            <w:shd w:val="pct10" w:color="auto" w:fill="auto"/>
            <w:vAlign w:val="center"/>
          </w:tcPr>
          <w:p w14:paraId="7BA38EC0" w14:textId="77777777" w:rsidR="002C7353" w:rsidRPr="00EF3E3D" w:rsidRDefault="002C7353" w:rsidP="00EF3E3D">
            <w:pPr>
              <w:pStyle w:val="EEAtableleft"/>
              <w:rPr>
                <w:b/>
                <w:bCs/>
              </w:rPr>
            </w:pPr>
            <w:r w:rsidRPr="00EF3E3D">
              <w:rPr>
                <w:b/>
                <w:bCs/>
              </w:rPr>
              <w:t>&lt; -1002)</w:t>
            </w:r>
          </w:p>
        </w:tc>
        <w:tc>
          <w:tcPr>
            <w:tcW w:w="1701" w:type="dxa"/>
            <w:tcBorders>
              <w:bottom w:val="single" w:sz="4" w:space="0" w:color="auto"/>
            </w:tcBorders>
            <w:shd w:val="pct10" w:color="auto" w:fill="auto"/>
            <w:vAlign w:val="center"/>
          </w:tcPr>
          <w:p w14:paraId="4CA8568F" w14:textId="2DA39D3F" w:rsidR="002C7353" w:rsidRPr="00EF3E3D" w:rsidRDefault="002C7353" w:rsidP="00307C84">
            <w:pPr>
              <w:pStyle w:val="EEAtableleft"/>
              <w:rPr>
                <w:b/>
                <w:bCs/>
              </w:rPr>
            </w:pPr>
            <w:r w:rsidRPr="00EF3E3D">
              <w:rPr>
                <w:b/>
                <w:bCs/>
              </w:rPr>
              <w:t xml:space="preserve">-100 </w:t>
            </w:r>
            <w:r w:rsidR="00307C84">
              <w:rPr>
                <w:b/>
                <w:bCs/>
              </w:rPr>
              <w:t xml:space="preserve">to </w:t>
            </w:r>
            <w:r w:rsidRPr="00EF3E3D">
              <w:rPr>
                <w:b/>
                <w:bCs/>
              </w:rPr>
              <w:t xml:space="preserve"> 0</w:t>
            </w:r>
          </w:p>
        </w:tc>
        <w:tc>
          <w:tcPr>
            <w:tcW w:w="1418" w:type="dxa"/>
            <w:tcBorders>
              <w:bottom w:val="single" w:sz="4" w:space="0" w:color="auto"/>
            </w:tcBorders>
            <w:shd w:val="pct10" w:color="auto" w:fill="auto"/>
            <w:vAlign w:val="center"/>
          </w:tcPr>
          <w:p w14:paraId="710D7AB2" w14:textId="77777777" w:rsidR="002C7353" w:rsidRPr="00EF3E3D" w:rsidRDefault="002C7353" w:rsidP="00EF3E3D">
            <w:pPr>
              <w:pStyle w:val="EEAtableleft"/>
              <w:rPr>
                <w:b/>
                <w:bCs/>
              </w:rPr>
            </w:pPr>
            <w:r w:rsidRPr="00EF3E3D">
              <w:rPr>
                <w:b/>
                <w:bCs/>
              </w:rPr>
              <w:t>&gt; 0</w:t>
            </w:r>
          </w:p>
        </w:tc>
      </w:tr>
      <w:tr w:rsidR="002C7353" w14:paraId="255B53EF" w14:textId="77777777" w:rsidTr="00EF3E3D">
        <w:tc>
          <w:tcPr>
            <w:tcW w:w="1418" w:type="dxa"/>
            <w:vMerge w:val="restart"/>
            <w:tcBorders>
              <w:top w:val="single" w:sz="4" w:space="0" w:color="auto"/>
            </w:tcBorders>
            <w:vAlign w:val="center"/>
          </w:tcPr>
          <w:p w14:paraId="183982CF" w14:textId="77777777" w:rsidR="002C7353" w:rsidRPr="00EF3E3D" w:rsidDel="003D7226" w:rsidRDefault="002C7353" w:rsidP="00EF3E3D">
            <w:pPr>
              <w:pStyle w:val="EEAtableleft"/>
              <w:rPr>
                <w:b/>
                <w:bCs/>
              </w:rPr>
            </w:pPr>
            <w:r w:rsidRPr="00EF3E3D">
              <w:rPr>
                <w:b/>
                <w:bCs/>
              </w:rPr>
              <w:t>Sand</w:t>
            </w:r>
          </w:p>
        </w:tc>
        <w:tc>
          <w:tcPr>
            <w:tcW w:w="3260" w:type="dxa"/>
            <w:tcBorders>
              <w:top w:val="single" w:sz="4" w:space="0" w:color="auto"/>
              <w:bottom w:val="single" w:sz="4" w:space="0" w:color="auto"/>
            </w:tcBorders>
            <w:vAlign w:val="bottom"/>
          </w:tcPr>
          <w:p w14:paraId="715C0A46" w14:textId="406C948E" w:rsidR="002C7353" w:rsidRPr="0095454B" w:rsidRDefault="002C7353" w:rsidP="0095454B">
            <w:pPr>
              <w:pStyle w:val="EEAtableleft"/>
            </w:pPr>
            <w:proofErr w:type="gramStart"/>
            <w:r w:rsidRPr="0095454B">
              <w:t>max</w:t>
            </w:r>
            <w:proofErr w:type="gramEnd"/>
            <w:r w:rsidRPr="0095454B">
              <w:t>. both</w:t>
            </w:r>
            <w:r w:rsidR="0076323A" w:rsidRPr="0095454B">
              <w:t>(</w:t>
            </w:r>
            <w:r w:rsidRPr="0095454B">
              <w:t>2)</w:t>
            </w:r>
          </w:p>
        </w:tc>
        <w:tc>
          <w:tcPr>
            <w:tcW w:w="1701" w:type="dxa"/>
            <w:tcBorders>
              <w:top w:val="single" w:sz="4" w:space="0" w:color="auto"/>
              <w:bottom w:val="single" w:sz="4" w:space="0" w:color="auto"/>
            </w:tcBorders>
            <w:vAlign w:val="bottom"/>
          </w:tcPr>
          <w:p w14:paraId="73031FC7" w14:textId="77777777" w:rsidR="002C7353" w:rsidRPr="00E403A9" w:rsidRDefault="002C7353" w:rsidP="0095454B">
            <w:pPr>
              <w:pStyle w:val="EEATabcenter"/>
            </w:pPr>
            <w:r w:rsidRPr="00E403A9">
              <w:t>1</w:t>
            </w:r>
            <w:r>
              <w:t>.</w:t>
            </w:r>
            <w:r w:rsidRPr="00E403A9">
              <w:t>74</w:t>
            </w:r>
          </w:p>
        </w:tc>
        <w:tc>
          <w:tcPr>
            <w:tcW w:w="1701" w:type="dxa"/>
            <w:tcBorders>
              <w:top w:val="single" w:sz="4" w:space="0" w:color="auto"/>
              <w:bottom w:val="single" w:sz="4" w:space="0" w:color="auto"/>
            </w:tcBorders>
            <w:vAlign w:val="bottom"/>
          </w:tcPr>
          <w:p w14:paraId="59E71B57" w14:textId="77777777" w:rsidR="002C7353" w:rsidRPr="00E403A9" w:rsidRDefault="002C7353" w:rsidP="0095454B">
            <w:pPr>
              <w:pStyle w:val="EEATabcenter"/>
            </w:pPr>
            <w:r w:rsidRPr="00E403A9">
              <w:t>2</w:t>
            </w:r>
            <w:r>
              <w:t>.</w:t>
            </w:r>
            <w:r w:rsidRPr="00E403A9">
              <w:t>60</w:t>
            </w:r>
          </w:p>
        </w:tc>
        <w:tc>
          <w:tcPr>
            <w:tcW w:w="1418" w:type="dxa"/>
            <w:tcBorders>
              <w:top w:val="single" w:sz="4" w:space="0" w:color="auto"/>
              <w:bottom w:val="single" w:sz="4" w:space="0" w:color="auto"/>
            </w:tcBorders>
            <w:vAlign w:val="bottom"/>
          </w:tcPr>
          <w:p w14:paraId="1210B0CD" w14:textId="77777777" w:rsidR="002C7353" w:rsidRPr="00E403A9" w:rsidRDefault="002C7353" w:rsidP="0095454B">
            <w:pPr>
              <w:pStyle w:val="EEATabcenter"/>
            </w:pPr>
            <w:r w:rsidRPr="00E403A9">
              <w:t>3</w:t>
            </w:r>
            <w:r>
              <w:t>.</w:t>
            </w:r>
            <w:r w:rsidRPr="00E403A9">
              <w:t>47</w:t>
            </w:r>
          </w:p>
        </w:tc>
      </w:tr>
      <w:tr w:rsidR="002C7353" w14:paraId="04072274" w14:textId="77777777" w:rsidTr="00EF3E3D">
        <w:tc>
          <w:tcPr>
            <w:tcW w:w="1418" w:type="dxa"/>
            <w:vMerge/>
            <w:vAlign w:val="center"/>
          </w:tcPr>
          <w:p w14:paraId="3BAFB8CA"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5F50E35D" w14:textId="77777777" w:rsidR="002C7353" w:rsidRPr="0095454B" w:rsidDel="003D7226" w:rsidRDefault="002C7353" w:rsidP="0095454B">
            <w:pPr>
              <w:pStyle w:val="EEAtableleft"/>
            </w:pPr>
            <w:r w:rsidRPr="0095454B">
              <w:t>org. &amp; mineral</w:t>
            </w:r>
          </w:p>
        </w:tc>
        <w:tc>
          <w:tcPr>
            <w:tcW w:w="1701" w:type="dxa"/>
            <w:tcBorders>
              <w:top w:val="single" w:sz="4" w:space="0" w:color="auto"/>
              <w:bottom w:val="single" w:sz="4" w:space="0" w:color="auto"/>
            </w:tcBorders>
            <w:vAlign w:val="bottom"/>
          </w:tcPr>
          <w:p w14:paraId="3D2F59A7" w14:textId="77777777" w:rsidR="002C7353" w:rsidRPr="00E403A9" w:rsidDel="003D7226" w:rsidRDefault="002C7353" w:rsidP="0095454B">
            <w:pPr>
              <w:pStyle w:val="EEATabcenter"/>
            </w:pPr>
            <w:r w:rsidRPr="00E403A9">
              <w:t>1</w:t>
            </w:r>
            <w:r>
              <w:t>.</w:t>
            </w:r>
            <w:r w:rsidRPr="00E403A9">
              <w:t>64</w:t>
            </w:r>
          </w:p>
        </w:tc>
        <w:tc>
          <w:tcPr>
            <w:tcW w:w="1701" w:type="dxa"/>
            <w:tcBorders>
              <w:top w:val="single" w:sz="4" w:space="0" w:color="auto"/>
              <w:bottom w:val="single" w:sz="4" w:space="0" w:color="auto"/>
            </w:tcBorders>
            <w:vAlign w:val="bottom"/>
          </w:tcPr>
          <w:p w14:paraId="5C8F209A" w14:textId="77777777" w:rsidR="002C7353" w:rsidRPr="00E403A9" w:rsidDel="003D7226" w:rsidRDefault="002C7353" w:rsidP="0095454B">
            <w:pPr>
              <w:pStyle w:val="EEATabcenter"/>
            </w:pPr>
            <w:r w:rsidRPr="00E403A9">
              <w:t>2</w:t>
            </w:r>
            <w:r>
              <w:t>.</w:t>
            </w:r>
            <w:r w:rsidRPr="00E403A9">
              <w:t>50</w:t>
            </w:r>
          </w:p>
        </w:tc>
        <w:tc>
          <w:tcPr>
            <w:tcW w:w="1418" w:type="dxa"/>
            <w:tcBorders>
              <w:top w:val="single" w:sz="4" w:space="0" w:color="auto"/>
              <w:bottom w:val="single" w:sz="4" w:space="0" w:color="auto"/>
            </w:tcBorders>
            <w:vAlign w:val="bottom"/>
          </w:tcPr>
          <w:p w14:paraId="79E291FA" w14:textId="77777777" w:rsidR="002C7353" w:rsidRPr="00E403A9" w:rsidDel="003D7226" w:rsidRDefault="002C7353" w:rsidP="0095454B">
            <w:pPr>
              <w:pStyle w:val="EEATabcenter"/>
            </w:pPr>
            <w:r w:rsidRPr="00E403A9">
              <w:t>3</w:t>
            </w:r>
            <w:r>
              <w:t>.</w:t>
            </w:r>
            <w:r w:rsidRPr="00E403A9">
              <w:t>36</w:t>
            </w:r>
          </w:p>
        </w:tc>
      </w:tr>
      <w:tr w:rsidR="002C7353" w14:paraId="55012F66" w14:textId="77777777" w:rsidTr="00EF3E3D">
        <w:tc>
          <w:tcPr>
            <w:tcW w:w="1418" w:type="dxa"/>
            <w:vMerge/>
            <w:vAlign w:val="center"/>
          </w:tcPr>
          <w:p w14:paraId="20C16EB8"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37C1539F" w14:textId="77777777" w:rsidR="002C7353" w:rsidRPr="0095454B" w:rsidDel="003D7226" w:rsidRDefault="002C7353" w:rsidP="0095454B">
            <w:pPr>
              <w:pStyle w:val="EEAtableleft"/>
            </w:pPr>
            <w:r w:rsidRPr="0095454B">
              <w:t>organic</w:t>
            </w:r>
          </w:p>
        </w:tc>
        <w:tc>
          <w:tcPr>
            <w:tcW w:w="1701" w:type="dxa"/>
            <w:tcBorders>
              <w:top w:val="single" w:sz="4" w:space="0" w:color="auto"/>
              <w:bottom w:val="single" w:sz="4" w:space="0" w:color="auto"/>
            </w:tcBorders>
            <w:vAlign w:val="bottom"/>
          </w:tcPr>
          <w:p w14:paraId="0EB1DF3E" w14:textId="77777777" w:rsidR="002C7353" w:rsidRPr="00E403A9" w:rsidDel="003D7226" w:rsidRDefault="002C7353" w:rsidP="0095454B">
            <w:pPr>
              <w:pStyle w:val="EEATabcenter"/>
            </w:pPr>
            <w:r w:rsidRPr="00E403A9">
              <w:t>1</w:t>
            </w:r>
            <w:r>
              <w:t>.</w:t>
            </w:r>
            <w:r w:rsidRPr="00E403A9">
              <w:t>43</w:t>
            </w:r>
          </w:p>
        </w:tc>
        <w:tc>
          <w:tcPr>
            <w:tcW w:w="1701" w:type="dxa"/>
            <w:tcBorders>
              <w:top w:val="single" w:sz="4" w:space="0" w:color="auto"/>
              <w:bottom w:val="single" w:sz="4" w:space="0" w:color="auto"/>
            </w:tcBorders>
            <w:vAlign w:val="bottom"/>
          </w:tcPr>
          <w:p w14:paraId="58CE1740" w14:textId="77777777" w:rsidR="002C7353" w:rsidRPr="00E403A9" w:rsidDel="003D7226" w:rsidRDefault="002C7353" w:rsidP="0095454B">
            <w:pPr>
              <w:pStyle w:val="EEATabcenter"/>
            </w:pPr>
            <w:r w:rsidRPr="00E403A9">
              <w:t>2</w:t>
            </w:r>
            <w:r>
              <w:t>.</w:t>
            </w:r>
            <w:r w:rsidRPr="00E403A9">
              <w:t>29</w:t>
            </w:r>
          </w:p>
        </w:tc>
        <w:tc>
          <w:tcPr>
            <w:tcW w:w="1418" w:type="dxa"/>
            <w:tcBorders>
              <w:top w:val="single" w:sz="4" w:space="0" w:color="auto"/>
              <w:bottom w:val="single" w:sz="4" w:space="0" w:color="auto"/>
            </w:tcBorders>
            <w:vAlign w:val="bottom"/>
          </w:tcPr>
          <w:p w14:paraId="755EE842" w14:textId="77777777" w:rsidR="002C7353" w:rsidRPr="00E403A9" w:rsidDel="003D7226" w:rsidRDefault="002C7353" w:rsidP="0095454B">
            <w:pPr>
              <w:pStyle w:val="EEATabcenter"/>
            </w:pPr>
            <w:r w:rsidRPr="00E403A9">
              <w:t>3</w:t>
            </w:r>
            <w:r>
              <w:t>.</w:t>
            </w:r>
            <w:r w:rsidRPr="00E403A9">
              <w:t>15</w:t>
            </w:r>
          </w:p>
        </w:tc>
      </w:tr>
      <w:tr w:rsidR="002C7353" w14:paraId="46048531" w14:textId="77777777" w:rsidTr="00EF3E3D">
        <w:tc>
          <w:tcPr>
            <w:tcW w:w="1418" w:type="dxa"/>
            <w:vMerge/>
            <w:vAlign w:val="center"/>
          </w:tcPr>
          <w:p w14:paraId="29844CF9"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5389BC08" w14:textId="77777777" w:rsidR="002C7353" w:rsidRPr="0095454B" w:rsidDel="003D7226" w:rsidRDefault="002C7353" w:rsidP="0095454B">
            <w:pPr>
              <w:pStyle w:val="EEAtableleft"/>
            </w:pPr>
            <w:r w:rsidRPr="0095454B">
              <w:t>mineral</w:t>
            </w:r>
          </w:p>
        </w:tc>
        <w:tc>
          <w:tcPr>
            <w:tcW w:w="1701" w:type="dxa"/>
            <w:tcBorders>
              <w:top w:val="single" w:sz="4" w:space="0" w:color="auto"/>
              <w:bottom w:val="single" w:sz="4" w:space="0" w:color="auto"/>
            </w:tcBorders>
            <w:vAlign w:val="bottom"/>
          </w:tcPr>
          <w:p w14:paraId="65FF54FF" w14:textId="77777777" w:rsidR="002C7353" w:rsidRPr="00E403A9" w:rsidDel="003D7226" w:rsidRDefault="002C7353" w:rsidP="0095454B">
            <w:pPr>
              <w:pStyle w:val="EEATabcenter"/>
            </w:pPr>
            <w:r w:rsidRPr="00E403A9">
              <w:t>1</w:t>
            </w:r>
            <w:r>
              <w:t>.</w:t>
            </w:r>
            <w:r w:rsidRPr="00E403A9">
              <w:t>26</w:t>
            </w:r>
          </w:p>
        </w:tc>
        <w:tc>
          <w:tcPr>
            <w:tcW w:w="1701" w:type="dxa"/>
            <w:tcBorders>
              <w:top w:val="single" w:sz="4" w:space="0" w:color="auto"/>
              <w:bottom w:val="single" w:sz="4" w:space="0" w:color="auto"/>
            </w:tcBorders>
            <w:vAlign w:val="bottom"/>
          </w:tcPr>
          <w:p w14:paraId="0F6CAF87" w14:textId="77777777" w:rsidR="002C7353" w:rsidRPr="00E403A9" w:rsidDel="003D7226" w:rsidRDefault="002C7353" w:rsidP="0095454B">
            <w:pPr>
              <w:pStyle w:val="EEATabcenter"/>
            </w:pPr>
            <w:r w:rsidRPr="00E403A9">
              <w:t>2</w:t>
            </w:r>
            <w:r>
              <w:t>.</w:t>
            </w:r>
            <w:r w:rsidRPr="00E403A9">
              <w:t>12</w:t>
            </w:r>
          </w:p>
        </w:tc>
        <w:tc>
          <w:tcPr>
            <w:tcW w:w="1418" w:type="dxa"/>
            <w:tcBorders>
              <w:top w:val="single" w:sz="4" w:space="0" w:color="auto"/>
              <w:bottom w:val="single" w:sz="4" w:space="0" w:color="auto"/>
            </w:tcBorders>
            <w:vAlign w:val="bottom"/>
          </w:tcPr>
          <w:p w14:paraId="57968F4E" w14:textId="77777777" w:rsidR="002C7353" w:rsidRPr="00E403A9" w:rsidDel="003D7226" w:rsidRDefault="002C7353" w:rsidP="0095454B">
            <w:pPr>
              <w:pStyle w:val="EEATabcenter"/>
            </w:pPr>
            <w:r w:rsidRPr="00E403A9">
              <w:t>2</w:t>
            </w:r>
            <w:r>
              <w:t>.</w:t>
            </w:r>
            <w:r w:rsidRPr="00E403A9">
              <w:t>98</w:t>
            </w:r>
          </w:p>
        </w:tc>
      </w:tr>
      <w:tr w:rsidR="002C7353" w14:paraId="6C4B8C0E" w14:textId="77777777" w:rsidTr="00EF3E3D">
        <w:tc>
          <w:tcPr>
            <w:tcW w:w="1418" w:type="dxa"/>
            <w:vMerge/>
            <w:tcBorders>
              <w:bottom w:val="single" w:sz="4" w:space="0" w:color="auto"/>
            </w:tcBorders>
            <w:vAlign w:val="center"/>
          </w:tcPr>
          <w:p w14:paraId="36768B2F"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7CC65081" w14:textId="77777777" w:rsidR="002C7353" w:rsidRPr="0095454B" w:rsidDel="003D7226" w:rsidRDefault="002C7353" w:rsidP="0095454B">
            <w:pPr>
              <w:pStyle w:val="EEAtableleft"/>
            </w:pPr>
            <w:r w:rsidRPr="0095454B">
              <w:t>Null</w:t>
            </w:r>
          </w:p>
        </w:tc>
        <w:tc>
          <w:tcPr>
            <w:tcW w:w="1701" w:type="dxa"/>
            <w:tcBorders>
              <w:top w:val="single" w:sz="4" w:space="0" w:color="auto"/>
              <w:bottom w:val="single" w:sz="4" w:space="0" w:color="auto"/>
            </w:tcBorders>
            <w:vAlign w:val="bottom"/>
          </w:tcPr>
          <w:p w14:paraId="5F0B5B2C" w14:textId="77777777" w:rsidR="002C7353" w:rsidRPr="00E403A9" w:rsidDel="003D7226" w:rsidRDefault="002C7353" w:rsidP="0095454B">
            <w:pPr>
              <w:pStyle w:val="EEATabcenter"/>
            </w:pPr>
            <w:r w:rsidRPr="00E403A9">
              <w:t>1</w:t>
            </w:r>
            <w:r>
              <w:t>.</w:t>
            </w:r>
            <w:r w:rsidRPr="00E403A9">
              <w:t>21</w:t>
            </w:r>
          </w:p>
        </w:tc>
        <w:tc>
          <w:tcPr>
            <w:tcW w:w="1701" w:type="dxa"/>
            <w:tcBorders>
              <w:top w:val="single" w:sz="4" w:space="0" w:color="auto"/>
              <w:bottom w:val="single" w:sz="4" w:space="0" w:color="auto"/>
            </w:tcBorders>
            <w:vAlign w:val="bottom"/>
          </w:tcPr>
          <w:p w14:paraId="51B59FFE" w14:textId="77777777" w:rsidR="002C7353" w:rsidRPr="00E403A9" w:rsidDel="003D7226" w:rsidRDefault="002C7353" w:rsidP="0095454B">
            <w:pPr>
              <w:pStyle w:val="EEATabcenter"/>
            </w:pPr>
            <w:r w:rsidRPr="00E403A9">
              <w:t>2</w:t>
            </w:r>
            <w:r>
              <w:t>.</w:t>
            </w:r>
            <w:r w:rsidRPr="00E403A9">
              <w:t>07</w:t>
            </w:r>
          </w:p>
        </w:tc>
        <w:tc>
          <w:tcPr>
            <w:tcW w:w="1418" w:type="dxa"/>
            <w:tcBorders>
              <w:top w:val="single" w:sz="4" w:space="0" w:color="auto"/>
              <w:bottom w:val="single" w:sz="4" w:space="0" w:color="auto"/>
            </w:tcBorders>
            <w:vAlign w:val="bottom"/>
          </w:tcPr>
          <w:p w14:paraId="3FC7BA86" w14:textId="77777777" w:rsidR="002C7353" w:rsidRPr="00E403A9" w:rsidDel="003D7226" w:rsidRDefault="002C7353" w:rsidP="0095454B">
            <w:pPr>
              <w:pStyle w:val="EEATabcenter"/>
            </w:pPr>
            <w:r w:rsidRPr="00E403A9">
              <w:t>2</w:t>
            </w:r>
            <w:r>
              <w:t>.</w:t>
            </w:r>
            <w:r w:rsidRPr="00E403A9">
              <w:t>93</w:t>
            </w:r>
          </w:p>
        </w:tc>
      </w:tr>
      <w:tr w:rsidR="002C7353" w14:paraId="3FC010CD" w14:textId="77777777" w:rsidTr="00EF3E3D">
        <w:tc>
          <w:tcPr>
            <w:tcW w:w="1418" w:type="dxa"/>
            <w:vMerge w:val="restart"/>
            <w:tcBorders>
              <w:top w:val="single" w:sz="4" w:space="0" w:color="auto"/>
            </w:tcBorders>
            <w:vAlign w:val="center"/>
          </w:tcPr>
          <w:p w14:paraId="2948EC13" w14:textId="77777777" w:rsidR="002C7353" w:rsidRPr="00EF3E3D" w:rsidDel="003D7226" w:rsidRDefault="002C7353" w:rsidP="00EF3E3D">
            <w:pPr>
              <w:pStyle w:val="EEAtableleft"/>
              <w:rPr>
                <w:b/>
                <w:bCs/>
              </w:rPr>
            </w:pPr>
            <w:r w:rsidRPr="00EF3E3D">
              <w:rPr>
                <w:b/>
                <w:bCs/>
              </w:rPr>
              <w:t>Silt</w:t>
            </w:r>
          </w:p>
        </w:tc>
        <w:tc>
          <w:tcPr>
            <w:tcW w:w="3260" w:type="dxa"/>
            <w:tcBorders>
              <w:top w:val="single" w:sz="4" w:space="0" w:color="auto"/>
              <w:bottom w:val="single" w:sz="4" w:space="0" w:color="auto"/>
            </w:tcBorders>
            <w:vAlign w:val="bottom"/>
          </w:tcPr>
          <w:p w14:paraId="6D955976" w14:textId="77777777" w:rsidR="002C7353" w:rsidRPr="0095454B" w:rsidDel="003D7226" w:rsidRDefault="002C7353" w:rsidP="0095454B">
            <w:pPr>
              <w:pStyle w:val="EEAtableleft"/>
            </w:pPr>
            <w:proofErr w:type="gramStart"/>
            <w:r w:rsidRPr="0095454B">
              <w:t>max</w:t>
            </w:r>
            <w:proofErr w:type="gramEnd"/>
            <w:r w:rsidRPr="0095454B">
              <w:t>. both</w:t>
            </w:r>
          </w:p>
        </w:tc>
        <w:tc>
          <w:tcPr>
            <w:tcW w:w="1701" w:type="dxa"/>
            <w:tcBorders>
              <w:top w:val="single" w:sz="4" w:space="0" w:color="auto"/>
              <w:bottom w:val="single" w:sz="4" w:space="0" w:color="auto"/>
            </w:tcBorders>
            <w:vAlign w:val="bottom"/>
          </w:tcPr>
          <w:p w14:paraId="1595E56D" w14:textId="77777777" w:rsidR="002C7353" w:rsidRPr="00E403A9" w:rsidDel="003D7226" w:rsidRDefault="002C7353" w:rsidP="0095454B">
            <w:pPr>
              <w:pStyle w:val="EEATabcenter"/>
            </w:pPr>
            <w:r w:rsidRPr="00E403A9">
              <w:t>4</w:t>
            </w:r>
            <w:r>
              <w:t>.</w:t>
            </w:r>
            <w:r w:rsidRPr="00E403A9">
              <w:t>09</w:t>
            </w:r>
          </w:p>
        </w:tc>
        <w:tc>
          <w:tcPr>
            <w:tcW w:w="1701" w:type="dxa"/>
            <w:tcBorders>
              <w:top w:val="single" w:sz="4" w:space="0" w:color="auto"/>
              <w:bottom w:val="single" w:sz="4" w:space="0" w:color="auto"/>
            </w:tcBorders>
            <w:vAlign w:val="bottom"/>
          </w:tcPr>
          <w:p w14:paraId="328F4D42" w14:textId="77777777" w:rsidR="002C7353" w:rsidRPr="00E403A9" w:rsidDel="003D7226" w:rsidRDefault="002C7353" w:rsidP="0095454B">
            <w:pPr>
              <w:pStyle w:val="EEATabcenter"/>
            </w:pPr>
            <w:r w:rsidRPr="00E403A9">
              <w:t>3</w:t>
            </w:r>
            <w:r>
              <w:t>.</w:t>
            </w:r>
            <w:r w:rsidRPr="00E403A9">
              <w:t>31</w:t>
            </w:r>
          </w:p>
        </w:tc>
        <w:tc>
          <w:tcPr>
            <w:tcW w:w="1418" w:type="dxa"/>
            <w:tcBorders>
              <w:top w:val="single" w:sz="4" w:space="0" w:color="auto"/>
              <w:bottom w:val="single" w:sz="4" w:space="0" w:color="auto"/>
            </w:tcBorders>
            <w:vAlign w:val="bottom"/>
          </w:tcPr>
          <w:p w14:paraId="3E939B78" w14:textId="77777777" w:rsidR="002C7353" w:rsidRPr="00E403A9" w:rsidDel="003D7226" w:rsidRDefault="002C7353" w:rsidP="0095454B">
            <w:pPr>
              <w:pStyle w:val="EEATabcenter"/>
            </w:pPr>
            <w:r w:rsidRPr="00E403A9">
              <w:t>2</w:t>
            </w:r>
            <w:r>
              <w:t>.</w:t>
            </w:r>
            <w:r w:rsidRPr="00E403A9">
              <w:t>48</w:t>
            </w:r>
          </w:p>
        </w:tc>
      </w:tr>
      <w:tr w:rsidR="002C7353" w14:paraId="6D9F1E9D" w14:textId="77777777" w:rsidTr="00EF3E3D">
        <w:tc>
          <w:tcPr>
            <w:tcW w:w="1418" w:type="dxa"/>
            <w:vMerge/>
            <w:vAlign w:val="center"/>
          </w:tcPr>
          <w:p w14:paraId="465169E1"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3C57BBAC" w14:textId="77777777" w:rsidR="002C7353" w:rsidRPr="0095454B" w:rsidDel="003D7226" w:rsidRDefault="002C7353" w:rsidP="0095454B">
            <w:pPr>
              <w:pStyle w:val="EEAtableleft"/>
            </w:pPr>
            <w:r w:rsidRPr="0095454B">
              <w:t>org. &amp; mineral</w:t>
            </w:r>
          </w:p>
        </w:tc>
        <w:tc>
          <w:tcPr>
            <w:tcW w:w="1701" w:type="dxa"/>
            <w:tcBorders>
              <w:top w:val="single" w:sz="4" w:space="0" w:color="auto"/>
              <w:bottom w:val="single" w:sz="4" w:space="0" w:color="auto"/>
            </w:tcBorders>
            <w:vAlign w:val="bottom"/>
          </w:tcPr>
          <w:p w14:paraId="0CC794A6" w14:textId="77777777" w:rsidR="002C7353" w:rsidRPr="00E403A9" w:rsidDel="003D7226" w:rsidRDefault="002C7353" w:rsidP="0095454B">
            <w:pPr>
              <w:pStyle w:val="EEATabcenter"/>
            </w:pPr>
            <w:r w:rsidRPr="00E403A9">
              <w:t>3</w:t>
            </w:r>
            <w:r>
              <w:t>.</w:t>
            </w:r>
            <w:r w:rsidRPr="00E403A9">
              <w:t>78</w:t>
            </w:r>
          </w:p>
        </w:tc>
        <w:tc>
          <w:tcPr>
            <w:tcW w:w="1701" w:type="dxa"/>
            <w:tcBorders>
              <w:top w:val="single" w:sz="4" w:space="0" w:color="auto"/>
              <w:bottom w:val="single" w:sz="4" w:space="0" w:color="auto"/>
            </w:tcBorders>
            <w:vAlign w:val="bottom"/>
          </w:tcPr>
          <w:p w14:paraId="5F9E4BA4" w14:textId="77777777" w:rsidR="002C7353" w:rsidRPr="00E403A9" w:rsidDel="003D7226" w:rsidRDefault="002C7353" w:rsidP="0095454B">
            <w:pPr>
              <w:pStyle w:val="EEATabcenter"/>
            </w:pPr>
            <w:r w:rsidRPr="00E403A9">
              <w:t>2</w:t>
            </w:r>
            <w:r>
              <w:t>.</w:t>
            </w:r>
            <w:r w:rsidRPr="00E403A9">
              <w:t>97</w:t>
            </w:r>
          </w:p>
        </w:tc>
        <w:tc>
          <w:tcPr>
            <w:tcW w:w="1418" w:type="dxa"/>
            <w:tcBorders>
              <w:top w:val="single" w:sz="4" w:space="0" w:color="auto"/>
              <w:bottom w:val="single" w:sz="4" w:space="0" w:color="auto"/>
            </w:tcBorders>
            <w:vAlign w:val="bottom"/>
          </w:tcPr>
          <w:p w14:paraId="56C8BA47" w14:textId="77777777" w:rsidR="002C7353" w:rsidRPr="00E403A9" w:rsidDel="003D7226" w:rsidRDefault="002C7353" w:rsidP="0095454B">
            <w:pPr>
              <w:pStyle w:val="EEATabcenter"/>
            </w:pPr>
            <w:r w:rsidRPr="00E403A9">
              <w:t>2</w:t>
            </w:r>
            <w:r>
              <w:t>.</w:t>
            </w:r>
            <w:r w:rsidRPr="00E403A9">
              <w:t>14</w:t>
            </w:r>
          </w:p>
        </w:tc>
      </w:tr>
      <w:tr w:rsidR="002C7353" w14:paraId="09B0FCB3" w14:textId="77777777" w:rsidTr="00EF3E3D">
        <w:tc>
          <w:tcPr>
            <w:tcW w:w="1418" w:type="dxa"/>
            <w:vMerge/>
            <w:vAlign w:val="center"/>
          </w:tcPr>
          <w:p w14:paraId="0C6671A9"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5123275A" w14:textId="77777777" w:rsidR="002C7353" w:rsidRPr="0095454B" w:rsidDel="003D7226" w:rsidRDefault="002C7353" w:rsidP="0095454B">
            <w:pPr>
              <w:pStyle w:val="EEAtableleft"/>
            </w:pPr>
            <w:r w:rsidRPr="0095454B">
              <w:t>organic</w:t>
            </w:r>
          </w:p>
        </w:tc>
        <w:tc>
          <w:tcPr>
            <w:tcW w:w="1701" w:type="dxa"/>
            <w:tcBorders>
              <w:top w:val="single" w:sz="4" w:space="0" w:color="auto"/>
              <w:bottom w:val="single" w:sz="4" w:space="0" w:color="auto"/>
            </w:tcBorders>
            <w:vAlign w:val="bottom"/>
          </w:tcPr>
          <w:p w14:paraId="4CA9820F" w14:textId="77777777" w:rsidR="002C7353" w:rsidRPr="00E403A9" w:rsidDel="003D7226" w:rsidRDefault="002C7353" w:rsidP="0095454B">
            <w:pPr>
              <w:pStyle w:val="EEATabcenter"/>
            </w:pPr>
            <w:r w:rsidRPr="00E403A9">
              <w:t>3</w:t>
            </w:r>
            <w:r>
              <w:t>.</w:t>
            </w:r>
            <w:r w:rsidRPr="00E403A9">
              <w:t>57</w:t>
            </w:r>
          </w:p>
        </w:tc>
        <w:tc>
          <w:tcPr>
            <w:tcW w:w="1701" w:type="dxa"/>
            <w:tcBorders>
              <w:top w:val="single" w:sz="4" w:space="0" w:color="auto"/>
              <w:bottom w:val="single" w:sz="4" w:space="0" w:color="auto"/>
            </w:tcBorders>
            <w:vAlign w:val="bottom"/>
          </w:tcPr>
          <w:p w14:paraId="1DEF558A" w14:textId="77777777" w:rsidR="002C7353" w:rsidRPr="00E403A9" w:rsidDel="003D7226" w:rsidRDefault="002C7353" w:rsidP="0095454B">
            <w:pPr>
              <w:pStyle w:val="EEATabcenter"/>
            </w:pPr>
            <w:r w:rsidRPr="00E403A9">
              <w:t>2</w:t>
            </w:r>
            <w:r>
              <w:t>.</w:t>
            </w:r>
            <w:r w:rsidRPr="00E403A9">
              <w:t>78</w:t>
            </w:r>
          </w:p>
        </w:tc>
        <w:tc>
          <w:tcPr>
            <w:tcW w:w="1418" w:type="dxa"/>
            <w:tcBorders>
              <w:top w:val="single" w:sz="4" w:space="0" w:color="auto"/>
              <w:bottom w:val="single" w:sz="4" w:space="0" w:color="auto"/>
            </w:tcBorders>
            <w:vAlign w:val="bottom"/>
          </w:tcPr>
          <w:p w14:paraId="01B14BAE" w14:textId="77777777" w:rsidR="002C7353" w:rsidRPr="00E403A9" w:rsidDel="003D7226" w:rsidRDefault="002C7353" w:rsidP="0095454B">
            <w:pPr>
              <w:pStyle w:val="EEATabcenter"/>
            </w:pPr>
            <w:r w:rsidRPr="00E403A9">
              <w:t>2</w:t>
            </w:r>
            <w:r>
              <w:t>.</w:t>
            </w:r>
            <w:r w:rsidRPr="00E403A9">
              <w:t>03</w:t>
            </w:r>
          </w:p>
        </w:tc>
      </w:tr>
      <w:tr w:rsidR="002C7353" w14:paraId="16431130" w14:textId="77777777" w:rsidTr="00EF3E3D">
        <w:tc>
          <w:tcPr>
            <w:tcW w:w="1418" w:type="dxa"/>
            <w:vMerge/>
            <w:vAlign w:val="center"/>
          </w:tcPr>
          <w:p w14:paraId="65DB1221"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2053682D" w14:textId="77777777" w:rsidR="002C7353" w:rsidRPr="0095454B" w:rsidDel="003D7226" w:rsidRDefault="002C7353" w:rsidP="0095454B">
            <w:pPr>
              <w:pStyle w:val="EEAtableleft"/>
            </w:pPr>
            <w:r w:rsidRPr="0095454B">
              <w:t>mineral</w:t>
            </w:r>
          </w:p>
        </w:tc>
        <w:tc>
          <w:tcPr>
            <w:tcW w:w="1701" w:type="dxa"/>
            <w:tcBorders>
              <w:top w:val="single" w:sz="4" w:space="0" w:color="auto"/>
              <w:bottom w:val="single" w:sz="4" w:space="0" w:color="auto"/>
            </w:tcBorders>
            <w:vAlign w:val="bottom"/>
          </w:tcPr>
          <w:p w14:paraId="3AD05BFE" w14:textId="77777777" w:rsidR="002C7353" w:rsidRPr="00E403A9" w:rsidDel="003D7226" w:rsidRDefault="002C7353" w:rsidP="0095454B">
            <w:pPr>
              <w:pStyle w:val="EEATabcenter"/>
            </w:pPr>
            <w:r w:rsidRPr="00E403A9">
              <w:t>3</w:t>
            </w:r>
            <w:r>
              <w:t>.</w:t>
            </w:r>
            <w:r w:rsidRPr="00E403A9">
              <w:t>26</w:t>
            </w:r>
          </w:p>
        </w:tc>
        <w:tc>
          <w:tcPr>
            <w:tcW w:w="1701" w:type="dxa"/>
            <w:tcBorders>
              <w:top w:val="single" w:sz="4" w:space="0" w:color="auto"/>
              <w:bottom w:val="single" w:sz="4" w:space="0" w:color="auto"/>
            </w:tcBorders>
            <w:vAlign w:val="bottom"/>
          </w:tcPr>
          <w:p w14:paraId="6665EA59" w14:textId="77777777" w:rsidR="002C7353" w:rsidRPr="00E403A9" w:rsidDel="003D7226" w:rsidRDefault="002C7353" w:rsidP="0095454B">
            <w:pPr>
              <w:pStyle w:val="EEATabcenter"/>
            </w:pPr>
            <w:r w:rsidRPr="00E403A9">
              <w:t>2</w:t>
            </w:r>
            <w:r>
              <w:t>.</w:t>
            </w:r>
            <w:r w:rsidRPr="00E403A9">
              <w:t>59</w:t>
            </w:r>
          </w:p>
        </w:tc>
        <w:tc>
          <w:tcPr>
            <w:tcW w:w="1418" w:type="dxa"/>
            <w:tcBorders>
              <w:top w:val="single" w:sz="4" w:space="0" w:color="auto"/>
              <w:bottom w:val="single" w:sz="4" w:space="0" w:color="auto"/>
            </w:tcBorders>
            <w:vAlign w:val="bottom"/>
          </w:tcPr>
          <w:p w14:paraId="6EDC58AF" w14:textId="77777777" w:rsidR="002C7353" w:rsidRPr="00E403A9" w:rsidDel="003D7226" w:rsidRDefault="002C7353" w:rsidP="0095454B">
            <w:pPr>
              <w:pStyle w:val="EEATabcenter"/>
            </w:pPr>
            <w:r w:rsidRPr="00E403A9">
              <w:t>1</w:t>
            </w:r>
            <w:r>
              <w:t>.</w:t>
            </w:r>
            <w:r w:rsidRPr="00E403A9">
              <w:t>91</w:t>
            </w:r>
          </w:p>
        </w:tc>
      </w:tr>
      <w:tr w:rsidR="002C7353" w14:paraId="3CF5117E" w14:textId="77777777" w:rsidTr="00EF3E3D">
        <w:tc>
          <w:tcPr>
            <w:tcW w:w="1418" w:type="dxa"/>
            <w:vMerge/>
            <w:tcBorders>
              <w:bottom w:val="single" w:sz="4" w:space="0" w:color="auto"/>
            </w:tcBorders>
            <w:vAlign w:val="center"/>
          </w:tcPr>
          <w:p w14:paraId="25F70939" w14:textId="77777777" w:rsidR="002C7353" w:rsidRPr="00EF3E3D" w:rsidDel="003D7226" w:rsidRDefault="002C7353" w:rsidP="00EF3E3D">
            <w:pPr>
              <w:pStyle w:val="EEAtableleft"/>
              <w:rPr>
                <w:b/>
                <w:bCs/>
              </w:rPr>
            </w:pPr>
          </w:p>
        </w:tc>
        <w:tc>
          <w:tcPr>
            <w:tcW w:w="3260" w:type="dxa"/>
            <w:tcBorders>
              <w:top w:val="single" w:sz="4" w:space="0" w:color="auto"/>
              <w:bottom w:val="single" w:sz="4" w:space="0" w:color="auto"/>
            </w:tcBorders>
            <w:vAlign w:val="bottom"/>
          </w:tcPr>
          <w:p w14:paraId="11299EAF" w14:textId="77777777" w:rsidR="002C7353" w:rsidRPr="0095454B" w:rsidDel="003D7226" w:rsidRDefault="002C7353" w:rsidP="0095454B">
            <w:pPr>
              <w:pStyle w:val="EEAtableleft"/>
            </w:pPr>
            <w:r w:rsidRPr="0095454B">
              <w:t>Null</w:t>
            </w:r>
          </w:p>
        </w:tc>
        <w:tc>
          <w:tcPr>
            <w:tcW w:w="1701" w:type="dxa"/>
            <w:tcBorders>
              <w:top w:val="single" w:sz="4" w:space="0" w:color="auto"/>
              <w:bottom w:val="single" w:sz="4" w:space="0" w:color="auto"/>
            </w:tcBorders>
            <w:vAlign w:val="bottom"/>
          </w:tcPr>
          <w:p w14:paraId="04B9644A" w14:textId="77777777" w:rsidR="002C7353" w:rsidRPr="00E403A9" w:rsidDel="003D7226" w:rsidRDefault="002C7353" w:rsidP="0095454B">
            <w:pPr>
              <w:pStyle w:val="EEATabcenter"/>
            </w:pPr>
            <w:r w:rsidRPr="00E403A9">
              <w:t>2</w:t>
            </w:r>
            <w:r>
              <w:t>.</w:t>
            </w:r>
            <w:r w:rsidRPr="00E403A9">
              <w:t>95</w:t>
            </w:r>
          </w:p>
        </w:tc>
        <w:tc>
          <w:tcPr>
            <w:tcW w:w="1701" w:type="dxa"/>
            <w:tcBorders>
              <w:top w:val="single" w:sz="4" w:space="0" w:color="auto"/>
              <w:bottom w:val="single" w:sz="4" w:space="0" w:color="auto"/>
            </w:tcBorders>
            <w:vAlign w:val="bottom"/>
          </w:tcPr>
          <w:p w14:paraId="57490DA6" w14:textId="77777777" w:rsidR="002C7353" w:rsidRPr="00E403A9" w:rsidDel="003D7226" w:rsidRDefault="002C7353" w:rsidP="0095454B">
            <w:pPr>
              <w:pStyle w:val="EEATabcenter"/>
            </w:pPr>
            <w:r w:rsidRPr="00E403A9">
              <w:t>2</w:t>
            </w:r>
            <w:r>
              <w:t>.</w:t>
            </w:r>
            <w:r w:rsidRPr="00E403A9">
              <w:t>14</w:t>
            </w:r>
          </w:p>
        </w:tc>
        <w:tc>
          <w:tcPr>
            <w:tcW w:w="1418" w:type="dxa"/>
            <w:tcBorders>
              <w:top w:val="single" w:sz="4" w:space="0" w:color="auto"/>
              <w:bottom w:val="single" w:sz="4" w:space="0" w:color="auto"/>
            </w:tcBorders>
            <w:vAlign w:val="bottom"/>
          </w:tcPr>
          <w:p w14:paraId="289D7DEF" w14:textId="77777777" w:rsidR="002C7353" w:rsidRPr="00E403A9" w:rsidDel="003D7226" w:rsidRDefault="002C7353" w:rsidP="0095454B">
            <w:pPr>
              <w:pStyle w:val="EEATabcenter"/>
            </w:pPr>
            <w:r w:rsidRPr="00E403A9">
              <w:t>1</w:t>
            </w:r>
            <w:r>
              <w:t>.</w:t>
            </w:r>
            <w:r w:rsidRPr="00E403A9">
              <w:t>33</w:t>
            </w:r>
          </w:p>
        </w:tc>
      </w:tr>
      <w:tr w:rsidR="002C7353" w14:paraId="7DB44F70" w14:textId="77777777" w:rsidTr="00EF3E3D">
        <w:tc>
          <w:tcPr>
            <w:tcW w:w="1418" w:type="dxa"/>
            <w:vMerge w:val="restart"/>
            <w:tcBorders>
              <w:top w:val="single" w:sz="4" w:space="0" w:color="auto"/>
            </w:tcBorders>
            <w:vAlign w:val="center"/>
          </w:tcPr>
          <w:p w14:paraId="20ACD62F" w14:textId="77777777" w:rsidR="002C7353" w:rsidRPr="00EF3E3D" w:rsidDel="003D7226" w:rsidRDefault="002C7353" w:rsidP="00EF3E3D">
            <w:pPr>
              <w:pStyle w:val="EEAtableleft"/>
              <w:rPr>
                <w:b/>
                <w:bCs/>
              </w:rPr>
            </w:pPr>
            <w:r w:rsidRPr="00EF3E3D">
              <w:rPr>
                <w:b/>
                <w:bCs/>
              </w:rPr>
              <w:t>Loam and clay</w:t>
            </w:r>
          </w:p>
        </w:tc>
        <w:tc>
          <w:tcPr>
            <w:tcW w:w="3260" w:type="dxa"/>
            <w:tcBorders>
              <w:top w:val="single" w:sz="4" w:space="0" w:color="auto"/>
              <w:bottom w:val="single" w:sz="4" w:space="0" w:color="auto"/>
            </w:tcBorders>
            <w:vAlign w:val="bottom"/>
          </w:tcPr>
          <w:p w14:paraId="21A18086" w14:textId="77777777" w:rsidR="002C7353" w:rsidRPr="0095454B" w:rsidDel="003D7226" w:rsidRDefault="002C7353" w:rsidP="0095454B">
            <w:pPr>
              <w:pStyle w:val="EEAtableleft"/>
            </w:pPr>
            <w:proofErr w:type="gramStart"/>
            <w:r w:rsidRPr="0095454B">
              <w:t>max</w:t>
            </w:r>
            <w:proofErr w:type="gramEnd"/>
            <w:r w:rsidRPr="0095454B">
              <w:t>. both</w:t>
            </w:r>
          </w:p>
        </w:tc>
        <w:tc>
          <w:tcPr>
            <w:tcW w:w="1701" w:type="dxa"/>
            <w:tcBorders>
              <w:top w:val="single" w:sz="4" w:space="0" w:color="auto"/>
              <w:bottom w:val="single" w:sz="4" w:space="0" w:color="auto"/>
            </w:tcBorders>
            <w:vAlign w:val="bottom"/>
          </w:tcPr>
          <w:p w14:paraId="4BCC580A" w14:textId="77777777" w:rsidR="002C7353" w:rsidRPr="00E403A9" w:rsidDel="003D7226" w:rsidRDefault="002C7353" w:rsidP="0095454B">
            <w:pPr>
              <w:pStyle w:val="EEATabcenter"/>
            </w:pPr>
            <w:r w:rsidRPr="00E403A9">
              <w:t>1</w:t>
            </w:r>
            <w:r>
              <w:t>.</w:t>
            </w:r>
            <w:r w:rsidRPr="00E403A9">
              <w:t>71</w:t>
            </w:r>
          </w:p>
        </w:tc>
        <w:tc>
          <w:tcPr>
            <w:tcW w:w="1701" w:type="dxa"/>
            <w:tcBorders>
              <w:top w:val="single" w:sz="4" w:space="0" w:color="auto"/>
              <w:bottom w:val="single" w:sz="4" w:space="0" w:color="auto"/>
            </w:tcBorders>
            <w:vAlign w:val="bottom"/>
          </w:tcPr>
          <w:p w14:paraId="795A5CC8" w14:textId="77777777" w:rsidR="002C7353" w:rsidRPr="00E403A9" w:rsidDel="003D7226" w:rsidRDefault="002C7353" w:rsidP="0095454B">
            <w:pPr>
              <w:pStyle w:val="EEATabcenter"/>
            </w:pPr>
            <w:r w:rsidRPr="00E403A9">
              <w:t>2</w:t>
            </w:r>
            <w:r>
              <w:t>.</w:t>
            </w:r>
            <w:r w:rsidRPr="00E403A9">
              <w:t>83</w:t>
            </w:r>
          </w:p>
        </w:tc>
        <w:tc>
          <w:tcPr>
            <w:tcW w:w="1418" w:type="dxa"/>
            <w:tcBorders>
              <w:top w:val="single" w:sz="4" w:space="0" w:color="auto"/>
              <w:bottom w:val="single" w:sz="4" w:space="0" w:color="auto"/>
            </w:tcBorders>
            <w:vAlign w:val="bottom"/>
          </w:tcPr>
          <w:p w14:paraId="1AA66D1A" w14:textId="77777777" w:rsidR="002C7353" w:rsidRPr="00E403A9" w:rsidDel="003D7226" w:rsidRDefault="002C7353" w:rsidP="0095454B">
            <w:pPr>
              <w:pStyle w:val="EEATabcenter"/>
            </w:pPr>
            <w:r w:rsidRPr="00E403A9">
              <w:t>4</w:t>
            </w:r>
            <w:r>
              <w:t>.</w:t>
            </w:r>
            <w:r w:rsidRPr="00E403A9">
              <w:t>83</w:t>
            </w:r>
          </w:p>
        </w:tc>
      </w:tr>
      <w:tr w:rsidR="002C7353" w14:paraId="48876526" w14:textId="77777777" w:rsidTr="00EF3E3D">
        <w:tc>
          <w:tcPr>
            <w:tcW w:w="1418" w:type="dxa"/>
            <w:vMerge/>
            <w:vAlign w:val="bottom"/>
          </w:tcPr>
          <w:p w14:paraId="09588975" w14:textId="77777777" w:rsidR="002C7353" w:rsidRPr="00E403A9" w:rsidDel="003D7226" w:rsidRDefault="002C7353" w:rsidP="00EF3E3D">
            <w:pPr>
              <w:pStyle w:val="EEAtableleft"/>
            </w:pPr>
          </w:p>
        </w:tc>
        <w:tc>
          <w:tcPr>
            <w:tcW w:w="3260" w:type="dxa"/>
            <w:tcBorders>
              <w:top w:val="single" w:sz="4" w:space="0" w:color="auto"/>
              <w:bottom w:val="single" w:sz="4" w:space="0" w:color="auto"/>
            </w:tcBorders>
            <w:vAlign w:val="bottom"/>
          </w:tcPr>
          <w:p w14:paraId="249DF418" w14:textId="77777777" w:rsidR="002C7353" w:rsidRPr="0095454B" w:rsidDel="003D7226" w:rsidRDefault="002C7353" w:rsidP="0095454B">
            <w:pPr>
              <w:pStyle w:val="EEAtableleft"/>
            </w:pPr>
            <w:r w:rsidRPr="0095454B">
              <w:t>org. &amp; mineral</w:t>
            </w:r>
          </w:p>
        </w:tc>
        <w:tc>
          <w:tcPr>
            <w:tcW w:w="1701" w:type="dxa"/>
            <w:tcBorders>
              <w:top w:val="single" w:sz="4" w:space="0" w:color="auto"/>
              <w:bottom w:val="single" w:sz="4" w:space="0" w:color="auto"/>
            </w:tcBorders>
            <w:vAlign w:val="bottom"/>
          </w:tcPr>
          <w:p w14:paraId="5AAA0519" w14:textId="77777777" w:rsidR="002C7353" w:rsidRPr="00E403A9" w:rsidDel="003D7226" w:rsidRDefault="002C7353" w:rsidP="0095454B">
            <w:pPr>
              <w:pStyle w:val="EEATabcenter"/>
            </w:pPr>
            <w:r w:rsidRPr="00E403A9">
              <w:t>1</w:t>
            </w:r>
            <w:r>
              <w:t>.</w:t>
            </w:r>
            <w:r w:rsidRPr="00E403A9">
              <w:t>64</w:t>
            </w:r>
          </w:p>
        </w:tc>
        <w:tc>
          <w:tcPr>
            <w:tcW w:w="1701" w:type="dxa"/>
            <w:tcBorders>
              <w:top w:val="single" w:sz="4" w:space="0" w:color="auto"/>
              <w:bottom w:val="single" w:sz="4" w:space="0" w:color="auto"/>
            </w:tcBorders>
            <w:vAlign w:val="bottom"/>
          </w:tcPr>
          <w:p w14:paraId="47927BC1" w14:textId="77777777" w:rsidR="002C7353" w:rsidRPr="00E403A9" w:rsidDel="003D7226" w:rsidRDefault="002C7353" w:rsidP="0095454B">
            <w:pPr>
              <w:pStyle w:val="EEATabcenter"/>
            </w:pPr>
            <w:r w:rsidRPr="00E403A9">
              <w:t>2</w:t>
            </w:r>
            <w:r>
              <w:t>.</w:t>
            </w:r>
            <w:r w:rsidRPr="00E403A9">
              <w:t>07</w:t>
            </w:r>
          </w:p>
        </w:tc>
        <w:tc>
          <w:tcPr>
            <w:tcW w:w="1418" w:type="dxa"/>
            <w:tcBorders>
              <w:top w:val="single" w:sz="4" w:space="0" w:color="auto"/>
              <w:bottom w:val="single" w:sz="4" w:space="0" w:color="auto"/>
            </w:tcBorders>
            <w:vAlign w:val="bottom"/>
          </w:tcPr>
          <w:p w14:paraId="59A275A0" w14:textId="77777777" w:rsidR="002C7353" w:rsidRPr="00E403A9" w:rsidDel="003D7226" w:rsidRDefault="002C7353" w:rsidP="0095454B">
            <w:pPr>
              <w:pStyle w:val="EEATabcenter"/>
            </w:pPr>
            <w:r w:rsidRPr="00E403A9">
              <w:t>4</w:t>
            </w:r>
            <w:r>
              <w:t>.</w:t>
            </w:r>
            <w:r w:rsidRPr="00E403A9">
              <w:t>60</w:t>
            </w:r>
          </w:p>
        </w:tc>
      </w:tr>
      <w:tr w:rsidR="002C7353" w14:paraId="07E825BC" w14:textId="77777777" w:rsidTr="00EF3E3D">
        <w:tc>
          <w:tcPr>
            <w:tcW w:w="1418" w:type="dxa"/>
            <w:vMerge/>
            <w:vAlign w:val="bottom"/>
          </w:tcPr>
          <w:p w14:paraId="0D403D79" w14:textId="77777777" w:rsidR="002C7353" w:rsidRPr="00E403A9" w:rsidDel="003D7226" w:rsidRDefault="002C7353" w:rsidP="00EF3E3D">
            <w:pPr>
              <w:pStyle w:val="EEAtableleft"/>
            </w:pPr>
          </w:p>
        </w:tc>
        <w:tc>
          <w:tcPr>
            <w:tcW w:w="3260" w:type="dxa"/>
            <w:tcBorders>
              <w:top w:val="single" w:sz="4" w:space="0" w:color="auto"/>
              <w:bottom w:val="single" w:sz="4" w:space="0" w:color="auto"/>
            </w:tcBorders>
            <w:vAlign w:val="bottom"/>
          </w:tcPr>
          <w:p w14:paraId="7482F630" w14:textId="77777777" w:rsidR="002C7353" w:rsidRPr="0095454B" w:rsidDel="003D7226" w:rsidRDefault="002C7353" w:rsidP="0095454B">
            <w:pPr>
              <w:pStyle w:val="EEAtableleft"/>
            </w:pPr>
            <w:r w:rsidRPr="0095454B">
              <w:t>organic</w:t>
            </w:r>
          </w:p>
        </w:tc>
        <w:tc>
          <w:tcPr>
            <w:tcW w:w="1701" w:type="dxa"/>
            <w:tcBorders>
              <w:top w:val="single" w:sz="4" w:space="0" w:color="auto"/>
              <w:bottom w:val="single" w:sz="4" w:space="0" w:color="auto"/>
            </w:tcBorders>
            <w:vAlign w:val="bottom"/>
          </w:tcPr>
          <w:p w14:paraId="5F2B8838" w14:textId="77777777" w:rsidR="002C7353" w:rsidRPr="00E403A9" w:rsidDel="003D7226" w:rsidRDefault="002C7353" w:rsidP="0095454B">
            <w:pPr>
              <w:pStyle w:val="EEATabcenter"/>
            </w:pPr>
            <w:r w:rsidRPr="00E403A9">
              <w:t>1</w:t>
            </w:r>
            <w:r>
              <w:t>.</w:t>
            </w:r>
            <w:r w:rsidRPr="00E403A9">
              <w:t>57</w:t>
            </w:r>
          </w:p>
        </w:tc>
        <w:tc>
          <w:tcPr>
            <w:tcW w:w="1701" w:type="dxa"/>
            <w:tcBorders>
              <w:top w:val="single" w:sz="4" w:space="0" w:color="auto"/>
              <w:bottom w:val="single" w:sz="4" w:space="0" w:color="auto"/>
            </w:tcBorders>
            <w:vAlign w:val="bottom"/>
          </w:tcPr>
          <w:p w14:paraId="2415C50E" w14:textId="77777777" w:rsidR="002C7353" w:rsidRPr="00E403A9" w:rsidDel="003D7226" w:rsidRDefault="002C7353" w:rsidP="0095454B">
            <w:pPr>
              <w:pStyle w:val="EEATabcenter"/>
            </w:pPr>
            <w:r w:rsidRPr="00E403A9">
              <w:t>1</w:t>
            </w:r>
            <w:r>
              <w:t>.</w:t>
            </w:r>
            <w:r w:rsidRPr="00E403A9">
              <w:t>93</w:t>
            </w:r>
          </w:p>
        </w:tc>
        <w:tc>
          <w:tcPr>
            <w:tcW w:w="1418" w:type="dxa"/>
            <w:tcBorders>
              <w:top w:val="single" w:sz="4" w:space="0" w:color="auto"/>
              <w:bottom w:val="single" w:sz="4" w:space="0" w:color="auto"/>
            </w:tcBorders>
            <w:vAlign w:val="bottom"/>
          </w:tcPr>
          <w:p w14:paraId="72357576" w14:textId="77777777" w:rsidR="002C7353" w:rsidRPr="00E403A9" w:rsidDel="003D7226" w:rsidRDefault="002C7353" w:rsidP="0095454B">
            <w:pPr>
              <w:pStyle w:val="EEATabcenter"/>
            </w:pPr>
            <w:r w:rsidRPr="00E403A9">
              <w:t>4</w:t>
            </w:r>
            <w:r>
              <w:t>.</w:t>
            </w:r>
            <w:r w:rsidRPr="00E403A9">
              <w:t>53</w:t>
            </w:r>
          </w:p>
        </w:tc>
      </w:tr>
      <w:tr w:rsidR="002C7353" w14:paraId="591F1318" w14:textId="77777777" w:rsidTr="00EF3E3D">
        <w:tc>
          <w:tcPr>
            <w:tcW w:w="1418" w:type="dxa"/>
            <w:vMerge/>
            <w:vAlign w:val="bottom"/>
          </w:tcPr>
          <w:p w14:paraId="6FFC4621" w14:textId="77777777" w:rsidR="002C7353" w:rsidRPr="00E403A9" w:rsidDel="003D7226" w:rsidRDefault="002C7353" w:rsidP="00EF3E3D">
            <w:pPr>
              <w:pStyle w:val="EEAtableleft"/>
            </w:pPr>
          </w:p>
        </w:tc>
        <w:tc>
          <w:tcPr>
            <w:tcW w:w="3260" w:type="dxa"/>
            <w:tcBorders>
              <w:top w:val="single" w:sz="4" w:space="0" w:color="auto"/>
              <w:bottom w:val="single" w:sz="4" w:space="0" w:color="auto"/>
            </w:tcBorders>
            <w:vAlign w:val="bottom"/>
          </w:tcPr>
          <w:p w14:paraId="3C1B5FF7" w14:textId="77777777" w:rsidR="002C7353" w:rsidRPr="0095454B" w:rsidDel="003D7226" w:rsidRDefault="002C7353" w:rsidP="0095454B">
            <w:pPr>
              <w:pStyle w:val="EEAtableleft"/>
            </w:pPr>
            <w:r w:rsidRPr="0095454B">
              <w:t>mineral</w:t>
            </w:r>
          </w:p>
        </w:tc>
        <w:tc>
          <w:tcPr>
            <w:tcW w:w="1701" w:type="dxa"/>
            <w:tcBorders>
              <w:top w:val="single" w:sz="4" w:space="0" w:color="auto"/>
              <w:bottom w:val="single" w:sz="4" w:space="0" w:color="auto"/>
            </w:tcBorders>
            <w:vAlign w:val="bottom"/>
          </w:tcPr>
          <w:p w14:paraId="013D69DD" w14:textId="77777777" w:rsidR="002C7353" w:rsidRPr="00E403A9" w:rsidDel="003D7226" w:rsidRDefault="002C7353" w:rsidP="0095454B">
            <w:pPr>
              <w:pStyle w:val="EEATabcenter"/>
            </w:pPr>
            <w:r w:rsidRPr="00E403A9">
              <w:t>1</w:t>
            </w:r>
            <w:r>
              <w:t>.</w:t>
            </w:r>
            <w:r w:rsidRPr="00E403A9">
              <w:t>50</w:t>
            </w:r>
          </w:p>
        </w:tc>
        <w:tc>
          <w:tcPr>
            <w:tcW w:w="1701" w:type="dxa"/>
            <w:tcBorders>
              <w:top w:val="single" w:sz="4" w:space="0" w:color="auto"/>
              <w:bottom w:val="single" w:sz="4" w:space="0" w:color="auto"/>
            </w:tcBorders>
            <w:vAlign w:val="bottom"/>
          </w:tcPr>
          <w:p w14:paraId="2C1302AD" w14:textId="77777777" w:rsidR="002C7353" w:rsidRPr="00E403A9" w:rsidDel="003D7226" w:rsidRDefault="002C7353" w:rsidP="0095454B">
            <w:pPr>
              <w:pStyle w:val="EEATabcenter"/>
            </w:pPr>
            <w:r w:rsidRPr="00E403A9">
              <w:t>1</w:t>
            </w:r>
            <w:r>
              <w:t>.</w:t>
            </w:r>
            <w:r w:rsidRPr="00E403A9">
              <w:t>84</w:t>
            </w:r>
          </w:p>
        </w:tc>
        <w:tc>
          <w:tcPr>
            <w:tcW w:w="1418" w:type="dxa"/>
            <w:tcBorders>
              <w:top w:val="single" w:sz="4" w:space="0" w:color="auto"/>
              <w:bottom w:val="single" w:sz="4" w:space="0" w:color="auto"/>
            </w:tcBorders>
            <w:vAlign w:val="bottom"/>
          </w:tcPr>
          <w:p w14:paraId="705A73F3" w14:textId="77777777" w:rsidR="002C7353" w:rsidRPr="00E403A9" w:rsidDel="003D7226" w:rsidRDefault="002C7353" w:rsidP="0095454B">
            <w:pPr>
              <w:pStyle w:val="EEATabcenter"/>
            </w:pPr>
            <w:r w:rsidRPr="00E403A9">
              <w:t>4</w:t>
            </w:r>
            <w:r>
              <w:t>.</w:t>
            </w:r>
            <w:r w:rsidRPr="00E403A9">
              <w:t>47</w:t>
            </w:r>
          </w:p>
        </w:tc>
      </w:tr>
      <w:tr w:rsidR="002C7353" w14:paraId="0E14F9F9" w14:textId="77777777" w:rsidTr="00EF3E3D">
        <w:tc>
          <w:tcPr>
            <w:tcW w:w="1418" w:type="dxa"/>
            <w:vMerge/>
            <w:tcBorders>
              <w:bottom w:val="single" w:sz="4" w:space="0" w:color="auto"/>
            </w:tcBorders>
            <w:vAlign w:val="bottom"/>
          </w:tcPr>
          <w:p w14:paraId="182C71D6" w14:textId="77777777" w:rsidR="002C7353" w:rsidRPr="00E403A9" w:rsidDel="003D7226" w:rsidRDefault="002C7353" w:rsidP="00EF3E3D">
            <w:pPr>
              <w:pStyle w:val="EEAtableleft"/>
            </w:pPr>
          </w:p>
        </w:tc>
        <w:tc>
          <w:tcPr>
            <w:tcW w:w="3260" w:type="dxa"/>
            <w:tcBorders>
              <w:top w:val="single" w:sz="4" w:space="0" w:color="auto"/>
              <w:bottom w:val="single" w:sz="4" w:space="0" w:color="auto"/>
            </w:tcBorders>
            <w:vAlign w:val="bottom"/>
          </w:tcPr>
          <w:p w14:paraId="7C17EAB7" w14:textId="77777777" w:rsidR="002C7353" w:rsidRPr="0095454B" w:rsidDel="003D7226" w:rsidRDefault="002C7353" w:rsidP="0095454B">
            <w:pPr>
              <w:pStyle w:val="EEAtableleft"/>
            </w:pPr>
            <w:r w:rsidRPr="0095454B">
              <w:t>Null</w:t>
            </w:r>
          </w:p>
        </w:tc>
        <w:tc>
          <w:tcPr>
            <w:tcW w:w="1701" w:type="dxa"/>
            <w:tcBorders>
              <w:top w:val="single" w:sz="4" w:space="0" w:color="auto"/>
              <w:bottom w:val="single" w:sz="4" w:space="0" w:color="auto"/>
            </w:tcBorders>
            <w:vAlign w:val="bottom"/>
          </w:tcPr>
          <w:p w14:paraId="3C9475BA" w14:textId="77777777" w:rsidR="002C7353" w:rsidRPr="00E403A9" w:rsidDel="003D7226" w:rsidRDefault="002C7353" w:rsidP="0095454B">
            <w:pPr>
              <w:pStyle w:val="EEATabcenter"/>
            </w:pPr>
            <w:r w:rsidRPr="00E403A9">
              <w:t>1</w:t>
            </w:r>
            <w:r>
              <w:t>.</w:t>
            </w:r>
            <w:r w:rsidRPr="00E403A9">
              <w:t>41</w:t>
            </w:r>
          </w:p>
        </w:tc>
        <w:tc>
          <w:tcPr>
            <w:tcW w:w="1701" w:type="dxa"/>
            <w:tcBorders>
              <w:top w:val="single" w:sz="4" w:space="0" w:color="auto"/>
              <w:bottom w:val="single" w:sz="4" w:space="0" w:color="auto"/>
            </w:tcBorders>
            <w:vAlign w:val="bottom"/>
          </w:tcPr>
          <w:p w14:paraId="2675352B" w14:textId="77777777" w:rsidR="002C7353" w:rsidRPr="00E403A9" w:rsidDel="003D7226" w:rsidRDefault="002C7353" w:rsidP="0095454B">
            <w:pPr>
              <w:pStyle w:val="EEATabcenter"/>
            </w:pPr>
            <w:r w:rsidRPr="00E403A9">
              <w:t>2</w:t>
            </w:r>
            <w:r>
              <w:t>.</w:t>
            </w:r>
            <w:r w:rsidRPr="00E403A9">
              <w:t>00</w:t>
            </w:r>
          </w:p>
        </w:tc>
        <w:tc>
          <w:tcPr>
            <w:tcW w:w="1418" w:type="dxa"/>
            <w:tcBorders>
              <w:top w:val="single" w:sz="4" w:space="0" w:color="auto"/>
              <w:bottom w:val="single" w:sz="4" w:space="0" w:color="auto"/>
            </w:tcBorders>
            <w:vAlign w:val="bottom"/>
          </w:tcPr>
          <w:p w14:paraId="798568DE" w14:textId="77777777" w:rsidR="002C7353" w:rsidRPr="00E403A9" w:rsidDel="003D7226" w:rsidRDefault="002C7353" w:rsidP="0095454B">
            <w:pPr>
              <w:pStyle w:val="EEATabcenter"/>
            </w:pPr>
            <w:r w:rsidRPr="00E403A9">
              <w:t>4</w:t>
            </w:r>
            <w:r>
              <w:t>.</w:t>
            </w:r>
            <w:r w:rsidRPr="00E403A9">
              <w:t>24</w:t>
            </w:r>
          </w:p>
        </w:tc>
      </w:tr>
    </w:tbl>
    <w:p w14:paraId="6CF63070" w14:textId="77777777" w:rsidR="00EF3E3D" w:rsidRDefault="00EF3E3D" w:rsidP="002C7353">
      <w:pPr>
        <w:ind w:left="142" w:hanging="142"/>
        <w:rPr>
          <w:rFonts w:eastAsia="Calibri"/>
          <w:b/>
          <w:bCs/>
          <w:color w:val="000000" w:themeColor="text1"/>
          <w:sz w:val="18"/>
          <w:szCs w:val="18"/>
        </w:rPr>
      </w:pPr>
    </w:p>
    <w:p w14:paraId="2620E391" w14:textId="53DC9E10" w:rsidR="00EF3E3D" w:rsidRDefault="00E40DF8" w:rsidP="00714D8B">
      <w:pPr>
        <w:pStyle w:val="EEASource"/>
        <w:rPr>
          <w:vertAlign w:val="superscript"/>
        </w:rPr>
      </w:pPr>
      <w:r w:rsidRPr="00E40DF8">
        <w:rPr>
          <w:rFonts w:eastAsia="Calibri"/>
          <w:b/>
        </w:rPr>
        <w:t>N</w:t>
      </w:r>
      <w:r w:rsidR="00EF3E3D" w:rsidRPr="00E40DF8">
        <w:rPr>
          <w:rFonts w:eastAsia="Calibri"/>
          <w:b/>
        </w:rPr>
        <w:t>ote:</w:t>
      </w:r>
      <w:r w:rsidR="00EF3E3D">
        <w:rPr>
          <w:rFonts w:eastAsia="Calibri"/>
        </w:rPr>
        <w:t xml:space="preserve"> </w:t>
      </w:r>
      <w:r w:rsidR="00EF3E3D">
        <w:rPr>
          <w:rFonts w:eastAsia="Calibri"/>
        </w:rPr>
        <w:tab/>
      </w:r>
      <w:r w:rsidR="0076323A">
        <w:rPr>
          <w:rFonts w:eastAsia="Calibri"/>
        </w:rPr>
        <w:t>T</w:t>
      </w:r>
      <w:r w:rsidR="00EF3E3D" w:rsidRPr="00640360">
        <w:rPr>
          <w:rFonts w:eastAsia="Calibri"/>
        </w:rPr>
        <w:t xml:space="preserve">o be consistent with the metric in the following sections, initial SOC values been converted to SOM applying the factor 1.724; original source: Wessolek et al. </w:t>
      </w:r>
      <w:r w:rsidR="0076323A">
        <w:rPr>
          <w:rFonts w:eastAsia="Calibri"/>
        </w:rPr>
        <w:t>(</w:t>
      </w:r>
      <w:r w:rsidR="00EF3E3D" w:rsidRPr="00640360">
        <w:rPr>
          <w:rFonts w:eastAsia="Calibri"/>
        </w:rPr>
        <w:t>2008)</w:t>
      </w:r>
      <w:r w:rsidR="0076323A">
        <w:rPr>
          <w:rFonts w:eastAsia="Calibri"/>
        </w:rPr>
        <w:t>.</w:t>
      </w:r>
    </w:p>
    <w:p w14:paraId="55C67988" w14:textId="2DB71F74" w:rsidR="002C7353" w:rsidRPr="00EF3E3D" w:rsidRDefault="00EF3E3D" w:rsidP="00714D8B">
      <w:pPr>
        <w:pStyle w:val="EEASource"/>
      </w:pPr>
      <w:r>
        <w:rPr>
          <w:vertAlign w:val="superscript"/>
        </w:rPr>
        <w:t xml:space="preserve"> </w:t>
      </w:r>
      <w:r>
        <w:rPr>
          <w:vertAlign w:val="superscript"/>
        </w:rPr>
        <w:tab/>
      </w:r>
      <w:r w:rsidR="00307C84" w:rsidRPr="0076323A">
        <w:rPr>
          <w:b/>
          <w:vertAlign w:val="superscript"/>
        </w:rPr>
        <w:t>(</w:t>
      </w:r>
      <w:r w:rsidR="002C7353" w:rsidRPr="0076323A">
        <w:rPr>
          <w:b/>
          <w:vertAlign w:val="superscript"/>
        </w:rPr>
        <w:t>1)</w:t>
      </w:r>
      <w:r w:rsidR="002C7353" w:rsidRPr="00EF3E3D">
        <w:t xml:space="preserve"> </w:t>
      </w:r>
      <w:proofErr w:type="gramStart"/>
      <w:r w:rsidR="002C7353" w:rsidRPr="00EF3E3D">
        <w:t>negative</w:t>
      </w:r>
      <w:proofErr w:type="gramEnd"/>
      <w:r w:rsidR="002C7353" w:rsidRPr="00EF3E3D">
        <w:t xml:space="preserve"> water balance: potential evapotranspiration larger than precipitation during summer; positive values indicate climate-induced surplus in the water budget; related to April-Sept.</w:t>
      </w:r>
    </w:p>
    <w:p w14:paraId="3A313976" w14:textId="0A78EB74" w:rsidR="002C7353" w:rsidRPr="00EF3E3D" w:rsidRDefault="00EF3E3D" w:rsidP="00714D8B">
      <w:pPr>
        <w:pStyle w:val="EEASource"/>
      </w:pPr>
      <w:r w:rsidRPr="00EF3E3D">
        <w:t xml:space="preserve"> </w:t>
      </w:r>
      <w:r w:rsidRPr="00EF3E3D">
        <w:tab/>
      </w:r>
      <w:r w:rsidR="0076323A" w:rsidRPr="0076323A">
        <w:rPr>
          <w:b/>
          <w:vertAlign w:val="superscript"/>
        </w:rPr>
        <w:t>(</w:t>
      </w:r>
      <w:r w:rsidR="002C7353" w:rsidRPr="0076323A">
        <w:rPr>
          <w:b/>
          <w:vertAlign w:val="superscript"/>
        </w:rPr>
        <w:t>2)</w:t>
      </w:r>
      <w:r w:rsidR="002C7353" w:rsidRPr="00EF3E3D">
        <w:t xml:space="preserve"> </w:t>
      </w:r>
      <w:proofErr w:type="gramStart"/>
      <w:r w:rsidR="002C7353" w:rsidRPr="00EF3E3D">
        <w:t>maximal</w:t>
      </w:r>
      <w:proofErr w:type="gramEnd"/>
      <w:r w:rsidR="002C7353" w:rsidRPr="00EF3E3D">
        <w:t xml:space="preserve"> application of organic and mineral fertilizer; Null=no fertilizer</w:t>
      </w:r>
    </w:p>
    <w:p w14:paraId="0D7642A8" w14:textId="18914CF5" w:rsidR="002C7353" w:rsidRDefault="002C7353" w:rsidP="002C7353"/>
    <w:p w14:paraId="1942250E" w14:textId="5E32E97A" w:rsidR="00311C3B" w:rsidRDefault="00311C3B">
      <w:pPr>
        <w:suppressAutoHyphens w:val="0"/>
        <w:jc w:val="left"/>
      </w:pPr>
      <w:r>
        <w:br w:type="page"/>
      </w:r>
    </w:p>
    <w:p w14:paraId="6233D7F1" w14:textId="77777777" w:rsidR="00640360" w:rsidRDefault="00640360" w:rsidP="002C7353"/>
    <w:p w14:paraId="6F4808D2" w14:textId="0D590582" w:rsidR="002C7353" w:rsidRDefault="00640360" w:rsidP="00EF3E3D">
      <w:pPr>
        <w:pStyle w:val="EEALabel"/>
      </w:pPr>
      <w:bookmarkStart w:id="85" w:name="_Ref64555632"/>
      <w:bookmarkStart w:id="86" w:name="_Toc83997505"/>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5</w:t>
      </w:r>
      <w:r w:rsidR="00C76C23">
        <w:fldChar w:fldCharType="end"/>
      </w:r>
      <w:bookmarkEnd w:id="85"/>
      <w:r w:rsidRPr="004712E0">
        <w:t>:</w:t>
      </w:r>
      <w:r w:rsidRPr="004712E0">
        <w:tab/>
        <w:t>Approximation for a matrix for lower SOM limits for extensive management</w:t>
      </w:r>
      <w:bookmarkEnd w:id="86"/>
      <w:r w:rsidRPr="004712E0">
        <w:t xml:space="preserve"> </w:t>
      </w:r>
    </w:p>
    <w:p w14:paraId="0C1A81B4" w14:textId="77777777" w:rsidR="00EF3E3D" w:rsidRDefault="00EF3E3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693"/>
        <w:gridCol w:w="1134"/>
        <w:gridCol w:w="2552"/>
      </w:tblGrid>
      <w:tr w:rsidR="002C7353" w14:paraId="2338AD2E" w14:textId="77777777" w:rsidTr="00EF3E3D">
        <w:tc>
          <w:tcPr>
            <w:tcW w:w="2977" w:type="dxa"/>
            <w:vMerge w:val="restart"/>
            <w:tcBorders>
              <w:top w:val="single" w:sz="4" w:space="0" w:color="auto"/>
            </w:tcBorders>
            <w:shd w:val="pct10" w:color="auto" w:fill="auto"/>
            <w:vAlign w:val="center"/>
          </w:tcPr>
          <w:p w14:paraId="39874166" w14:textId="77777777" w:rsidR="002C7353" w:rsidRPr="00EF3E3D" w:rsidRDefault="002C7353" w:rsidP="00EF3E3D">
            <w:pPr>
              <w:pStyle w:val="EEAtableleft"/>
              <w:rPr>
                <w:b/>
                <w:bCs/>
              </w:rPr>
            </w:pPr>
            <w:r w:rsidRPr="00EF3E3D">
              <w:rPr>
                <w:b/>
                <w:bCs/>
              </w:rPr>
              <w:t>Soil texture class</w:t>
            </w:r>
          </w:p>
        </w:tc>
        <w:tc>
          <w:tcPr>
            <w:tcW w:w="6379" w:type="dxa"/>
            <w:gridSpan w:val="3"/>
            <w:tcBorders>
              <w:top w:val="single" w:sz="4" w:space="0" w:color="auto"/>
            </w:tcBorders>
            <w:shd w:val="pct10" w:color="auto" w:fill="auto"/>
          </w:tcPr>
          <w:p w14:paraId="14E4A91E" w14:textId="77777777" w:rsidR="002C7353" w:rsidRDefault="002C7353" w:rsidP="00EF3E3D">
            <w:pPr>
              <w:pStyle w:val="EEATabcenterbold"/>
            </w:pPr>
            <w:r>
              <w:t>Climatic water balance [mm] during summer</w:t>
            </w:r>
            <w:r>
              <w:rPr>
                <w:vertAlign w:val="superscript"/>
              </w:rPr>
              <w:t>1)</w:t>
            </w:r>
          </w:p>
        </w:tc>
      </w:tr>
      <w:tr w:rsidR="002C7353" w14:paraId="176B8687" w14:textId="77777777" w:rsidTr="00EF3E3D">
        <w:tc>
          <w:tcPr>
            <w:tcW w:w="2977" w:type="dxa"/>
            <w:vMerge/>
            <w:tcBorders>
              <w:bottom w:val="single" w:sz="4" w:space="0" w:color="auto"/>
            </w:tcBorders>
            <w:shd w:val="pct10" w:color="auto" w:fill="auto"/>
          </w:tcPr>
          <w:p w14:paraId="505889EA" w14:textId="77777777" w:rsidR="002C7353" w:rsidRDefault="002C7353" w:rsidP="00EF3E3D">
            <w:pPr>
              <w:pStyle w:val="EEAtableleft"/>
            </w:pPr>
          </w:p>
        </w:tc>
        <w:tc>
          <w:tcPr>
            <w:tcW w:w="2693" w:type="dxa"/>
            <w:tcBorders>
              <w:bottom w:val="single" w:sz="4" w:space="0" w:color="auto"/>
            </w:tcBorders>
            <w:shd w:val="pct10" w:color="auto" w:fill="auto"/>
            <w:vAlign w:val="center"/>
          </w:tcPr>
          <w:p w14:paraId="6FAFA56E" w14:textId="77777777" w:rsidR="002C7353" w:rsidRDefault="002C7353" w:rsidP="00EF3E3D">
            <w:pPr>
              <w:pStyle w:val="EEATabcenterbold"/>
            </w:pPr>
            <w:r>
              <w:t>&lt; -100</w:t>
            </w:r>
            <w:r>
              <w:rPr>
                <w:vertAlign w:val="superscript"/>
              </w:rPr>
              <w:t>2</w:t>
            </w:r>
            <w:r w:rsidRPr="00F06D39">
              <w:rPr>
                <w:vertAlign w:val="superscript"/>
              </w:rPr>
              <w:t>)</w:t>
            </w:r>
          </w:p>
        </w:tc>
        <w:tc>
          <w:tcPr>
            <w:tcW w:w="1134" w:type="dxa"/>
            <w:tcBorders>
              <w:bottom w:val="single" w:sz="4" w:space="0" w:color="auto"/>
            </w:tcBorders>
            <w:shd w:val="pct10" w:color="auto" w:fill="auto"/>
            <w:vAlign w:val="center"/>
          </w:tcPr>
          <w:p w14:paraId="406A5B7B" w14:textId="1E020405" w:rsidR="002C7353" w:rsidRDefault="002C7353" w:rsidP="0076323A">
            <w:pPr>
              <w:pStyle w:val="EEATabcenterbold"/>
            </w:pPr>
            <w:r>
              <w:t xml:space="preserve">-100 </w:t>
            </w:r>
            <w:r w:rsidR="0076323A">
              <w:t>to</w:t>
            </w:r>
            <w:r>
              <w:t xml:space="preserve"> 0</w:t>
            </w:r>
          </w:p>
        </w:tc>
        <w:tc>
          <w:tcPr>
            <w:tcW w:w="2552" w:type="dxa"/>
            <w:tcBorders>
              <w:bottom w:val="single" w:sz="4" w:space="0" w:color="auto"/>
            </w:tcBorders>
            <w:shd w:val="pct10" w:color="auto" w:fill="auto"/>
            <w:vAlign w:val="center"/>
          </w:tcPr>
          <w:p w14:paraId="4B445486" w14:textId="77777777" w:rsidR="002C7353" w:rsidRDefault="002C7353" w:rsidP="00EF3E3D">
            <w:pPr>
              <w:pStyle w:val="EEATabcenterbold"/>
            </w:pPr>
            <w:r>
              <w:t>&gt; 0</w:t>
            </w:r>
          </w:p>
        </w:tc>
      </w:tr>
      <w:tr w:rsidR="002C7353" w14:paraId="11FC6E28" w14:textId="77777777" w:rsidTr="00EF3E3D">
        <w:tc>
          <w:tcPr>
            <w:tcW w:w="2977" w:type="dxa"/>
            <w:tcBorders>
              <w:top w:val="single" w:sz="4" w:space="0" w:color="auto"/>
              <w:bottom w:val="single" w:sz="4" w:space="0" w:color="auto"/>
            </w:tcBorders>
          </w:tcPr>
          <w:p w14:paraId="1314A776" w14:textId="77777777" w:rsidR="002C7353" w:rsidRDefault="002C7353" w:rsidP="00EF3E3D">
            <w:pPr>
              <w:pStyle w:val="EEAtableleft"/>
            </w:pPr>
            <w:r>
              <w:t>Sand</w:t>
            </w:r>
          </w:p>
        </w:tc>
        <w:tc>
          <w:tcPr>
            <w:tcW w:w="2693" w:type="dxa"/>
            <w:tcBorders>
              <w:top w:val="single" w:sz="4" w:space="0" w:color="auto"/>
              <w:bottom w:val="single" w:sz="4" w:space="0" w:color="auto"/>
            </w:tcBorders>
          </w:tcPr>
          <w:p w14:paraId="1A69191C" w14:textId="77777777" w:rsidR="002C7353" w:rsidRDefault="002C7353" w:rsidP="00EF3E3D">
            <w:pPr>
              <w:pStyle w:val="EEATabcenter"/>
            </w:pPr>
            <w:r>
              <w:t>0.9</w:t>
            </w:r>
          </w:p>
        </w:tc>
        <w:tc>
          <w:tcPr>
            <w:tcW w:w="1134" w:type="dxa"/>
            <w:tcBorders>
              <w:top w:val="single" w:sz="4" w:space="0" w:color="auto"/>
              <w:bottom w:val="single" w:sz="4" w:space="0" w:color="auto"/>
            </w:tcBorders>
          </w:tcPr>
          <w:p w14:paraId="4CF50656" w14:textId="77777777" w:rsidR="002C7353" w:rsidRDefault="002C7353" w:rsidP="00EF3E3D">
            <w:pPr>
              <w:pStyle w:val="EEATabcenter"/>
            </w:pPr>
            <w:r>
              <w:t>1.6</w:t>
            </w:r>
          </w:p>
        </w:tc>
        <w:tc>
          <w:tcPr>
            <w:tcW w:w="2552" w:type="dxa"/>
            <w:tcBorders>
              <w:top w:val="single" w:sz="4" w:space="0" w:color="auto"/>
              <w:bottom w:val="single" w:sz="4" w:space="0" w:color="auto"/>
            </w:tcBorders>
          </w:tcPr>
          <w:p w14:paraId="6F00EFCD" w14:textId="77777777" w:rsidR="002C7353" w:rsidRDefault="002C7353" w:rsidP="00EF3E3D">
            <w:pPr>
              <w:pStyle w:val="EEATabcenter"/>
            </w:pPr>
            <w:r>
              <w:t>2.1</w:t>
            </w:r>
          </w:p>
        </w:tc>
      </w:tr>
      <w:tr w:rsidR="002C7353" w14:paraId="70902E65" w14:textId="77777777" w:rsidTr="00EF3E3D">
        <w:tc>
          <w:tcPr>
            <w:tcW w:w="2977" w:type="dxa"/>
            <w:tcBorders>
              <w:top w:val="single" w:sz="4" w:space="0" w:color="auto"/>
              <w:bottom w:val="single" w:sz="4" w:space="0" w:color="auto"/>
            </w:tcBorders>
          </w:tcPr>
          <w:p w14:paraId="1C1AB08D" w14:textId="77777777" w:rsidR="002C7353" w:rsidRDefault="002C7353" w:rsidP="00EF3E3D">
            <w:pPr>
              <w:pStyle w:val="EEAtableleft"/>
            </w:pPr>
            <w:r>
              <w:t>Silt</w:t>
            </w:r>
          </w:p>
        </w:tc>
        <w:tc>
          <w:tcPr>
            <w:tcW w:w="2693" w:type="dxa"/>
            <w:tcBorders>
              <w:top w:val="single" w:sz="4" w:space="0" w:color="auto"/>
              <w:bottom w:val="single" w:sz="4" w:space="0" w:color="auto"/>
            </w:tcBorders>
          </w:tcPr>
          <w:p w14:paraId="46F3D7A8" w14:textId="77777777" w:rsidR="002C7353" w:rsidRDefault="002C7353" w:rsidP="00EF3E3D">
            <w:pPr>
              <w:pStyle w:val="EEATabcenter"/>
            </w:pPr>
            <w:r>
              <w:t>2.6</w:t>
            </w:r>
          </w:p>
        </w:tc>
        <w:tc>
          <w:tcPr>
            <w:tcW w:w="1134" w:type="dxa"/>
            <w:tcBorders>
              <w:top w:val="single" w:sz="4" w:space="0" w:color="auto"/>
              <w:bottom w:val="single" w:sz="4" w:space="0" w:color="auto"/>
            </w:tcBorders>
          </w:tcPr>
          <w:p w14:paraId="13A517FC" w14:textId="77777777" w:rsidR="002C7353" w:rsidRDefault="002C7353" w:rsidP="00EF3E3D">
            <w:pPr>
              <w:pStyle w:val="EEATabcenter"/>
            </w:pPr>
            <w:r>
              <w:t>1.7</w:t>
            </w:r>
          </w:p>
        </w:tc>
        <w:tc>
          <w:tcPr>
            <w:tcW w:w="2552" w:type="dxa"/>
            <w:tcBorders>
              <w:top w:val="single" w:sz="4" w:space="0" w:color="auto"/>
              <w:bottom w:val="single" w:sz="4" w:space="0" w:color="auto"/>
            </w:tcBorders>
          </w:tcPr>
          <w:p w14:paraId="3F95CAC1" w14:textId="77777777" w:rsidR="002C7353" w:rsidRDefault="002C7353" w:rsidP="00EF3E3D">
            <w:pPr>
              <w:pStyle w:val="EEATabcenter"/>
            </w:pPr>
            <w:r>
              <w:t>1.4</w:t>
            </w:r>
          </w:p>
        </w:tc>
      </w:tr>
      <w:tr w:rsidR="002C7353" w14:paraId="5E5A9BD9" w14:textId="77777777" w:rsidTr="00EF3E3D">
        <w:tc>
          <w:tcPr>
            <w:tcW w:w="2977" w:type="dxa"/>
            <w:tcBorders>
              <w:top w:val="single" w:sz="4" w:space="0" w:color="auto"/>
            </w:tcBorders>
          </w:tcPr>
          <w:p w14:paraId="6650C230" w14:textId="77777777" w:rsidR="002C7353" w:rsidRDefault="002C7353" w:rsidP="00EF3E3D">
            <w:pPr>
              <w:pStyle w:val="EEAtableleft"/>
            </w:pPr>
            <w:r>
              <w:t>Loam and clay</w:t>
            </w:r>
          </w:p>
        </w:tc>
        <w:tc>
          <w:tcPr>
            <w:tcW w:w="2693" w:type="dxa"/>
            <w:tcBorders>
              <w:top w:val="single" w:sz="4" w:space="0" w:color="auto"/>
            </w:tcBorders>
          </w:tcPr>
          <w:p w14:paraId="4336A20D" w14:textId="77777777" w:rsidR="002C7353" w:rsidRDefault="002C7353" w:rsidP="00EF3E3D">
            <w:pPr>
              <w:pStyle w:val="EEATabcenter"/>
            </w:pPr>
            <w:r>
              <w:t>1.0</w:t>
            </w:r>
          </w:p>
        </w:tc>
        <w:tc>
          <w:tcPr>
            <w:tcW w:w="1134" w:type="dxa"/>
            <w:tcBorders>
              <w:top w:val="single" w:sz="4" w:space="0" w:color="auto"/>
            </w:tcBorders>
          </w:tcPr>
          <w:p w14:paraId="21F394CE" w14:textId="77777777" w:rsidR="002C7353" w:rsidRDefault="002C7353" w:rsidP="00EF3E3D">
            <w:pPr>
              <w:pStyle w:val="EEATabcenter"/>
            </w:pPr>
            <w:r>
              <w:t>1.6</w:t>
            </w:r>
          </w:p>
        </w:tc>
        <w:tc>
          <w:tcPr>
            <w:tcW w:w="2552" w:type="dxa"/>
            <w:tcBorders>
              <w:top w:val="single" w:sz="4" w:space="0" w:color="auto"/>
            </w:tcBorders>
          </w:tcPr>
          <w:p w14:paraId="18A072A3" w14:textId="77777777" w:rsidR="002C7353" w:rsidRDefault="002C7353" w:rsidP="00EF3E3D">
            <w:pPr>
              <w:pStyle w:val="EEATabcenter"/>
            </w:pPr>
            <w:r>
              <w:t>3.3</w:t>
            </w:r>
          </w:p>
        </w:tc>
      </w:tr>
    </w:tbl>
    <w:p w14:paraId="5519BC5B" w14:textId="77777777" w:rsidR="002C7353" w:rsidRDefault="002C7353" w:rsidP="002C7353">
      <w:pPr>
        <w:rPr>
          <w:rFonts w:asciiTheme="majorHAnsi" w:hAnsiTheme="majorHAnsi" w:cstheme="majorHAnsi"/>
          <w:szCs w:val="22"/>
        </w:rPr>
      </w:pPr>
    </w:p>
    <w:p w14:paraId="6151B806" w14:textId="331BA7CD" w:rsidR="00EF3E3D" w:rsidRDefault="00EF3E3D" w:rsidP="00714D8B">
      <w:pPr>
        <w:pStyle w:val="EEASource"/>
        <w:rPr>
          <w:rFonts w:eastAsia="Calibri"/>
        </w:rPr>
      </w:pPr>
      <w:r w:rsidRPr="00E40DF8">
        <w:rPr>
          <w:rFonts w:eastAsia="Calibri"/>
          <w:b/>
        </w:rPr>
        <w:t>Note:</w:t>
      </w:r>
      <w:r>
        <w:rPr>
          <w:rFonts w:eastAsia="Calibri"/>
        </w:rPr>
        <w:t xml:space="preserve"> </w:t>
      </w:r>
      <w:r>
        <w:rPr>
          <w:rFonts w:eastAsia="Calibri"/>
        </w:rPr>
        <w:tab/>
      </w:r>
      <w:r w:rsidR="002E0086">
        <w:rPr>
          <w:rFonts w:eastAsia="Calibri"/>
        </w:rPr>
        <w:t xml:space="preserve">Calculated as </w:t>
      </w:r>
      <w:r w:rsidR="002E0086" w:rsidRPr="002E0086">
        <w:rPr>
          <w:rFonts w:eastAsia="Calibri"/>
        </w:rPr>
        <w:t xml:space="preserve">as 50% standard deviation of </w:t>
      </w:r>
      <w:r w:rsidR="002E0086">
        <w:rPr>
          <w:rFonts w:eastAsia="Calibri"/>
        </w:rPr>
        <w:fldChar w:fldCharType="begin"/>
      </w:r>
      <w:r w:rsidR="002E0086">
        <w:rPr>
          <w:rFonts w:eastAsia="Calibri"/>
        </w:rPr>
        <w:instrText xml:space="preserve"> REF _Ref64555629 \h </w:instrText>
      </w:r>
      <w:r w:rsidR="00714D8B">
        <w:rPr>
          <w:rFonts w:eastAsia="Calibri"/>
        </w:rPr>
        <w:instrText xml:space="preserve"> \* MERGEFORMAT </w:instrText>
      </w:r>
      <w:r w:rsidR="002E0086">
        <w:rPr>
          <w:rFonts w:eastAsia="Calibri"/>
        </w:rPr>
      </w:r>
      <w:r w:rsidR="002E0086">
        <w:rPr>
          <w:rFonts w:eastAsia="Calibri"/>
        </w:rPr>
        <w:fldChar w:fldCharType="separate"/>
      </w:r>
      <w:r w:rsidR="0067767C" w:rsidRPr="004712E0">
        <w:t xml:space="preserve">Table </w:t>
      </w:r>
      <w:r w:rsidR="0067767C">
        <w:rPr>
          <w:noProof/>
        </w:rPr>
        <w:t>2</w:t>
      </w:r>
      <w:r w:rsidR="0067767C">
        <w:rPr>
          <w:noProof/>
        </w:rPr>
        <w:noBreakHyphen/>
        <w:t>4</w:t>
      </w:r>
      <w:r w:rsidR="002E0086">
        <w:rPr>
          <w:rFonts w:eastAsia="Calibri"/>
        </w:rPr>
        <w:fldChar w:fldCharType="end"/>
      </w:r>
      <w:r w:rsidR="002E0086">
        <w:rPr>
          <w:rFonts w:eastAsia="Calibri"/>
        </w:rPr>
        <w:t>.</w:t>
      </w:r>
      <w:r w:rsidR="002E0086">
        <w:rPr>
          <w:rFonts w:eastAsia="Calibri"/>
        </w:rPr>
        <w:br/>
      </w:r>
      <w:r w:rsidRPr="00640360">
        <w:rPr>
          <w:rFonts w:eastAsia="Calibri"/>
        </w:rPr>
        <w:t>SOM calculated from the original SOC values applying 1.724 as conversion factor</w:t>
      </w:r>
      <w:r w:rsidR="002E0086">
        <w:rPr>
          <w:rFonts w:eastAsia="Calibri"/>
        </w:rPr>
        <w:t>.</w:t>
      </w:r>
    </w:p>
    <w:p w14:paraId="575BD7CF" w14:textId="68499CF5" w:rsidR="002C7353" w:rsidRDefault="00EF3E3D" w:rsidP="00714D8B">
      <w:pPr>
        <w:pStyle w:val="EEASource"/>
        <w:rPr>
          <w:rFonts w:asciiTheme="majorHAnsi" w:hAnsiTheme="majorHAnsi" w:cstheme="majorHAnsi"/>
          <w:szCs w:val="22"/>
        </w:rPr>
      </w:pPr>
      <w:r w:rsidRPr="002E0086">
        <w:rPr>
          <w:rFonts w:eastAsia="Calibri"/>
          <w:b/>
        </w:rPr>
        <w:t>Source:</w:t>
      </w:r>
      <w:r>
        <w:rPr>
          <w:rFonts w:eastAsia="Calibri"/>
        </w:rPr>
        <w:t xml:space="preserve"> </w:t>
      </w:r>
      <w:r>
        <w:rPr>
          <w:rFonts w:eastAsia="Calibri"/>
        </w:rPr>
        <w:tab/>
        <w:t>Wessolek et al., 2008.</w:t>
      </w:r>
    </w:p>
    <w:p w14:paraId="4A8D67B4" w14:textId="77777777" w:rsidR="002C7353" w:rsidRDefault="002C7353" w:rsidP="002C7353"/>
    <w:p w14:paraId="18766703" w14:textId="2F996C90" w:rsidR="009D5972" w:rsidRPr="009D5972" w:rsidRDefault="000C097B" w:rsidP="002C488D">
      <w:pPr>
        <w:pStyle w:val="berschrift2"/>
        <w:numPr>
          <w:ilvl w:val="2"/>
          <w:numId w:val="3"/>
        </w:numPr>
        <w:rPr>
          <w:rStyle w:val="FormatvorlageFormatvorlageberschrift3Zchn1"/>
        </w:rPr>
      </w:pPr>
      <w:bookmarkStart w:id="87" w:name="_Toc83997333"/>
      <w:r w:rsidRPr="000C097B">
        <w:rPr>
          <w:rStyle w:val="FormatvorlageFormatvorlageberschrift3Zchn1"/>
        </w:rPr>
        <w:t>SOC/clay ratio</w:t>
      </w:r>
      <w:bookmarkEnd w:id="87"/>
    </w:p>
    <w:p w14:paraId="7694E0DB" w14:textId="77777777" w:rsidR="000C097B" w:rsidRDefault="000C097B" w:rsidP="002C7353"/>
    <w:p w14:paraId="2DD03072" w14:textId="44A0F47E" w:rsidR="002C7353" w:rsidRDefault="002C7353" w:rsidP="002C7353">
      <w:r>
        <w:t xml:space="preserve">As mentioned above, SOC content is highly correlated to various other soil properties, in particular, the clay content. In a recent </w:t>
      </w:r>
      <w:r w:rsidRPr="00156853">
        <w:t>study, Johannes et al. (2017) have reviewed and</w:t>
      </w:r>
      <w:r>
        <w:t xml:space="preserve"> investigated the role of soil structural parameters (soil aggregate stability, soil porosity, mechanical properties, </w:t>
      </w:r>
      <w:proofErr w:type="gramStart"/>
      <w:r>
        <w:t>penetration</w:t>
      </w:r>
      <w:proofErr w:type="gramEnd"/>
      <w:r>
        <w:t xml:space="preserve"> resistance), soil texture, and its relation to soil organic matter. Their study was inspired by the work of Dexter et al. (2008), who studied the relation between soil </w:t>
      </w:r>
      <w:proofErr w:type="gramStart"/>
      <w:r>
        <w:t>texture</w:t>
      </w:r>
      <w:proofErr w:type="gramEnd"/>
      <w:r>
        <w:t xml:space="preserve">, in particular the clay content, and SOC. They propose an </w:t>
      </w:r>
      <w:r w:rsidRPr="00921287">
        <w:rPr>
          <w:b/>
          <w:bCs/>
        </w:rPr>
        <w:t>optimum SOC content</w:t>
      </w:r>
      <w:r w:rsidRPr="00A85DDA">
        <w:t xml:space="preserve"> </w:t>
      </w:r>
      <w:r>
        <w:t>as</w:t>
      </w:r>
      <w:r w:rsidRPr="00A85DDA">
        <w:t xml:space="preserve"> 10% of the clay content</w:t>
      </w:r>
      <w:r>
        <w:t xml:space="preserve"> (later specified by others as the dispersible clay rather than total clay). This threshold was refined by </w:t>
      </w:r>
      <w:r w:rsidRPr="00D75D3D">
        <w:t>Johannes et al. (2017)</w:t>
      </w:r>
      <w:r>
        <w:t xml:space="preserve">, based on </w:t>
      </w:r>
      <w:r w:rsidRPr="00D75D3D">
        <w:t xml:space="preserve">161 samples representing a major part of the Swiss agricultural land </w:t>
      </w:r>
      <w:r>
        <w:t>(</w:t>
      </w:r>
      <w:r w:rsidRPr="00D75D3D">
        <w:t>Cambi</w:t>
      </w:r>
      <w:r>
        <w:t xml:space="preserve">c </w:t>
      </w:r>
      <w:r w:rsidRPr="00D75D3D">
        <w:t>Luvisols)</w:t>
      </w:r>
      <w:r>
        <w:t xml:space="preserve"> (</w:t>
      </w:r>
      <w:r w:rsidR="002E0086">
        <w:fldChar w:fldCharType="begin"/>
      </w:r>
      <w:r w:rsidR="002E0086">
        <w:instrText xml:space="preserve"> REF _Ref64555743 \h </w:instrText>
      </w:r>
      <w:r w:rsidR="002E0086">
        <w:fldChar w:fldCharType="separate"/>
      </w:r>
      <w:r w:rsidR="0067767C" w:rsidRPr="004712E0">
        <w:t xml:space="preserve">Table </w:t>
      </w:r>
      <w:r w:rsidR="0067767C">
        <w:rPr>
          <w:noProof/>
        </w:rPr>
        <w:t>2</w:t>
      </w:r>
      <w:r w:rsidR="0067767C">
        <w:noBreakHyphen/>
      </w:r>
      <w:r w:rsidR="0067767C">
        <w:rPr>
          <w:noProof/>
        </w:rPr>
        <w:t>6</w:t>
      </w:r>
      <w:r w:rsidR="002E0086">
        <w:fldChar w:fldCharType="end"/>
      </w:r>
      <w:r>
        <w:t xml:space="preserve">). The threshold translates to a so-called </w:t>
      </w:r>
      <w:r w:rsidRPr="00F814A3">
        <w:rPr>
          <w:b/>
          <w:bCs/>
        </w:rPr>
        <w:t>vulnerability limit</w:t>
      </w:r>
      <w:r w:rsidRPr="00945380">
        <w:t xml:space="preserve"> %SOC = 0.1 * %Clay</w:t>
      </w:r>
      <w:r>
        <w:t>. Prout et al. (2020) suggest &lt; 1/13 as the threshold to indicate degradation because hardly any grassland and woodland sites fall into that category.</w:t>
      </w:r>
    </w:p>
    <w:p w14:paraId="26DF46E7" w14:textId="468846BB" w:rsidR="002C7353" w:rsidRDefault="002C7353" w:rsidP="002C7353"/>
    <w:p w14:paraId="41D2EAB4" w14:textId="008C9B42" w:rsidR="00640360" w:rsidRDefault="00640360" w:rsidP="00EF3E3D">
      <w:pPr>
        <w:pStyle w:val="EEALabel"/>
      </w:pPr>
      <w:bookmarkStart w:id="88" w:name="_Ref64555743"/>
      <w:bookmarkStart w:id="89" w:name="_Toc83997506"/>
      <w:bookmarkStart w:id="90" w:name="_Hlk61114444"/>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6</w:t>
      </w:r>
      <w:r w:rsidR="00C76C23">
        <w:fldChar w:fldCharType="end"/>
      </w:r>
      <w:bookmarkEnd w:id="88"/>
      <w:r w:rsidR="0076323A">
        <w:t>:</w:t>
      </w:r>
      <w:r w:rsidR="0076323A">
        <w:tab/>
        <w:t>SOC/</w:t>
      </w:r>
      <w:r w:rsidRPr="004712E0">
        <w:t>clay ratio as an index for good soil structure</w:t>
      </w:r>
      <w:bookmarkEnd w:id="89"/>
      <w:r w:rsidRPr="004712E0">
        <w:t xml:space="preserve"> </w:t>
      </w:r>
    </w:p>
    <w:p w14:paraId="4B143A4D" w14:textId="77777777" w:rsidR="00EF3E3D" w:rsidRPr="00EF3E3D" w:rsidRDefault="00EF3E3D" w:rsidP="00EF3E3D"/>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55"/>
        <w:gridCol w:w="3260"/>
        <w:gridCol w:w="1701"/>
        <w:gridCol w:w="2880"/>
      </w:tblGrid>
      <w:tr w:rsidR="002C7353" w:rsidRPr="00EF3E3D" w14:paraId="7C7AF335" w14:textId="77777777" w:rsidTr="00EF3E3D">
        <w:tc>
          <w:tcPr>
            <w:tcW w:w="1555" w:type="dxa"/>
            <w:shd w:val="pct10" w:color="auto" w:fill="auto"/>
            <w:tcMar>
              <w:left w:w="28" w:type="dxa"/>
              <w:right w:w="28" w:type="dxa"/>
            </w:tcMar>
          </w:tcPr>
          <w:bookmarkEnd w:id="90"/>
          <w:p w14:paraId="1BA3E572" w14:textId="77777777" w:rsidR="002C7353" w:rsidRPr="00EF3E3D" w:rsidRDefault="002C7353" w:rsidP="00EF3E3D">
            <w:pPr>
              <w:pStyle w:val="EEAtableleft"/>
              <w:rPr>
                <w:b/>
                <w:bCs/>
              </w:rPr>
            </w:pPr>
            <w:r w:rsidRPr="00EF3E3D">
              <w:rPr>
                <w:b/>
                <w:bCs/>
              </w:rPr>
              <w:t>SOC:clay ratio</w:t>
            </w:r>
          </w:p>
        </w:tc>
        <w:tc>
          <w:tcPr>
            <w:tcW w:w="3260" w:type="dxa"/>
            <w:shd w:val="pct10" w:color="auto" w:fill="auto"/>
            <w:tcMar>
              <w:left w:w="28" w:type="dxa"/>
              <w:right w:w="28" w:type="dxa"/>
            </w:tcMar>
          </w:tcPr>
          <w:p w14:paraId="79A60DF8" w14:textId="77777777" w:rsidR="002C7353" w:rsidRPr="00EF3E3D" w:rsidRDefault="002C7353" w:rsidP="00EF3E3D">
            <w:pPr>
              <w:pStyle w:val="EEAtableleft"/>
              <w:rPr>
                <w:b/>
                <w:bCs/>
              </w:rPr>
            </w:pPr>
            <w:r w:rsidRPr="00EF3E3D">
              <w:rPr>
                <w:b/>
                <w:bCs/>
              </w:rPr>
              <w:t>Explanation</w:t>
            </w:r>
          </w:p>
        </w:tc>
        <w:tc>
          <w:tcPr>
            <w:tcW w:w="1701" w:type="dxa"/>
            <w:shd w:val="pct10" w:color="auto" w:fill="auto"/>
            <w:tcMar>
              <w:left w:w="28" w:type="dxa"/>
              <w:right w:w="28" w:type="dxa"/>
            </w:tcMar>
          </w:tcPr>
          <w:p w14:paraId="7272CED7" w14:textId="58937CF2" w:rsidR="002C7353" w:rsidRPr="00EF3E3D" w:rsidRDefault="002C7353" w:rsidP="00EF3E3D">
            <w:pPr>
              <w:pStyle w:val="EEAtableleft"/>
              <w:rPr>
                <w:b/>
                <w:bCs/>
              </w:rPr>
            </w:pPr>
            <w:r w:rsidRPr="00EF3E3D">
              <w:rPr>
                <w:b/>
                <w:bCs/>
              </w:rPr>
              <w:t>Soil structure</w:t>
            </w:r>
            <w:r w:rsidR="0076323A" w:rsidRPr="0076323A">
              <w:rPr>
                <w:b/>
                <w:bCs/>
                <w:vertAlign w:val="superscript"/>
              </w:rPr>
              <w:t>(</w:t>
            </w:r>
            <w:r w:rsidRPr="0076323A">
              <w:rPr>
                <w:b/>
                <w:bCs/>
                <w:vertAlign w:val="superscript"/>
              </w:rPr>
              <w:t>1)</w:t>
            </w:r>
          </w:p>
        </w:tc>
        <w:tc>
          <w:tcPr>
            <w:tcW w:w="2880" w:type="dxa"/>
            <w:shd w:val="pct10" w:color="auto" w:fill="auto"/>
            <w:tcMar>
              <w:left w:w="28" w:type="dxa"/>
              <w:right w:w="28" w:type="dxa"/>
            </w:tcMar>
          </w:tcPr>
          <w:p w14:paraId="3975EFBD" w14:textId="77777777" w:rsidR="002C7353" w:rsidRPr="00EF3E3D" w:rsidRDefault="002C7353" w:rsidP="00EF3E3D">
            <w:pPr>
              <w:pStyle w:val="EEAtableleft"/>
              <w:rPr>
                <w:b/>
                <w:bCs/>
              </w:rPr>
            </w:pPr>
            <w:r w:rsidRPr="00EF3E3D">
              <w:rPr>
                <w:b/>
                <w:bCs/>
              </w:rPr>
              <w:t>Explanation</w:t>
            </w:r>
          </w:p>
        </w:tc>
      </w:tr>
      <w:tr w:rsidR="002C7353" w14:paraId="3CF24241" w14:textId="77777777" w:rsidTr="00EF3E3D">
        <w:tc>
          <w:tcPr>
            <w:tcW w:w="1555" w:type="dxa"/>
            <w:tcMar>
              <w:left w:w="28" w:type="dxa"/>
              <w:right w:w="28" w:type="dxa"/>
            </w:tcMar>
            <w:vAlign w:val="center"/>
          </w:tcPr>
          <w:p w14:paraId="13D13862" w14:textId="77777777" w:rsidR="002C7353" w:rsidRPr="00EF3E3D" w:rsidRDefault="002C7353" w:rsidP="00EF3E3D">
            <w:pPr>
              <w:pStyle w:val="EEAtableleft"/>
            </w:pPr>
            <w:r w:rsidRPr="00EF3E3D">
              <w:t>&gt; 0.125 (1:8)</w:t>
            </w:r>
          </w:p>
        </w:tc>
        <w:tc>
          <w:tcPr>
            <w:tcW w:w="3260" w:type="dxa"/>
            <w:tcMar>
              <w:left w:w="28" w:type="dxa"/>
              <w:right w:w="28" w:type="dxa"/>
            </w:tcMar>
          </w:tcPr>
          <w:p w14:paraId="5C6CD274" w14:textId="660A35CD" w:rsidR="002C7353" w:rsidRDefault="002C7353" w:rsidP="00EF3E3D">
            <w:pPr>
              <w:pStyle w:val="EEAtableleft"/>
            </w:pPr>
            <w:r>
              <w:t>Field-level optimum for good structure quality</w:t>
            </w:r>
            <w:r w:rsidR="0076323A" w:rsidRPr="0076323A">
              <w:rPr>
                <w:b/>
                <w:vertAlign w:val="superscript"/>
              </w:rPr>
              <w:t>(</w:t>
            </w:r>
            <w:r w:rsidRPr="0076323A">
              <w:rPr>
                <w:b/>
                <w:bCs/>
                <w:vertAlign w:val="superscript"/>
              </w:rPr>
              <w:t>2)</w:t>
            </w:r>
          </w:p>
        </w:tc>
        <w:tc>
          <w:tcPr>
            <w:tcW w:w="1701" w:type="dxa"/>
            <w:vMerge w:val="restart"/>
            <w:tcMar>
              <w:left w:w="28" w:type="dxa"/>
              <w:right w:w="28" w:type="dxa"/>
            </w:tcMar>
            <w:vAlign w:val="center"/>
          </w:tcPr>
          <w:p w14:paraId="55D29796" w14:textId="77777777" w:rsidR="002C7353" w:rsidRDefault="002C7353" w:rsidP="00EF3E3D">
            <w:pPr>
              <w:pStyle w:val="EEAtableleft"/>
            </w:pPr>
            <w:r>
              <w:t xml:space="preserve">&gt; 1:10 (VESS &lt; </w:t>
            </w:r>
            <w:r w:rsidRPr="00E47027">
              <w:t>3</w:t>
            </w:r>
            <w:r>
              <w:t>)</w:t>
            </w:r>
          </w:p>
        </w:tc>
        <w:tc>
          <w:tcPr>
            <w:tcW w:w="2880" w:type="dxa"/>
            <w:vMerge w:val="restart"/>
            <w:tcMar>
              <w:left w:w="28" w:type="dxa"/>
              <w:right w:w="28" w:type="dxa"/>
            </w:tcMar>
            <w:vAlign w:val="center"/>
          </w:tcPr>
          <w:p w14:paraId="0B0E4178" w14:textId="77777777" w:rsidR="002C7353" w:rsidRDefault="002C7353" w:rsidP="00EF3E3D">
            <w:pPr>
              <w:pStyle w:val="EEAtableleft"/>
            </w:pPr>
            <w:r>
              <w:t>A</w:t>
            </w:r>
            <w:r w:rsidRPr="008723A7">
              <w:t>cceptable or good structure</w:t>
            </w:r>
          </w:p>
        </w:tc>
      </w:tr>
      <w:tr w:rsidR="002C7353" w14:paraId="5F06C1C5" w14:textId="77777777" w:rsidTr="00EF3E3D">
        <w:trPr>
          <w:trHeight w:val="284"/>
        </w:trPr>
        <w:tc>
          <w:tcPr>
            <w:tcW w:w="1555" w:type="dxa"/>
            <w:vMerge w:val="restart"/>
            <w:tcMar>
              <w:left w:w="28" w:type="dxa"/>
              <w:right w:w="28" w:type="dxa"/>
            </w:tcMar>
            <w:vAlign w:val="center"/>
          </w:tcPr>
          <w:p w14:paraId="34E49127" w14:textId="77777777" w:rsidR="002C7353" w:rsidRPr="00EF3E3D" w:rsidRDefault="002C7353" w:rsidP="00EF3E3D">
            <w:pPr>
              <w:pStyle w:val="EEAtableleft"/>
            </w:pPr>
            <w:r w:rsidRPr="00EF3E3D">
              <w:t>0.1 (1:10)</w:t>
            </w:r>
          </w:p>
          <w:p w14:paraId="3FA16155" w14:textId="77777777" w:rsidR="002C7353" w:rsidRPr="00EF3E3D" w:rsidRDefault="002C7353" w:rsidP="00EF3E3D">
            <w:pPr>
              <w:pStyle w:val="EEAtableleft"/>
            </w:pPr>
            <w:r w:rsidRPr="00EF3E3D">
              <w:t>(1:8-1:13)</w:t>
            </w:r>
          </w:p>
        </w:tc>
        <w:tc>
          <w:tcPr>
            <w:tcW w:w="3260" w:type="dxa"/>
            <w:vMerge w:val="restart"/>
            <w:tcMar>
              <w:left w:w="28" w:type="dxa"/>
              <w:right w:w="28" w:type="dxa"/>
            </w:tcMar>
          </w:tcPr>
          <w:p w14:paraId="2D1FBD64" w14:textId="77777777" w:rsidR="002C7353" w:rsidRDefault="002C7353" w:rsidP="00EF3E3D">
            <w:pPr>
              <w:pStyle w:val="EEAtableleft"/>
            </w:pPr>
            <w:r>
              <w:t xml:space="preserve">Goal for farmers as </w:t>
            </w:r>
            <w:r w:rsidRPr="00523FAD">
              <w:t>minimum desired SOC level</w:t>
            </w:r>
          </w:p>
        </w:tc>
        <w:tc>
          <w:tcPr>
            <w:tcW w:w="1701" w:type="dxa"/>
            <w:vMerge/>
            <w:tcMar>
              <w:left w:w="28" w:type="dxa"/>
              <w:right w:w="28" w:type="dxa"/>
            </w:tcMar>
            <w:vAlign w:val="center"/>
          </w:tcPr>
          <w:p w14:paraId="35B1720E" w14:textId="77777777" w:rsidR="002C7353" w:rsidRDefault="002C7353" w:rsidP="00EF3E3D">
            <w:pPr>
              <w:pStyle w:val="EEAtableleft"/>
            </w:pPr>
          </w:p>
        </w:tc>
        <w:tc>
          <w:tcPr>
            <w:tcW w:w="2880" w:type="dxa"/>
            <w:vMerge/>
            <w:tcMar>
              <w:left w:w="28" w:type="dxa"/>
              <w:right w:w="28" w:type="dxa"/>
            </w:tcMar>
            <w:vAlign w:val="center"/>
          </w:tcPr>
          <w:p w14:paraId="73715CEC" w14:textId="77777777" w:rsidR="002C7353" w:rsidRDefault="002C7353" w:rsidP="00EF3E3D">
            <w:pPr>
              <w:pStyle w:val="EEAtableleft"/>
            </w:pPr>
          </w:p>
        </w:tc>
      </w:tr>
      <w:tr w:rsidR="002C7353" w14:paraId="3DC85A21" w14:textId="77777777" w:rsidTr="00EF3E3D">
        <w:trPr>
          <w:trHeight w:val="324"/>
        </w:trPr>
        <w:tc>
          <w:tcPr>
            <w:tcW w:w="1555" w:type="dxa"/>
            <w:vMerge/>
            <w:tcMar>
              <w:left w:w="28" w:type="dxa"/>
              <w:right w:w="28" w:type="dxa"/>
            </w:tcMar>
            <w:vAlign w:val="center"/>
          </w:tcPr>
          <w:p w14:paraId="21447C1C" w14:textId="77777777" w:rsidR="002C7353" w:rsidRPr="00EF3E3D" w:rsidRDefault="002C7353" w:rsidP="00EF3E3D">
            <w:pPr>
              <w:pStyle w:val="EEAtableleft"/>
            </w:pPr>
          </w:p>
        </w:tc>
        <w:tc>
          <w:tcPr>
            <w:tcW w:w="3260" w:type="dxa"/>
            <w:vMerge/>
            <w:tcMar>
              <w:left w:w="28" w:type="dxa"/>
              <w:right w:w="28" w:type="dxa"/>
            </w:tcMar>
          </w:tcPr>
          <w:p w14:paraId="5B59F3F8" w14:textId="77777777" w:rsidR="002C7353" w:rsidDel="00AE68CD" w:rsidRDefault="002C7353" w:rsidP="00EF3E3D">
            <w:pPr>
              <w:pStyle w:val="EEAtableleft"/>
            </w:pPr>
          </w:p>
        </w:tc>
        <w:tc>
          <w:tcPr>
            <w:tcW w:w="1701" w:type="dxa"/>
            <w:vMerge w:val="restart"/>
            <w:tcMar>
              <w:left w:w="28" w:type="dxa"/>
              <w:right w:w="28" w:type="dxa"/>
            </w:tcMar>
            <w:vAlign w:val="center"/>
          </w:tcPr>
          <w:p w14:paraId="24F15AF8" w14:textId="77777777" w:rsidR="002C7353" w:rsidRDefault="002C7353" w:rsidP="00EF3E3D">
            <w:pPr>
              <w:pStyle w:val="EEAtableleft"/>
            </w:pPr>
            <w:r>
              <w:t xml:space="preserve">&lt; 1:10 (VESS </w:t>
            </w:r>
            <w:r w:rsidRPr="00E47027">
              <w:t>&gt;</w:t>
            </w:r>
            <w:r>
              <w:t xml:space="preserve"> </w:t>
            </w:r>
            <w:r w:rsidRPr="00E47027">
              <w:t>3</w:t>
            </w:r>
            <w:r>
              <w:t>)</w:t>
            </w:r>
          </w:p>
        </w:tc>
        <w:tc>
          <w:tcPr>
            <w:tcW w:w="2880" w:type="dxa"/>
            <w:vMerge w:val="restart"/>
            <w:tcMar>
              <w:left w:w="28" w:type="dxa"/>
              <w:right w:w="28" w:type="dxa"/>
            </w:tcMar>
            <w:vAlign w:val="center"/>
          </w:tcPr>
          <w:p w14:paraId="5A3BA8D2" w14:textId="77777777" w:rsidR="002C7353" w:rsidRPr="008723A7" w:rsidDel="00AE68CD" w:rsidRDefault="002C7353" w:rsidP="00EF3E3D">
            <w:pPr>
              <w:pStyle w:val="EEAtableleft"/>
            </w:pPr>
            <w:r>
              <w:t>D</w:t>
            </w:r>
            <w:r w:rsidRPr="00413C98">
              <w:t>egraded structure</w:t>
            </w:r>
          </w:p>
        </w:tc>
      </w:tr>
      <w:tr w:rsidR="002C7353" w14:paraId="5575A18E" w14:textId="77777777" w:rsidTr="00EF3E3D">
        <w:tc>
          <w:tcPr>
            <w:tcW w:w="1555" w:type="dxa"/>
            <w:tcMar>
              <w:left w:w="28" w:type="dxa"/>
              <w:right w:w="28" w:type="dxa"/>
            </w:tcMar>
            <w:vAlign w:val="center"/>
          </w:tcPr>
          <w:p w14:paraId="4A3675A9" w14:textId="77777777" w:rsidR="002C7353" w:rsidRPr="00EF3E3D" w:rsidRDefault="002C7353" w:rsidP="00EF3E3D">
            <w:pPr>
              <w:pStyle w:val="EEAtableleft"/>
            </w:pPr>
            <w:r w:rsidRPr="00EF3E3D">
              <w:t>&lt; 0.07 (1:13)</w:t>
            </w:r>
          </w:p>
        </w:tc>
        <w:tc>
          <w:tcPr>
            <w:tcW w:w="3260" w:type="dxa"/>
            <w:tcMar>
              <w:left w:w="28" w:type="dxa"/>
              <w:right w:w="28" w:type="dxa"/>
            </w:tcMar>
          </w:tcPr>
          <w:p w14:paraId="264CADC9" w14:textId="3A45370C" w:rsidR="002C7353" w:rsidRDefault="002C7353" w:rsidP="00EF3E3D">
            <w:pPr>
              <w:pStyle w:val="EEAtableleft"/>
            </w:pPr>
            <w:r>
              <w:t>Structural soil quality is most likely unacceptable</w:t>
            </w:r>
            <w:r w:rsidR="0076323A" w:rsidRPr="0076323A">
              <w:rPr>
                <w:b/>
                <w:vertAlign w:val="superscript"/>
              </w:rPr>
              <w:t>(</w:t>
            </w:r>
            <w:r>
              <w:rPr>
                <w:b/>
                <w:bCs/>
                <w:vertAlign w:val="superscript"/>
              </w:rPr>
              <w:t>3</w:t>
            </w:r>
            <w:r w:rsidRPr="00685FE6">
              <w:rPr>
                <w:b/>
                <w:bCs/>
                <w:vertAlign w:val="superscript"/>
              </w:rPr>
              <w:t>)</w:t>
            </w:r>
          </w:p>
        </w:tc>
        <w:tc>
          <w:tcPr>
            <w:tcW w:w="1701" w:type="dxa"/>
            <w:vMerge/>
            <w:tcMar>
              <w:left w:w="28" w:type="dxa"/>
              <w:right w:w="28" w:type="dxa"/>
            </w:tcMar>
          </w:tcPr>
          <w:p w14:paraId="66B3C63E" w14:textId="77777777" w:rsidR="002C7353" w:rsidRDefault="002C7353" w:rsidP="00CD55D6"/>
        </w:tc>
        <w:tc>
          <w:tcPr>
            <w:tcW w:w="2880" w:type="dxa"/>
            <w:vMerge/>
            <w:tcMar>
              <w:left w:w="28" w:type="dxa"/>
              <w:right w:w="28" w:type="dxa"/>
            </w:tcMar>
            <w:vAlign w:val="center"/>
          </w:tcPr>
          <w:p w14:paraId="19C92AA4" w14:textId="77777777" w:rsidR="002C7353" w:rsidRPr="005E4484" w:rsidRDefault="002C7353" w:rsidP="00CD55D6">
            <w:pPr>
              <w:rPr>
                <w:i/>
                <w:iCs/>
              </w:rPr>
            </w:pPr>
          </w:p>
        </w:tc>
      </w:tr>
    </w:tbl>
    <w:p w14:paraId="6B27C069" w14:textId="77777777" w:rsidR="00EF3E3D" w:rsidRDefault="00EF3E3D" w:rsidP="002C7353">
      <w:pPr>
        <w:rPr>
          <w:b/>
          <w:bCs/>
          <w:vertAlign w:val="superscript"/>
        </w:rPr>
      </w:pPr>
    </w:p>
    <w:p w14:paraId="29904B2E" w14:textId="2D2F1F5A" w:rsidR="002C7353" w:rsidRDefault="00EF3E3D" w:rsidP="00714D8B">
      <w:pPr>
        <w:pStyle w:val="EEASource"/>
        <w:rPr>
          <w:lang w:val="en-US"/>
        </w:rPr>
      </w:pPr>
      <w:r w:rsidRPr="00EF3E3D">
        <w:rPr>
          <w:b/>
          <w:bCs/>
        </w:rPr>
        <w:t>Note:</w:t>
      </w:r>
      <w:r>
        <w:rPr>
          <w:b/>
          <w:bCs/>
          <w:vertAlign w:val="superscript"/>
        </w:rPr>
        <w:t xml:space="preserve"> </w:t>
      </w:r>
      <w:r>
        <w:rPr>
          <w:b/>
          <w:bCs/>
          <w:vertAlign w:val="superscript"/>
        </w:rPr>
        <w:tab/>
      </w:r>
      <w:r w:rsidR="0076323A">
        <w:rPr>
          <w:b/>
          <w:bCs/>
          <w:vertAlign w:val="superscript"/>
        </w:rPr>
        <w:t>(</w:t>
      </w:r>
      <w:r w:rsidR="002C7353" w:rsidRPr="00FF7E2F">
        <w:rPr>
          <w:b/>
          <w:bCs/>
          <w:vertAlign w:val="superscript"/>
        </w:rPr>
        <w:t>1)</w:t>
      </w:r>
      <w:r w:rsidR="002C7353" w:rsidRPr="00FF7E2F">
        <w:rPr>
          <w:lang w:val="en-US"/>
        </w:rPr>
        <w:t xml:space="preserve"> </w:t>
      </w:r>
      <w:r w:rsidR="002C7353" w:rsidRPr="00AC4D1D">
        <w:rPr>
          <w:lang w:val="en-US"/>
        </w:rPr>
        <w:t>VESS: Visual Evaluation of Soil Structure</w:t>
      </w:r>
      <w:r w:rsidR="00E57292">
        <w:rPr>
          <w:rStyle w:val="Funotenzeichen"/>
          <w:lang w:val="en-US"/>
        </w:rPr>
        <w:footnoteReference w:id="41"/>
      </w:r>
      <w:r w:rsidR="002C7353" w:rsidRPr="00AC4D1D">
        <w:rPr>
          <w:lang w:val="en-US"/>
        </w:rPr>
        <w:t xml:space="preserve"> (Ball et al., 2017; see also Chapter 8 – Compaction)</w:t>
      </w:r>
      <w:r w:rsidR="0076323A">
        <w:rPr>
          <w:lang w:val="en-US"/>
        </w:rPr>
        <w:t>,</w:t>
      </w:r>
      <w:r w:rsidR="0076323A">
        <w:rPr>
          <w:lang w:val="en-US"/>
        </w:rPr>
        <w:br/>
        <w:t>the score ranges from 1 (</w:t>
      </w:r>
      <w:r w:rsidR="0076323A" w:rsidRPr="0076323A">
        <w:rPr>
          <w:lang w:val="en-US"/>
        </w:rPr>
        <w:t>good structure</w:t>
      </w:r>
      <w:r w:rsidR="0076323A">
        <w:rPr>
          <w:lang w:val="en-US"/>
        </w:rPr>
        <w:t xml:space="preserve">) to </w:t>
      </w:r>
      <w:r w:rsidR="0076323A" w:rsidRPr="0076323A">
        <w:rPr>
          <w:lang w:val="en-US"/>
        </w:rPr>
        <w:t>5</w:t>
      </w:r>
      <w:r w:rsidR="0076323A">
        <w:rPr>
          <w:lang w:val="en-US"/>
        </w:rPr>
        <w:t xml:space="preserve"> (</w:t>
      </w:r>
      <w:r w:rsidR="0076323A" w:rsidRPr="0076323A">
        <w:rPr>
          <w:lang w:val="en-US"/>
        </w:rPr>
        <w:t>poor structure</w:t>
      </w:r>
      <w:r w:rsidR="0076323A">
        <w:rPr>
          <w:lang w:val="en-US"/>
        </w:rPr>
        <w:t>)</w:t>
      </w:r>
      <w:r w:rsidR="0076323A">
        <w:rPr>
          <w:lang w:val="en-US"/>
        </w:rPr>
        <w:br/>
      </w:r>
      <w:r w:rsidR="0076323A">
        <w:rPr>
          <w:b/>
          <w:bCs/>
          <w:vertAlign w:val="superscript"/>
        </w:rPr>
        <w:t>(</w:t>
      </w:r>
      <w:r w:rsidR="002C7353">
        <w:rPr>
          <w:b/>
          <w:bCs/>
          <w:vertAlign w:val="superscript"/>
        </w:rPr>
        <w:t>2</w:t>
      </w:r>
      <w:r w:rsidR="002C7353" w:rsidRPr="00AC4D1D">
        <w:rPr>
          <w:b/>
          <w:bCs/>
          <w:vertAlign w:val="superscript"/>
        </w:rPr>
        <w:t>)</w:t>
      </w:r>
      <w:r w:rsidR="002C7353" w:rsidRPr="00AC4D1D">
        <w:rPr>
          <w:lang w:val="en-US"/>
        </w:rPr>
        <w:t xml:space="preserve"> enriched in SOC relative to the clay content</w:t>
      </w:r>
      <w:r>
        <w:rPr>
          <w:lang w:val="en-US"/>
        </w:rPr>
        <w:br/>
      </w:r>
      <w:r w:rsidR="0076323A">
        <w:rPr>
          <w:b/>
          <w:bCs/>
          <w:vertAlign w:val="superscript"/>
          <w:lang w:val="en-US"/>
        </w:rPr>
        <w:t>(</w:t>
      </w:r>
      <w:r w:rsidR="002C7353">
        <w:rPr>
          <w:b/>
          <w:bCs/>
          <w:vertAlign w:val="superscript"/>
        </w:rPr>
        <w:t>3</w:t>
      </w:r>
      <w:r w:rsidR="002C7353" w:rsidRPr="00AC4D1D">
        <w:rPr>
          <w:b/>
          <w:bCs/>
          <w:vertAlign w:val="superscript"/>
        </w:rPr>
        <w:t>)</w:t>
      </w:r>
      <w:r w:rsidR="002C7353" w:rsidRPr="00AC4D1D">
        <w:rPr>
          <w:lang w:val="en-US"/>
        </w:rPr>
        <w:t xml:space="preserve"> </w:t>
      </w:r>
      <w:r w:rsidR="002C7353" w:rsidRPr="00F9331E">
        <w:rPr>
          <w:lang w:val="en-US"/>
        </w:rPr>
        <w:t>depleted in SOC relative to the clay content</w:t>
      </w:r>
    </w:p>
    <w:p w14:paraId="5167A8BB" w14:textId="30212D28" w:rsidR="00EF3E3D" w:rsidRPr="00EF3E3D" w:rsidRDefault="00EF3E3D" w:rsidP="00714D8B">
      <w:pPr>
        <w:pStyle w:val="EEASource"/>
      </w:pPr>
      <w:r w:rsidRPr="00EF3E3D">
        <w:rPr>
          <w:b/>
        </w:rPr>
        <w:t>Source:</w:t>
      </w:r>
      <w:r w:rsidRPr="00EF3E3D">
        <w:t xml:space="preserve"> </w:t>
      </w:r>
      <w:r w:rsidRPr="00EF3E3D">
        <w:tab/>
        <w:t>Johannes et al., 2017</w:t>
      </w:r>
    </w:p>
    <w:p w14:paraId="1FA0EECB" w14:textId="77777777" w:rsidR="002C7353" w:rsidRDefault="002C7353" w:rsidP="002C7353"/>
    <w:p w14:paraId="7BF5955E" w14:textId="77777777" w:rsidR="002C7353" w:rsidRDefault="002C7353" w:rsidP="002C7353">
      <w:r>
        <w:t>It can be expected that SOC increase has a positive effect on the recovery of soils from degradation of SOC loss and soil compaction, both processes inducing the degradation of soil structure. The current level of SOC, and its sequestration potential, may be a good indicator of the resilience potential of soils (Fell et al. 2018).</w:t>
      </w:r>
    </w:p>
    <w:p w14:paraId="17703D1F" w14:textId="77777777" w:rsidR="002C7353" w:rsidRDefault="002C7353" w:rsidP="002C7353"/>
    <w:p w14:paraId="47E59F69" w14:textId="55B9E1E9" w:rsidR="002C7353" w:rsidRDefault="002C7353" w:rsidP="002C7353">
      <w:r w:rsidRPr="00156853">
        <w:lastRenderedPageBreak/>
        <w:t>Prout et al. (2020) applied</w:t>
      </w:r>
      <w:r>
        <w:t xml:space="preserve"> this index for England and Wales. They demonstrated that the</w:t>
      </w:r>
      <w:r w:rsidR="00E57292">
        <w:t xml:space="preserve"> SOC/</w:t>
      </w:r>
      <w:r w:rsidRPr="00F63850">
        <w:t>clay ratio as an index for good soil structure</w:t>
      </w:r>
      <w:r>
        <w:t xml:space="preserve"> applies for a wide range of soils and land uses (arable land, grassland and woodland), and conclude that it can be used to monitor and understand the state of soils at larger scales. The ratio seems valid for at least all western and central European conditions.</w:t>
      </w:r>
    </w:p>
    <w:p w14:paraId="38D36B1F" w14:textId="374235A0" w:rsidR="002C7353" w:rsidRDefault="002C7353" w:rsidP="002C7353"/>
    <w:p w14:paraId="284C8A99" w14:textId="6C00186F" w:rsidR="009D5972" w:rsidRPr="009D5972" w:rsidRDefault="000C097B" w:rsidP="002C488D">
      <w:pPr>
        <w:pStyle w:val="berschrift2"/>
        <w:numPr>
          <w:ilvl w:val="2"/>
          <w:numId w:val="3"/>
        </w:numPr>
        <w:rPr>
          <w:rStyle w:val="FormatvorlageFormatvorlageberschrift3Zchn1"/>
        </w:rPr>
      </w:pPr>
      <w:bookmarkStart w:id="91" w:name="_Toc83997334"/>
      <w:r w:rsidRPr="000C097B">
        <w:rPr>
          <w:rStyle w:val="FormatvorlageFormatvorlageberschrift3Zchn1"/>
        </w:rPr>
        <w:t>SOC critical limits as a reciprocal of the SOC sequestration potential</w:t>
      </w:r>
      <w:bookmarkEnd w:id="91"/>
    </w:p>
    <w:p w14:paraId="68471059" w14:textId="77777777" w:rsidR="000C097B" w:rsidRDefault="000C097B" w:rsidP="002C7353"/>
    <w:p w14:paraId="21C15C01" w14:textId="5DCABB48" w:rsidR="002C7353" w:rsidRDefault="00311A47" w:rsidP="002C7353">
      <w:r>
        <w:t>Carbon sequestration is “</w:t>
      </w:r>
      <w:r w:rsidRPr="003C19C4">
        <w:rPr>
          <w:i/>
          <w:iCs/>
        </w:rPr>
        <w:t>the process of transferring CO</w:t>
      </w:r>
      <w:r w:rsidRPr="003C19C4">
        <w:rPr>
          <w:i/>
          <w:iCs/>
          <w:vertAlign w:val="subscript"/>
        </w:rPr>
        <w:t>2</w:t>
      </w:r>
      <w:r w:rsidRPr="003C19C4">
        <w:rPr>
          <w:i/>
          <w:iCs/>
        </w:rPr>
        <w:t xml:space="preserve"> from the atmosphere into the soil of a land unit, through plants, plant residues and other organic solids which are stored or retained in the unit as part of the soil organic matter with a long residence time</w:t>
      </w:r>
      <w:r>
        <w:t xml:space="preserve">” (Olson et al., 2014). </w:t>
      </w:r>
      <w:r w:rsidR="002C7353">
        <w:t xml:space="preserve">The potential of soils to sequester carbon is </w:t>
      </w:r>
      <w:r w:rsidR="00261F8D">
        <w:t>because</w:t>
      </w:r>
      <w:r w:rsidR="002C7353">
        <w:t xml:space="preserve"> historic management has depleted the carbon pool of many soils. And even nowadays, certain soils still loose carbon under current management in some areas of Europe, especially on cultivated carbon-rich soils (drained organic soils) and for forest and grassland conversions. </w:t>
      </w:r>
    </w:p>
    <w:p w14:paraId="11F360BE" w14:textId="77777777" w:rsidR="002C7353" w:rsidRDefault="002C7353" w:rsidP="002C7353"/>
    <w:p w14:paraId="40D30C59" w14:textId="7473A17A" w:rsidR="002C7353" w:rsidRPr="00183B82" w:rsidRDefault="002C7353" w:rsidP="002C7353">
      <w:pPr>
        <w:rPr>
          <w:color w:val="000000" w:themeColor="text1"/>
        </w:rPr>
      </w:pPr>
      <w:r>
        <w:t>Among the many benefits of SOC</w:t>
      </w:r>
      <w:r w:rsidRPr="00156853">
        <w:t>, Amelung et al. (2020)</w:t>
      </w:r>
      <w:r>
        <w:t xml:space="preserve"> emphasize the potential contribution of soil to mitigate CO</w:t>
      </w:r>
      <w:r w:rsidRPr="006F4799">
        <w:rPr>
          <w:vertAlign w:val="subscript"/>
        </w:rPr>
        <w:t>2</w:t>
      </w:r>
      <w:r>
        <w:t xml:space="preserve"> increases in the atmosphere, thus its role </w:t>
      </w:r>
      <w:r w:rsidR="00812E04">
        <w:t>stabilizes</w:t>
      </w:r>
      <w:r>
        <w:t xml:space="preserve"> the </w:t>
      </w:r>
      <w:r w:rsidRPr="00093578">
        <w:rPr>
          <w:color w:val="000000" w:themeColor="text1"/>
        </w:rPr>
        <w:t>climate. The major potential for carbon sequestration is in cropland soils, especially, where large yield gaps still exist, and/or where large historic SOC losses have occurred (Lessmann et al., 2020; Amelung et al., 2020). A map</w:t>
      </w:r>
      <w:r>
        <w:t xml:space="preserve"> of yield gap could then serve to indirectly provide reference values of carbon sequestration potential, hence SOC limit values. It would basically correspond to a SOC level achieved with optimal fertilizer management </w:t>
      </w:r>
      <w:r w:rsidR="00156853">
        <w:fldChar w:fldCharType="begin"/>
      </w:r>
      <w:r w:rsidR="00156853">
        <w:instrText xml:space="preserve"> REF _Ref64555743 \h </w:instrText>
      </w:r>
      <w:r w:rsidR="00156853">
        <w:fldChar w:fldCharType="separate"/>
      </w:r>
      <w:r w:rsidR="0067767C" w:rsidRPr="004712E0">
        <w:t xml:space="preserve">Table </w:t>
      </w:r>
      <w:r w:rsidR="0067767C">
        <w:rPr>
          <w:noProof/>
        </w:rPr>
        <w:t>2</w:t>
      </w:r>
      <w:r w:rsidR="0067767C">
        <w:noBreakHyphen/>
      </w:r>
      <w:r w:rsidR="0067767C">
        <w:rPr>
          <w:noProof/>
        </w:rPr>
        <w:t>6</w:t>
      </w:r>
      <w:r w:rsidR="00156853">
        <w:fldChar w:fldCharType="end"/>
      </w:r>
      <w:r>
        <w:t>.</w:t>
      </w:r>
    </w:p>
    <w:p w14:paraId="7B8D9C6D" w14:textId="77777777" w:rsidR="002C7353" w:rsidRDefault="002C7353" w:rsidP="002C7353">
      <w:pPr>
        <w:rPr>
          <w:color w:val="000000" w:themeColor="text1"/>
        </w:rPr>
      </w:pPr>
    </w:p>
    <w:p w14:paraId="02B70999" w14:textId="699E3D5A" w:rsidR="002C7353" w:rsidRDefault="00156853" w:rsidP="002C7353">
      <w:pPr>
        <w:rPr>
          <w:color w:val="000000" w:themeColor="text1"/>
        </w:rPr>
      </w:pPr>
      <w:r>
        <w:rPr>
          <w:color w:val="000000" w:themeColor="text1"/>
        </w:rPr>
        <w:fldChar w:fldCharType="begin"/>
      </w:r>
      <w:r>
        <w:rPr>
          <w:color w:val="000000" w:themeColor="text1"/>
        </w:rPr>
        <w:instrText xml:space="preserve"> REF _Ref82782152 \h </w:instrText>
      </w:r>
      <w:r>
        <w:rPr>
          <w:color w:val="000000" w:themeColor="text1"/>
        </w:rPr>
      </w:r>
      <w:r>
        <w:rPr>
          <w:color w:val="000000" w:themeColor="text1"/>
        </w:rPr>
        <w:fldChar w:fldCharType="separate"/>
      </w:r>
      <w:r w:rsidR="0067767C" w:rsidRPr="00305F7C">
        <w:t xml:space="preserve">Figure </w:t>
      </w:r>
      <w:r w:rsidR="0067767C">
        <w:rPr>
          <w:noProof/>
        </w:rPr>
        <w:t>2</w:t>
      </w:r>
      <w:r w:rsidR="0067767C">
        <w:noBreakHyphen/>
      </w:r>
      <w:r w:rsidR="0067767C">
        <w:rPr>
          <w:noProof/>
        </w:rPr>
        <w:t>1</w:t>
      </w:r>
      <w:r>
        <w:rPr>
          <w:color w:val="000000" w:themeColor="text1"/>
        </w:rPr>
        <w:fldChar w:fldCharType="end"/>
      </w:r>
      <w:r w:rsidR="002C7353">
        <w:rPr>
          <w:color w:val="000000" w:themeColor="text1"/>
        </w:rPr>
        <w:t xml:space="preserve"> presents the theoretical concept of the meaning of different SOC thresholds, and how it relates to soil degradation and carbon sequestration. Many aspects of the SOC dynamics under different management regimes and climate change, are still uncertain, for example, how </w:t>
      </w:r>
      <w:r w:rsidR="002C7353" w:rsidRPr="00183B82">
        <w:rPr>
          <w:b/>
          <w:bCs/>
          <w:color w:val="000000" w:themeColor="text1"/>
        </w:rPr>
        <w:t>optimal SOC</w:t>
      </w:r>
      <w:r w:rsidR="002C7353" w:rsidRPr="007A121C">
        <w:rPr>
          <w:color w:val="000000" w:themeColor="text1"/>
        </w:rPr>
        <w:t xml:space="preserve"> </w:t>
      </w:r>
      <w:r w:rsidR="002C7353">
        <w:rPr>
          <w:color w:val="000000" w:themeColor="text1"/>
        </w:rPr>
        <w:t xml:space="preserve">increases the </w:t>
      </w:r>
      <w:r w:rsidR="002C7353" w:rsidRPr="00183B82">
        <w:rPr>
          <w:b/>
          <w:bCs/>
          <w:color w:val="000000" w:themeColor="text1"/>
        </w:rPr>
        <w:t>resilience of soils to climate change</w:t>
      </w:r>
      <w:r w:rsidR="002C7353">
        <w:rPr>
          <w:color w:val="000000" w:themeColor="text1"/>
        </w:rPr>
        <w:t>, thus could help mitigating a likely negative SOC balance under business-as-usual + climate change scenarios in the future. Climate change may offset all management efforts to sequester carbon (</w:t>
      </w:r>
      <w:r w:rsidR="002C7353" w:rsidRPr="00556422">
        <w:rPr>
          <w:color w:val="000000" w:themeColor="text1"/>
        </w:rPr>
        <w:t>Meersmans et al.</w:t>
      </w:r>
      <w:r w:rsidR="002C7353">
        <w:rPr>
          <w:color w:val="000000" w:themeColor="text1"/>
        </w:rPr>
        <w:t xml:space="preserve">, </w:t>
      </w:r>
      <w:r w:rsidR="002C7353" w:rsidRPr="00556422">
        <w:rPr>
          <w:color w:val="000000" w:themeColor="text1"/>
        </w:rPr>
        <w:t>2016)</w:t>
      </w:r>
      <w:r w:rsidR="002C7353">
        <w:rPr>
          <w:color w:val="000000" w:themeColor="text1"/>
        </w:rPr>
        <w:t>.</w:t>
      </w:r>
      <w:r w:rsidR="002C7353" w:rsidRPr="00556422">
        <w:rPr>
          <w:color w:val="000000" w:themeColor="text1"/>
        </w:rPr>
        <w:t xml:space="preserve"> </w:t>
      </w:r>
      <w:r w:rsidR="002C7353">
        <w:rPr>
          <w:color w:val="000000" w:themeColor="text1"/>
        </w:rPr>
        <w:t>Research has focussed primarily on the productivity-related function of SOC (yield), which is not sufficient to prepare soils for future aridic conditions in many parts of Europe during the summer months. In this context, the current, extremely low SOC baseline in many European soils needs to be considered</w:t>
      </w:r>
      <w:r w:rsidR="00400568">
        <w:rPr>
          <w:color w:val="000000" w:themeColor="text1"/>
        </w:rPr>
        <w:t>.</w:t>
      </w:r>
      <w:r w:rsidR="002C7353">
        <w:rPr>
          <w:color w:val="000000" w:themeColor="text1"/>
        </w:rPr>
        <w:t xml:space="preserve"> These aspects influence under which conditions which SOC sequestration is realistically possible (see also </w:t>
      </w:r>
      <w:r w:rsidR="002C7353" w:rsidRPr="0050695F">
        <w:rPr>
          <w:color w:val="000000" w:themeColor="text1"/>
        </w:rPr>
        <w:t>Amundson and Biardeau</w:t>
      </w:r>
      <w:r w:rsidR="002C7353">
        <w:rPr>
          <w:color w:val="000000" w:themeColor="text1"/>
        </w:rPr>
        <w:t xml:space="preserve"> 2018).</w:t>
      </w:r>
    </w:p>
    <w:p w14:paraId="09AC88F1" w14:textId="50F6A985" w:rsidR="002C7353" w:rsidRDefault="002C7353" w:rsidP="002C7353">
      <w:pPr>
        <w:rPr>
          <w:color w:val="000000" w:themeColor="text1"/>
        </w:rPr>
      </w:pPr>
    </w:p>
    <w:p w14:paraId="1A5915E1" w14:textId="3E9E5D30" w:rsidR="0095454B" w:rsidRPr="00305F7C" w:rsidRDefault="0095454B" w:rsidP="0095454B">
      <w:pPr>
        <w:pStyle w:val="FormatvorlageBeschriftung"/>
      </w:pPr>
      <w:bookmarkStart w:id="92" w:name="_Ref82782152"/>
      <w:bookmarkStart w:id="93" w:name="_Toc83997431"/>
      <w:r w:rsidRPr="00305F7C">
        <w:t xml:space="preserve">Figure </w:t>
      </w:r>
      <w:r w:rsidR="00CA7716">
        <w:fldChar w:fldCharType="begin"/>
      </w:r>
      <w:r w:rsidR="00CA7716">
        <w:instrText xml:space="preserve"> STYLEREF 1 \s </w:instrText>
      </w:r>
      <w:r w:rsidR="00CA7716">
        <w:fldChar w:fldCharType="separate"/>
      </w:r>
      <w:r w:rsidR="0067767C">
        <w:rPr>
          <w:noProof/>
        </w:rPr>
        <w:t>2</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92"/>
      <w:r w:rsidRPr="00305F7C">
        <w:t>:</w:t>
      </w:r>
      <w:r w:rsidRPr="00305F7C">
        <w:tab/>
      </w:r>
      <w:r w:rsidRPr="0095454B">
        <w:t>Conceptual overview of SOC thresholds and carbon sequestration</w:t>
      </w:r>
      <w:bookmarkEnd w:id="93"/>
    </w:p>
    <w:p w14:paraId="3456DCAA" w14:textId="7E22F0B9" w:rsidR="002C7353" w:rsidRDefault="00E40DF8" w:rsidP="002C7353">
      <w:pPr>
        <w:rPr>
          <w:color w:val="000000" w:themeColor="text1"/>
        </w:rPr>
      </w:pPr>
      <w:r>
        <w:rPr>
          <w:noProof/>
          <w:color w:val="000000" w:themeColor="text1"/>
          <w:lang w:eastAsia="en-GB"/>
        </w:rPr>
        <w:drawing>
          <wp:anchor distT="0" distB="0" distL="114300" distR="114300" simplePos="0" relativeHeight="251725312" behindDoc="0" locked="0" layoutInCell="1" allowOverlap="1" wp14:anchorId="1D79E36B" wp14:editId="73542518">
            <wp:simplePos x="0" y="0"/>
            <wp:positionH relativeFrom="column">
              <wp:posOffset>-3175</wp:posOffset>
            </wp:positionH>
            <wp:positionV relativeFrom="paragraph">
              <wp:posOffset>-635</wp:posOffset>
            </wp:positionV>
            <wp:extent cx="5972810" cy="215519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2810" cy="2155190"/>
                    </a:xfrm>
                    <a:prstGeom prst="rect">
                      <a:avLst/>
                    </a:prstGeom>
                    <a:noFill/>
                  </pic:spPr>
                </pic:pic>
              </a:graphicData>
            </a:graphic>
          </wp:anchor>
        </w:drawing>
      </w:r>
    </w:p>
    <w:p w14:paraId="296E64C1" w14:textId="77777777" w:rsidR="00E40DF8" w:rsidRDefault="00E40DF8" w:rsidP="000A32DD">
      <w:pPr>
        <w:rPr>
          <w:color w:val="000000" w:themeColor="text1"/>
        </w:rPr>
      </w:pPr>
    </w:p>
    <w:p w14:paraId="1444F655" w14:textId="2B7BCF4E" w:rsidR="000A32DD" w:rsidRDefault="000A32DD" w:rsidP="000A32DD">
      <w:pPr>
        <w:rPr>
          <w:color w:val="000000" w:themeColor="text1"/>
        </w:rPr>
      </w:pPr>
      <w:r>
        <w:rPr>
          <w:color w:val="000000" w:themeColor="text1"/>
        </w:rPr>
        <w:t>It becomes clear</w:t>
      </w:r>
      <w:r w:rsidR="0019638D">
        <w:rPr>
          <w:color w:val="000000" w:themeColor="text1"/>
        </w:rPr>
        <w:t xml:space="preserve"> from </w:t>
      </w:r>
      <w:r w:rsidR="00616A32">
        <w:rPr>
          <w:color w:val="000000" w:themeColor="text1"/>
        </w:rPr>
        <w:fldChar w:fldCharType="begin"/>
      </w:r>
      <w:r w:rsidR="00616A32">
        <w:rPr>
          <w:color w:val="000000" w:themeColor="text1"/>
        </w:rPr>
        <w:instrText xml:space="preserve"> REF _Ref82782152 \h </w:instrText>
      </w:r>
      <w:r w:rsidR="00616A32">
        <w:rPr>
          <w:color w:val="000000" w:themeColor="text1"/>
        </w:rPr>
      </w:r>
      <w:r w:rsidR="00616A32">
        <w:rPr>
          <w:color w:val="000000" w:themeColor="text1"/>
        </w:rPr>
        <w:fldChar w:fldCharType="separate"/>
      </w:r>
      <w:r w:rsidR="0067767C" w:rsidRPr="00305F7C">
        <w:t xml:space="preserve">Figure </w:t>
      </w:r>
      <w:r w:rsidR="0067767C">
        <w:rPr>
          <w:noProof/>
        </w:rPr>
        <w:t>2</w:t>
      </w:r>
      <w:r w:rsidR="0067767C">
        <w:noBreakHyphen/>
      </w:r>
      <w:r w:rsidR="0067767C">
        <w:rPr>
          <w:noProof/>
        </w:rPr>
        <w:t>1</w:t>
      </w:r>
      <w:r w:rsidR="00616A32">
        <w:rPr>
          <w:color w:val="000000" w:themeColor="text1"/>
        </w:rPr>
        <w:fldChar w:fldCharType="end"/>
      </w:r>
      <w:r>
        <w:rPr>
          <w:color w:val="000000" w:themeColor="text1"/>
        </w:rPr>
        <w:t xml:space="preserve">, that some of the </w:t>
      </w:r>
      <w:r w:rsidR="0019638D">
        <w:rPr>
          <w:color w:val="000000" w:themeColor="text1"/>
        </w:rPr>
        <w:t xml:space="preserve">kinds of </w:t>
      </w:r>
      <w:r>
        <w:rPr>
          <w:color w:val="000000" w:themeColor="text1"/>
        </w:rPr>
        <w:t xml:space="preserve">thresholds </w:t>
      </w:r>
      <w:r w:rsidR="0019638D">
        <w:rPr>
          <w:color w:val="000000" w:themeColor="text1"/>
        </w:rPr>
        <w:t xml:space="preserve">identified in this report </w:t>
      </w:r>
      <w:r>
        <w:rPr>
          <w:color w:val="000000" w:themeColor="text1"/>
        </w:rPr>
        <w:t xml:space="preserve">correspond to the SOC sequestration potential of soils. In particular the optimal SOC content, which corresponds to healthy soils considering all its functions, seems to be an achievable target for policy incentives. This has also been proposed </w:t>
      </w:r>
      <w:r w:rsidRPr="00AD002D">
        <w:rPr>
          <w:color w:val="000000" w:themeColor="text1"/>
        </w:rPr>
        <w:t xml:space="preserve">by </w:t>
      </w:r>
      <w:r w:rsidRPr="00AD002D">
        <w:t>De Vos et al. (2015</w:t>
      </w:r>
      <w:r>
        <w:t xml:space="preserve">), who suggest that the SOC sequestration potential could serve </w:t>
      </w:r>
      <w:r>
        <w:lastRenderedPageBreak/>
        <w:t xml:space="preserve">as orientation for target values for optimal SOC content, to be derived from modelling or sampling undisturbed locations.  </w:t>
      </w:r>
    </w:p>
    <w:p w14:paraId="202DB351" w14:textId="77777777" w:rsidR="000A32DD" w:rsidRDefault="000A32DD" w:rsidP="0095454B"/>
    <w:p w14:paraId="035C2287" w14:textId="08E72EB8" w:rsidR="002C7353" w:rsidRDefault="002C7353" w:rsidP="0095454B">
      <w:r w:rsidRPr="00156853">
        <w:t>According to Sandermann et al. (201</w:t>
      </w:r>
      <w:r w:rsidR="00156853">
        <w:t>7</w:t>
      </w:r>
      <w:r w:rsidRPr="00156853">
        <w:t>),</w:t>
      </w:r>
      <w:r>
        <w:t xml:space="preserve"> </w:t>
      </w:r>
      <w:r w:rsidRPr="00E6475F">
        <w:t xml:space="preserve">the identification of </w:t>
      </w:r>
      <w:r w:rsidR="00BD2C69">
        <w:t xml:space="preserve">historically </w:t>
      </w:r>
      <w:r w:rsidRPr="00E6475F">
        <w:t xml:space="preserve">degraded land </w:t>
      </w:r>
      <w:r w:rsidR="00BD2C69">
        <w:t xml:space="preserve">indicates where </w:t>
      </w:r>
      <w:r w:rsidR="00B34B72">
        <w:t>new carbon can be stored now and in the future</w:t>
      </w:r>
      <w:r>
        <w:t xml:space="preserve">. Currently, the degree of degradation and its economic impact can be best measured with a yield decrease and even its loss. However, ecosystem services of SOC (including its stabilization and protection from climate </w:t>
      </w:r>
      <w:r w:rsidR="00812E04">
        <w:t>change and</w:t>
      </w:r>
      <w:r>
        <w:t xml:space="preserve"> including the improved water dynamics of SOC-enriched soils) are still hardly accounted for among practitioners. This is probably the reason why soil degradation maps are not considered reliable (Amelung et al., 2020; Gibbs and Salmon, 2015).</w:t>
      </w:r>
      <w:r w:rsidR="004D1E5C">
        <w:t xml:space="preserve"> </w:t>
      </w:r>
      <w:r w:rsidR="00C7169A" w:rsidRPr="00C7169A">
        <w:t xml:space="preserve">According to Lugato et al. (2015), the ratio between the actual and the potential SOC stock </w:t>
      </w:r>
      <w:r w:rsidR="00C7169A">
        <w:t>can be</w:t>
      </w:r>
      <w:r w:rsidR="00C7169A" w:rsidRPr="00C7169A">
        <w:t xml:space="preserve"> called the </w:t>
      </w:r>
      <w:r w:rsidR="00C7169A" w:rsidRPr="00C7169A">
        <w:rPr>
          <w:b/>
          <w:bCs/>
        </w:rPr>
        <w:t>SOC saturation capacity</w:t>
      </w:r>
      <w:r w:rsidR="00C7169A" w:rsidRPr="00C7169A">
        <w:t xml:space="preserve">. Depending on the SOC management scenario chosen for the </w:t>
      </w:r>
      <w:r w:rsidR="00967CA1">
        <w:t xml:space="preserve">modelling of the </w:t>
      </w:r>
      <w:r w:rsidR="00C7169A" w:rsidRPr="00C7169A">
        <w:t xml:space="preserve">potential </w:t>
      </w:r>
      <w:r w:rsidR="00967CA1">
        <w:t xml:space="preserve">future </w:t>
      </w:r>
      <w:r w:rsidR="00C7169A" w:rsidRPr="00C7169A">
        <w:t xml:space="preserve">SOC </w:t>
      </w:r>
      <w:r w:rsidR="00812E04" w:rsidRPr="00C7169A">
        <w:t>stock and</w:t>
      </w:r>
      <w:r w:rsidR="00C7169A" w:rsidRPr="00C7169A">
        <w:t xml:space="preserve"> depending on the level of degradation of the current SOC levels for cropland, this </w:t>
      </w:r>
      <w:r w:rsidR="004734E6">
        <w:t xml:space="preserve">storage </w:t>
      </w:r>
      <w:r w:rsidR="00C7169A" w:rsidRPr="00C7169A">
        <w:t xml:space="preserve">capacity </w:t>
      </w:r>
      <w:r w:rsidR="004734E6">
        <w:t>is</w:t>
      </w:r>
      <w:r w:rsidR="00C7169A" w:rsidRPr="00C7169A">
        <w:t xml:space="preserve"> </w:t>
      </w:r>
      <w:r w:rsidR="004734E6">
        <w:t>likely to be higher</w:t>
      </w:r>
      <w:r w:rsidR="00C7169A" w:rsidRPr="00C7169A">
        <w:t xml:space="preserve"> than the “optimum” for soils (compare to Ch. 2.3.2).</w:t>
      </w:r>
    </w:p>
    <w:p w14:paraId="00A55470" w14:textId="77777777" w:rsidR="002C7353" w:rsidRDefault="002C7353" w:rsidP="0095454B"/>
    <w:p w14:paraId="61A4F36C" w14:textId="77777777" w:rsidR="002C7353" w:rsidRDefault="002C7353" w:rsidP="0095454B">
      <w:r>
        <w:t xml:space="preserve">Current methods to calculate the sequestration potential apply models to compare baselines with assumed management scenarios: business-as-usual (BAU), and sustainable soil management methods (SSM) (examples: Lugato et al., 2015; FAO, 2020). The loss of SOC below a critical level relates to the potential for soil carbon sequestration: the more severe the SOC loss, the higher the carbon sequestration potential. </w:t>
      </w:r>
    </w:p>
    <w:p w14:paraId="101B72EB" w14:textId="16CE8B27" w:rsidR="002C7353" w:rsidRDefault="002C7353" w:rsidP="0095454B"/>
    <w:p w14:paraId="0DD8241E" w14:textId="5CA6E646" w:rsidR="00811969" w:rsidRDefault="004617E4" w:rsidP="0095454B">
      <w:r w:rsidRPr="00156853">
        <w:t>Based on Angers et al. (2011), the</w:t>
      </w:r>
      <w:r w:rsidRPr="004617E4">
        <w:t xml:space="preserve"> soil C saturation deficit can be defined as the difference between the maximum content of organic carbon in the mineral (fine) fraction (&lt;20 µm; clay + fine silt particles) of soil. This </w:t>
      </w:r>
      <w:r>
        <w:t xml:space="preserve">is </w:t>
      </w:r>
      <w:r w:rsidRPr="004617E4">
        <w:t xml:space="preserve">based on the observation that stable SOC compounds are particularly </w:t>
      </w:r>
      <w:r w:rsidR="00FD490C" w:rsidRPr="004617E4">
        <w:t>adsorbed</w:t>
      </w:r>
      <w:r w:rsidRPr="004617E4">
        <w:t xml:space="preserve"> onto the reactive mineral surface of smallest soil particles (see also </w:t>
      </w:r>
      <w:r w:rsidRPr="00FD490C">
        <w:t>Kleber et al., 2015</w:t>
      </w:r>
      <w:r w:rsidRPr="004617E4">
        <w:t xml:space="preserve">). However, the mineral matrix is believed to have a finite storage capacity for organic carbon. These findings were taken further by Wiesmeier et al. (2014), who reported significant amounts of carbon stored in the &gt;20 µm fraction (&gt;20% in the analysed literature, 40-60% in this study). </w:t>
      </w:r>
      <w:r w:rsidR="00BF4908">
        <w:t xml:space="preserve">Considering </w:t>
      </w:r>
      <w:r w:rsidR="00C9472D">
        <w:t xml:space="preserve">that </w:t>
      </w:r>
      <w:r w:rsidR="00BF4908">
        <w:t xml:space="preserve">a large </w:t>
      </w:r>
      <w:r w:rsidR="00C9472D">
        <w:t>proportion</w:t>
      </w:r>
      <w:r w:rsidR="00BF4908">
        <w:t xml:space="preserve"> of </w:t>
      </w:r>
      <w:r w:rsidRPr="004617E4">
        <w:t xml:space="preserve">SOC increase </w:t>
      </w:r>
      <w:r w:rsidR="00C9472D">
        <w:t>(</w:t>
      </w:r>
      <w:r w:rsidR="00A4001D">
        <w:t>for example, through</w:t>
      </w:r>
      <w:r w:rsidR="00C9472D">
        <w:t xml:space="preserve"> carbon farming) </w:t>
      </w:r>
      <w:r w:rsidRPr="004617E4">
        <w:t xml:space="preserve">would occur in coarse soil </w:t>
      </w:r>
      <w:r w:rsidR="00C9472D">
        <w:t xml:space="preserve">mineral </w:t>
      </w:r>
      <w:r w:rsidRPr="004617E4">
        <w:t>fractions</w:t>
      </w:r>
      <w:r w:rsidR="00C9472D">
        <w:t xml:space="preserve">, and considering that this </w:t>
      </w:r>
      <w:r w:rsidR="00912673">
        <w:t xml:space="preserve">SOC is less stabilized, then any such </w:t>
      </w:r>
      <w:r w:rsidRPr="004617E4">
        <w:t>newly stored SOC may be susceptible to rapid loss if the changed farming pr</w:t>
      </w:r>
      <w:r w:rsidR="00912673">
        <w:t>a</w:t>
      </w:r>
      <w:r w:rsidRPr="004617E4">
        <w:t>ctices would not be sustained.</w:t>
      </w:r>
    </w:p>
    <w:p w14:paraId="0D3D498D" w14:textId="6857C8C5" w:rsidR="002C7353" w:rsidRPr="00FC6FA2" w:rsidRDefault="002C7353" w:rsidP="0095454B"/>
    <w:p w14:paraId="44D5F881" w14:textId="5BFD3A56" w:rsidR="009D5972" w:rsidRPr="009D5972" w:rsidRDefault="000C097B" w:rsidP="002C488D">
      <w:pPr>
        <w:pStyle w:val="berschrift2"/>
        <w:numPr>
          <w:ilvl w:val="2"/>
          <w:numId w:val="3"/>
        </w:numPr>
        <w:rPr>
          <w:rStyle w:val="FormatvorlageFormatvorlageberschrift3Zchn1"/>
        </w:rPr>
      </w:pPr>
      <w:bookmarkStart w:id="94" w:name="_Toc83997335"/>
      <w:r w:rsidRPr="000C097B">
        <w:rPr>
          <w:rStyle w:val="FormatvorlageFormatvorlageberschrift3Zchn1"/>
        </w:rPr>
        <w:t>Thresholds from long-term field experiments</w:t>
      </w:r>
      <w:bookmarkEnd w:id="94"/>
    </w:p>
    <w:p w14:paraId="43DBC142" w14:textId="77777777" w:rsidR="00E40DF8" w:rsidRDefault="00E40DF8" w:rsidP="002C7353"/>
    <w:p w14:paraId="033B4E9D" w14:textId="37B55DC9" w:rsidR="002C7353" w:rsidRDefault="002C7353" w:rsidP="002C7353">
      <w:r>
        <w:t>Körschens et al. (1998) evaluated long-term field experiments (begun in 1902), which included treatments to ‘discern the influence of highly different SOM contents on yield and C and N dynamics’. The authors propose an upper limit</w:t>
      </w:r>
      <w:r w:rsidRPr="0045774F">
        <w:t xml:space="preserve"> to SO</w:t>
      </w:r>
      <w:r>
        <w:t>M</w:t>
      </w:r>
      <w:r w:rsidRPr="0045774F">
        <w:t xml:space="preserve">, above which there is an increased risk </w:t>
      </w:r>
      <w:r>
        <w:t xml:space="preserve">of </w:t>
      </w:r>
      <w:r w:rsidRPr="0045774F">
        <w:t>N and CO</w:t>
      </w:r>
      <w:r w:rsidRPr="00776F43">
        <w:rPr>
          <w:vertAlign w:val="subscript"/>
        </w:rPr>
        <w:t>2</w:t>
      </w:r>
      <w:r>
        <w:t xml:space="preserve"> loss; l</w:t>
      </w:r>
      <w:r w:rsidRPr="0045774F">
        <w:t xml:space="preserve">ower limits </w:t>
      </w:r>
      <w:r>
        <w:t>represent the SOM level to maintain optimum crop production. These limit values increase with increasing clay content, i.e. from 1% SOM at 4% clay, up to 3.5% SOM at 38% clay (</w:t>
      </w:r>
      <w:r w:rsidR="007E165E">
        <w:t>Table 2-7</w:t>
      </w:r>
      <w:r>
        <w:t>). This means that even with the addition of fertilizer, below 1 % SOM, mineralizable N is too low so that potential optimal yields cannot be reached any more.</w:t>
      </w:r>
    </w:p>
    <w:p w14:paraId="15438CD8" w14:textId="272D2159" w:rsidR="002C7353" w:rsidRDefault="002C7353" w:rsidP="00812E04">
      <w:pPr>
        <w:spacing w:before="120"/>
      </w:pPr>
    </w:p>
    <w:p w14:paraId="09A5411C" w14:textId="161F273D" w:rsidR="00640360" w:rsidRDefault="00640360" w:rsidP="00EF3E3D">
      <w:pPr>
        <w:pStyle w:val="EEALabel"/>
      </w:pPr>
      <w:bookmarkStart w:id="95" w:name="_Toc83997507"/>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7</w:t>
      </w:r>
      <w:r w:rsidR="00C76C23">
        <w:fldChar w:fldCharType="end"/>
      </w:r>
      <w:r w:rsidRPr="004712E0">
        <w:t>:</w:t>
      </w:r>
      <w:r w:rsidRPr="004712E0">
        <w:tab/>
        <w:t>Guideline ranges for the SOM content of sandy and loamy soils without groundwater influence (% SOM in ploughing layer) depending on fine silt (&lt; 6.3 µm) and clay</w:t>
      </w:r>
      <w:bookmarkEnd w:id="95"/>
    </w:p>
    <w:p w14:paraId="01A959E5" w14:textId="77777777" w:rsidR="00EF3E3D" w:rsidRPr="00EF3E3D" w:rsidRDefault="00EF3E3D" w:rsidP="00EF3E3D"/>
    <w:tbl>
      <w:tblPr>
        <w:tblW w:w="6390" w:type="dxa"/>
        <w:jc w:val="center"/>
        <w:tblCellMar>
          <w:left w:w="70" w:type="dxa"/>
          <w:right w:w="70" w:type="dxa"/>
        </w:tblCellMar>
        <w:tblLook w:val="04A0" w:firstRow="1" w:lastRow="0" w:firstColumn="1" w:lastColumn="0" w:noHBand="0" w:noVBand="1"/>
      </w:tblPr>
      <w:tblGrid>
        <w:gridCol w:w="1417"/>
        <w:gridCol w:w="1276"/>
        <w:gridCol w:w="1275"/>
        <w:gridCol w:w="6"/>
        <w:gridCol w:w="1270"/>
        <w:gridCol w:w="1133"/>
        <w:gridCol w:w="13"/>
      </w:tblGrid>
      <w:tr w:rsidR="002C7353" w:rsidRPr="0020636B" w14:paraId="23359833" w14:textId="77777777" w:rsidTr="00097524">
        <w:trPr>
          <w:trHeight w:val="300"/>
          <w:tblHeader/>
          <w:jc w:val="center"/>
        </w:trPr>
        <w:tc>
          <w:tcPr>
            <w:tcW w:w="1417" w:type="dxa"/>
            <w:vMerge w:val="restart"/>
            <w:tcBorders>
              <w:top w:val="single" w:sz="4" w:space="0" w:color="auto"/>
              <w:left w:val="nil"/>
              <w:right w:val="nil"/>
            </w:tcBorders>
            <w:shd w:val="pct10" w:color="auto" w:fill="auto"/>
            <w:noWrap/>
            <w:vAlign w:val="center"/>
            <w:hideMark/>
          </w:tcPr>
          <w:p w14:paraId="3F29C200" w14:textId="77777777" w:rsidR="002C7353" w:rsidRPr="0020636B" w:rsidRDefault="002C7353" w:rsidP="005F7B85">
            <w:pPr>
              <w:pStyle w:val="EEATabcenterbold"/>
              <w:tabs>
                <w:tab w:val="clear" w:pos="851"/>
              </w:tabs>
              <w:ind w:left="351"/>
            </w:pPr>
            <w:r w:rsidRPr="0020636B">
              <w:t>Clay + fine silt [%]</w:t>
            </w:r>
          </w:p>
        </w:tc>
        <w:tc>
          <w:tcPr>
            <w:tcW w:w="2557" w:type="dxa"/>
            <w:gridSpan w:val="3"/>
            <w:tcBorders>
              <w:top w:val="single" w:sz="4" w:space="0" w:color="auto"/>
              <w:left w:val="nil"/>
              <w:bottom w:val="nil"/>
              <w:right w:val="nil"/>
            </w:tcBorders>
            <w:shd w:val="pct10" w:color="auto" w:fill="auto"/>
            <w:noWrap/>
            <w:vAlign w:val="bottom"/>
            <w:hideMark/>
          </w:tcPr>
          <w:p w14:paraId="4004521E" w14:textId="534D85F6" w:rsidR="002C7353" w:rsidRPr="0020636B" w:rsidRDefault="00E57292" w:rsidP="00E57292">
            <w:pPr>
              <w:pStyle w:val="EEATabboldcenterneu"/>
            </w:pPr>
            <w:r>
              <w:t>% SOM in s</w:t>
            </w:r>
            <w:r w:rsidR="002C7353" w:rsidRPr="0020636B">
              <w:t>andy soils</w:t>
            </w:r>
          </w:p>
        </w:tc>
        <w:tc>
          <w:tcPr>
            <w:tcW w:w="2416" w:type="dxa"/>
            <w:gridSpan w:val="3"/>
            <w:tcBorders>
              <w:top w:val="single" w:sz="4" w:space="0" w:color="auto"/>
              <w:left w:val="nil"/>
              <w:bottom w:val="nil"/>
              <w:right w:val="nil"/>
            </w:tcBorders>
            <w:shd w:val="pct10" w:color="auto" w:fill="auto"/>
            <w:noWrap/>
            <w:vAlign w:val="bottom"/>
            <w:hideMark/>
          </w:tcPr>
          <w:p w14:paraId="00CF13C2" w14:textId="4DFD2E63" w:rsidR="002C7353" w:rsidRPr="0020636B" w:rsidRDefault="00E57292" w:rsidP="00E57292">
            <w:pPr>
              <w:pStyle w:val="EEATabcenterbold"/>
            </w:pPr>
            <w:r>
              <w:t>% SOM in l</w:t>
            </w:r>
            <w:r w:rsidR="002C7353" w:rsidRPr="0020636B">
              <w:t>oamy soils</w:t>
            </w:r>
          </w:p>
        </w:tc>
      </w:tr>
      <w:tr w:rsidR="002C7353" w:rsidRPr="0020636B" w14:paraId="0DB23C55" w14:textId="77777777" w:rsidTr="00097524">
        <w:trPr>
          <w:gridAfter w:val="1"/>
          <w:wAfter w:w="13" w:type="dxa"/>
          <w:trHeight w:val="300"/>
          <w:tblHeader/>
          <w:jc w:val="center"/>
        </w:trPr>
        <w:tc>
          <w:tcPr>
            <w:tcW w:w="1417" w:type="dxa"/>
            <w:vMerge/>
            <w:tcBorders>
              <w:left w:val="nil"/>
              <w:bottom w:val="single" w:sz="4" w:space="0" w:color="auto"/>
              <w:right w:val="nil"/>
            </w:tcBorders>
            <w:shd w:val="pct10" w:color="auto" w:fill="auto"/>
            <w:noWrap/>
            <w:vAlign w:val="bottom"/>
            <w:hideMark/>
          </w:tcPr>
          <w:p w14:paraId="5A1CA223" w14:textId="77777777" w:rsidR="002C7353" w:rsidRPr="0020636B" w:rsidRDefault="002C7353" w:rsidP="00CD55D6">
            <w:pPr>
              <w:pStyle w:val="EEATabboldcenterneu"/>
              <w:rPr>
                <w:bCs/>
              </w:rPr>
            </w:pPr>
          </w:p>
        </w:tc>
        <w:tc>
          <w:tcPr>
            <w:tcW w:w="1276" w:type="dxa"/>
            <w:tcBorders>
              <w:top w:val="nil"/>
              <w:left w:val="nil"/>
              <w:bottom w:val="single" w:sz="4" w:space="0" w:color="auto"/>
              <w:right w:val="nil"/>
            </w:tcBorders>
            <w:shd w:val="pct10" w:color="auto" w:fill="auto"/>
            <w:noWrap/>
            <w:vAlign w:val="bottom"/>
            <w:hideMark/>
          </w:tcPr>
          <w:p w14:paraId="1784F43E" w14:textId="77777777" w:rsidR="002C7353" w:rsidRPr="0020636B" w:rsidRDefault="002C7353" w:rsidP="00CD55D6">
            <w:pPr>
              <w:pStyle w:val="EEATabcenterbold"/>
            </w:pPr>
            <w:r w:rsidRPr="0020636B">
              <w:t>upper value</w:t>
            </w:r>
          </w:p>
        </w:tc>
        <w:tc>
          <w:tcPr>
            <w:tcW w:w="1275" w:type="dxa"/>
            <w:tcBorders>
              <w:top w:val="nil"/>
              <w:left w:val="nil"/>
              <w:bottom w:val="single" w:sz="4" w:space="0" w:color="auto"/>
              <w:right w:val="nil"/>
            </w:tcBorders>
            <w:shd w:val="pct10" w:color="auto" w:fill="auto"/>
            <w:noWrap/>
            <w:vAlign w:val="bottom"/>
            <w:hideMark/>
          </w:tcPr>
          <w:p w14:paraId="629AB04F" w14:textId="77777777" w:rsidR="002C7353" w:rsidRPr="0020636B" w:rsidRDefault="002C7353" w:rsidP="00CD55D6">
            <w:pPr>
              <w:pStyle w:val="EEATabcenterbold"/>
            </w:pPr>
            <w:r w:rsidRPr="0020636B">
              <w:t>lower value</w:t>
            </w:r>
          </w:p>
        </w:tc>
        <w:tc>
          <w:tcPr>
            <w:tcW w:w="1276" w:type="dxa"/>
            <w:gridSpan w:val="2"/>
            <w:tcBorders>
              <w:top w:val="nil"/>
              <w:left w:val="nil"/>
              <w:bottom w:val="single" w:sz="4" w:space="0" w:color="auto"/>
              <w:right w:val="nil"/>
            </w:tcBorders>
            <w:shd w:val="pct10" w:color="auto" w:fill="auto"/>
            <w:noWrap/>
            <w:vAlign w:val="bottom"/>
            <w:hideMark/>
          </w:tcPr>
          <w:p w14:paraId="636AB2F8" w14:textId="77777777" w:rsidR="002C7353" w:rsidRPr="0020636B" w:rsidRDefault="002C7353" w:rsidP="00CD55D6">
            <w:pPr>
              <w:pStyle w:val="EEATabcenterbold"/>
            </w:pPr>
            <w:r w:rsidRPr="0020636B">
              <w:t>upper value</w:t>
            </w:r>
          </w:p>
        </w:tc>
        <w:tc>
          <w:tcPr>
            <w:tcW w:w="1133" w:type="dxa"/>
            <w:tcBorders>
              <w:top w:val="nil"/>
              <w:left w:val="nil"/>
              <w:bottom w:val="single" w:sz="4" w:space="0" w:color="auto"/>
              <w:right w:val="nil"/>
            </w:tcBorders>
            <w:shd w:val="pct10" w:color="auto" w:fill="auto"/>
            <w:noWrap/>
            <w:vAlign w:val="bottom"/>
            <w:hideMark/>
          </w:tcPr>
          <w:p w14:paraId="0F60BFFE" w14:textId="77777777" w:rsidR="002C7353" w:rsidRPr="0020636B" w:rsidRDefault="002C7353" w:rsidP="00CD55D6">
            <w:pPr>
              <w:pStyle w:val="EEATabcenterbold"/>
            </w:pPr>
            <w:r w:rsidRPr="0020636B">
              <w:t>lower value</w:t>
            </w:r>
          </w:p>
        </w:tc>
      </w:tr>
      <w:tr w:rsidR="002C7353" w:rsidRPr="0020636B" w14:paraId="5ACFDD59"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09C1402E" w14:textId="77777777" w:rsidR="002C7353" w:rsidRPr="00C3226F" w:rsidRDefault="002C7353" w:rsidP="00CD55D6">
            <w:pPr>
              <w:pStyle w:val="EEATabcenter"/>
              <w:rPr>
                <w:sz w:val="18"/>
                <w:szCs w:val="18"/>
                <w:lang w:val="de-AT" w:eastAsia="de-AT"/>
              </w:rPr>
            </w:pPr>
            <w:r w:rsidRPr="00C3226F">
              <w:rPr>
                <w:sz w:val="18"/>
                <w:szCs w:val="18"/>
                <w:lang w:val="de-AT" w:eastAsia="de-AT"/>
              </w:rPr>
              <w:t>4</w:t>
            </w:r>
          </w:p>
        </w:tc>
        <w:tc>
          <w:tcPr>
            <w:tcW w:w="1276" w:type="dxa"/>
            <w:tcBorders>
              <w:top w:val="single" w:sz="4" w:space="0" w:color="auto"/>
              <w:left w:val="nil"/>
              <w:bottom w:val="single" w:sz="4" w:space="0" w:color="auto"/>
              <w:right w:val="nil"/>
            </w:tcBorders>
            <w:shd w:val="clear" w:color="auto" w:fill="auto"/>
            <w:noWrap/>
            <w:vAlign w:val="bottom"/>
            <w:hideMark/>
          </w:tcPr>
          <w:p w14:paraId="55C7DA22" w14:textId="77777777" w:rsidR="002C7353" w:rsidRPr="00C3226F" w:rsidRDefault="002C7353" w:rsidP="00CD55D6">
            <w:pPr>
              <w:pStyle w:val="EEATabcenter"/>
              <w:rPr>
                <w:sz w:val="18"/>
                <w:szCs w:val="18"/>
                <w:lang w:val="de-AT" w:eastAsia="de-AT"/>
              </w:rPr>
            </w:pPr>
            <w:r w:rsidRPr="00C3226F">
              <w:rPr>
                <w:sz w:val="18"/>
                <w:szCs w:val="18"/>
                <w:lang w:val="de-AT" w:eastAsia="de-AT"/>
              </w:rPr>
              <w:t>1.5</w:t>
            </w:r>
          </w:p>
        </w:tc>
        <w:tc>
          <w:tcPr>
            <w:tcW w:w="1275" w:type="dxa"/>
            <w:tcBorders>
              <w:top w:val="single" w:sz="4" w:space="0" w:color="auto"/>
              <w:left w:val="nil"/>
              <w:bottom w:val="single" w:sz="4" w:space="0" w:color="auto"/>
              <w:right w:val="nil"/>
            </w:tcBorders>
            <w:shd w:val="clear" w:color="auto" w:fill="auto"/>
            <w:noWrap/>
            <w:vAlign w:val="bottom"/>
            <w:hideMark/>
          </w:tcPr>
          <w:p w14:paraId="6F0837BF" w14:textId="77777777" w:rsidR="002C7353" w:rsidRPr="00C3226F" w:rsidRDefault="002C7353" w:rsidP="00CD55D6">
            <w:pPr>
              <w:pStyle w:val="EEATabcenter"/>
              <w:rPr>
                <w:sz w:val="18"/>
                <w:szCs w:val="18"/>
                <w:lang w:val="de-AT" w:eastAsia="de-AT"/>
              </w:rPr>
            </w:pPr>
            <w:r w:rsidRPr="00C3226F">
              <w:rPr>
                <w:sz w:val="18"/>
                <w:szCs w:val="18"/>
                <w:lang w:val="de-AT" w:eastAsia="de-AT"/>
              </w:rPr>
              <w:t>1.0</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294F7BB8" w14:textId="77777777" w:rsidR="002C7353" w:rsidRPr="00C3226F" w:rsidRDefault="002C7353" w:rsidP="00CD55D6">
            <w:pPr>
              <w:pStyle w:val="EEATabcenter"/>
              <w:rPr>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694A19E2" w14:textId="77777777" w:rsidR="002C7353" w:rsidRPr="00C3226F" w:rsidRDefault="002C7353" w:rsidP="00CD55D6">
            <w:pPr>
              <w:pStyle w:val="EEATabcenter"/>
              <w:rPr>
                <w:rFonts w:ascii="Times New Roman" w:hAnsi="Times New Roman" w:cs="Times New Roman"/>
                <w:sz w:val="18"/>
                <w:szCs w:val="18"/>
                <w:lang w:val="de-AT" w:eastAsia="de-AT"/>
              </w:rPr>
            </w:pPr>
          </w:p>
        </w:tc>
      </w:tr>
      <w:tr w:rsidR="002C7353" w:rsidRPr="0020636B" w14:paraId="32BF24C7" w14:textId="77777777" w:rsidTr="00097524">
        <w:trPr>
          <w:gridAfter w:val="1"/>
          <w:wAfter w:w="13" w:type="dxa"/>
          <w:trHeight w:val="237"/>
          <w:jc w:val="center"/>
        </w:trPr>
        <w:tc>
          <w:tcPr>
            <w:tcW w:w="1417" w:type="dxa"/>
            <w:tcBorders>
              <w:top w:val="single" w:sz="4" w:space="0" w:color="auto"/>
              <w:left w:val="nil"/>
              <w:bottom w:val="single" w:sz="4" w:space="0" w:color="auto"/>
              <w:right w:val="nil"/>
            </w:tcBorders>
            <w:shd w:val="clear" w:color="auto" w:fill="auto"/>
            <w:noWrap/>
            <w:vAlign w:val="bottom"/>
            <w:hideMark/>
          </w:tcPr>
          <w:p w14:paraId="736B8EE6"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5</w:t>
            </w:r>
          </w:p>
        </w:tc>
        <w:tc>
          <w:tcPr>
            <w:tcW w:w="1276" w:type="dxa"/>
            <w:tcBorders>
              <w:top w:val="single" w:sz="4" w:space="0" w:color="auto"/>
              <w:left w:val="nil"/>
              <w:bottom w:val="single" w:sz="4" w:space="0" w:color="auto"/>
              <w:right w:val="nil"/>
            </w:tcBorders>
            <w:shd w:val="clear" w:color="auto" w:fill="auto"/>
            <w:noWrap/>
            <w:vAlign w:val="bottom"/>
            <w:hideMark/>
          </w:tcPr>
          <w:p w14:paraId="0055F928"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c>
          <w:tcPr>
            <w:tcW w:w="1275" w:type="dxa"/>
            <w:tcBorders>
              <w:top w:val="single" w:sz="4" w:space="0" w:color="auto"/>
              <w:left w:val="nil"/>
              <w:bottom w:val="single" w:sz="4" w:space="0" w:color="auto"/>
              <w:right w:val="nil"/>
            </w:tcBorders>
            <w:shd w:val="clear" w:color="auto" w:fill="auto"/>
            <w:noWrap/>
            <w:vAlign w:val="bottom"/>
            <w:hideMark/>
          </w:tcPr>
          <w:p w14:paraId="7D4420B6"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1.0</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39A7D444" w14:textId="77777777" w:rsidR="002C7353" w:rsidRPr="00C3226F" w:rsidRDefault="002C7353" w:rsidP="00CD55D6">
            <w:pPr>
              <w:pStyle w:val="EEATabcenter"/>
              <w:rPr>
                <w:rFonts w:asciiTheme="majorHAnsi" w:hAnsiTheme="majorHAnsi" w:cstheme="majorHAnsi"/>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7686F703" w14:textId="77777777" w:rsidR="002C7353" w:rsidRPr="00C3226F" w:rsidRDefault="002C7353" w:rsidP="00CD55D6">
            <w:pPr>
              <w:pStyle w:val="EEATabcenter"/>
              <w:rPr>
                <w:rFonts w:asciiTheme="majorHAnsi" w:hAnsiTheme="majorHAnsi" w:cstheme="majorHAnsi"/>
                <w:sz w:val="18"/>
                <w:szCs w:val="18"/>
                <w:lang w:val="de-AT" w:eastAsia="de-AT"/>
              </w:rPr>
            </w:pPr>
          </w:p>
        </w:tc>
      </w:tr>
      <w:tr w:rsidR="002C7353" w:rsidRPr="0020636B" w14:paraId="37C729F4"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69F2B557"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6</w:t>
            </w:r>
          </w:p>
        </w:tc>
        <w:tc>
          <w:tcPr>
            <w:tcW w:w="1276" w:type="dxa"/>
            <w:tcBorders>
              <w:top w:val="single" w:sz="4" w:space="0" w:color="auto"/>
              <w:left w:val="nil"/>
              <w:bottom w:val="single" w:sz="4" w:space="0" w:color="auto"/>
              <w:right w:val="nil"/>
            </w:tcBorders>
            <w:shd w:val="clear" w:color="auto" w:fill="auto"/>
            <w:noWrap/>
            <w:vAlign w:val="bottom"/>
            <w:hideMark/>
          </w:tcPr>
          <w:p w14:paraId="1F23BCA6"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c>
          <w:tcPr>
            <w:tcW w:w="1275" w:type="dxa"/>
            <w:tcBorders>
              <w:top w:val="single" w:sz="4" w:space="0" w:color="auto"/>
              <w:left w:val="nil"/>
              <w:bottom w:val="single" w:sz="4" w:space="0" w:color="auto"/>
              <w:right w:val="nil"/>
            </w:tcBorders>
            <w:shd w:val="clear" w:color="auto" w:fill="auto"/>
            <w:noWrap/>
            <w:vAlign w:val="bottom"/>
            <w:hideMark/>
          </w:tcPr>
          <w:p w14:paraId="3908F15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1.0</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271E6F11" w14:textId="77777777" w:rsidR="002C7353" w:rsidRPr="00C3226F" w:rsidRDefault="002C7353" w:rsidP="00CD55D6">
            <w:pPr>
              <w:pStyle w:val="EEATabcenter"/>
              <w:rPr>
                <w:rFonts w:asciiTheme="majorHAnsi" w:hAnsiTheme="majorHAnsi" w:cstheme="majorHAnsi"/>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5597B352" w14:textId="77777777" w:rsidR="002C7353" w:rsidRPr="00C3226F" w:rsidRDefault="002C7353" w:rsidP="00CD55D6">
            <w:pPr>
              <w:pStyle w:val="EEATabcenter"/>
              <w:rPr>
                <w:rFonts w:asciiTheme="majorHAnsi" w:hAnsiTheme="majorHAnsi" w:cstheme="majorHAnsi"/>
                <w:sz w:val="18"/>
                <w:szCs w:val="18"/>
                <w:lang w:val="de-AT" w:eastAsia="de-AT"/>
              </w:rPr>
            </w:pPr>
          </w:p>
        </w:tc>
      </w:tr>
      <w:tr w:rsidR="002C7353" w:rsidRPr="0020636B" w14:paraId="0ED34095"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6EA1555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7</w:t>
            </w:r>
          </w:p>
        </w:tc>
        <w:tc>
          <w:tcPr>
            <w:tcW w:w="1276" w:type="dxa"/>
            <w:tcBorders>
              <w:top w:val="single" w:sz="4" w:space="0" w:color="auto"/>
              <w:left w:val="nil"/>
              <w:bottom w:val="single" w:sz="4" w:space="0" w:color="auto"/>
              <w:right w:val="nil"/>
            </w:tcBorders>
            <w:shd w:val="clear" w:color="auto" w:fill="auto"/>
            <w:noWrap/>
            <w:vAlign w:val="bottom"/>
            <w:hideMark/>
          </w:tcPr>
          <w:p w14:paraId="3E532945"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c>
          <w:tcPr>
            <w:tcW w:w="1275" w:type="dxa"/>
            <w:tcBorders>
              <w:top w:val="single" w:sz="4" w:space="0" w:color="auto"/>
              <w:left w:val="nil"/>
              <w:bottom w:val="single" w:sz="4" w:space="0" w:color="auto"/>
              <w:right w:val="nil"/>
            </w:tcBorders>
            <w:shd w:val="clear" w:color="auto" w:fill="auto"/>
            <w:noWrap/>
            <w:vAlign w:val="bottom"/>
            <w:hideMark/>
          </w:tcPr>
          <w:p w14:paraId="176306EC"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1.0</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4D0D50D1" w14:textId="77777777" w:rsidR="002C7353" w:rsidRPr="00C3226F" w:rsidRDefault="002C7353" w:rsidP="00CD55D6">
            <w:pPr>
              <w:pStyle w:val="EEATabcenter"/>
              <w:rPr>
                <w:rFonts w:asciiTheme="majorHAnsi" w:hAnsiTheme="majorHAnsi" w:cstheme="majorHAnsi"/>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12E24DE7" w14:textId="77777777" w:rsidR="002C7353" w:rsidRPr="00C3226F" w:rsidRDefault="002C7353" w:rsidP="00CD55D6">
            <w:pPr>
              <w:pStyle w:val="EEATabcenter"/>
              <w:rPr>
                <w:rFonts w:asciiTheme="majorHAnsi" w:hAnsiTheme="majorHAnsi" w:cstheme="majorHAnsi"/>
                <w:sz w:val="18"/>
                <w:szCs w:val="18"/>
                <w:lang w:val="de-AT" w:eastAsia="de-AT"/>
              </w:rPr>
            </w:pPr>
          </w:p>
        </w:tc>
      </w:tr>
      <w:tr w:rsidR="002C7353" w:rsidRPr="0020636B" w14:paraId="71C207DF"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5961474E"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8</w:t>
            </w:r>
          </w:p>
        </w:tc>
        <w:tc>
          <w:tcPr>
            <w:tcW w:w="1276" w:type="dxa"/>
            <w:tcBorders>
              <w:top w:val="single" w:sz="4" w:space="0" w:color="auto"/>
              <w:left w:val="nil"/>
              <w:bottom w:val="single" w:sz="4" w:space="0" w:color="auto"/>
              <w:right w:val="nil"/>
            </w:tcBorders>
            <w:shd w:val="clear" w:color="auto" w:fill="auto"/>
            <w:noWrap/>
            <w:vAlign w:val="bottom"/>
            <w:hideMark/>
          </w:tcPr>
          <w:p w14:paraId="03F9578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1.6</w:t>
            </w:r>
          </w:p>
        </w:tc>
        <w:tc>
          <w:tcPr>
            <w:tcW w:w="1275" w:type="dxa"/>
            <w:tcBorders>
              <w:top w:val="single" w:sz="4" w:space="0" w:color="auto"/>
              <w:left w:val="nil"/>
              <w:bottom w:val="single" w:sz="4" w:space="0" w:color="auto"/>
              <w:right w:val="nil"/>
            </w:tcBorders>
            <w:shd w:val="clear" w:color="auto" w:fill="auto"/>
            <w:noWrap/>
            <w:vAlign w:val="bottom"/>
            <w:hideMark/>
          </w:tcPr>
          <w:p w14:paraId="0F9E8D04"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1.1</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509478D1" w14:textId="77777777" w:rsidR="002C7353" w:rsidRPr="00C3226F" w:rsidRDefault="002C7353" w:rsidP="00CD55D6">
            <w:pPr>
              <w:pStyle w:val="EEATabcenter"/>
              <w:rPr>
                <w:rFonts w:asciiTheme="majorHAnsi" w:hAnsiTheme="majorHAnsi" w:cstheme="majorHAnsi"/>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6AEBC3C3" w14:textId="77777777" w:rsidR="002C7353" w:rsidRPr="00C3226F" w:rsidRDefault="002C7353" w:rsidP="00CD55D6">
            <w:pPr>
              <w:pStyle w:val="EEATabcenter"/>
              <w:rPr>
                <w:rFonts w:asciiTheme="majorHAnsi" w:hAnsiTheme="majorHAnsi" w:cstheme="majorHAnsi"/>
                <w:sz w:val="18"/>
                <w:szCs w:val="18"/>
                <w:lang w:val="de-AT" w:eastAsia="de-AT"/>
              </w:rPr>
            </w:pPr>
          </w:p>
        </w:tc>
      </w:tr>
      <w:tr w:rsidR="002C7353" w:rsidRPr="0020636B" w14:paraId="3E1E15AB"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3BB4F5EA"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lastRenderedPageBreak/>
              <w:t>9</w:t>
            </w:r>
          </w:p>
        </w:tc>
        <w:tc>
          <w:tcPr>
            <w:tcW w:w="1276" w:type="dxa"/>
            <w:tcBorders>
              <w:top w:val="single" w:sz="4" w:space="0" w:color="auto"/>
              <w:left w:val="nil"/>
              <w:bottom w:val="single" w:sz="4" w:space="0" w:color="auto"/>
              <w:right w:val="nil"/>
            </w:tcBorders>
            <w:shd w:val="clear" w:color="auto" w:fill="auto"/>
            <w:noWrap/>
            <w:vAlign w:val="bottom"/>
            <w:hideMark/>
          </w:tcPr>
          <w:p w14:paraId="284AEE3F"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1.7</w:t>
            </w:r>
          </w:p>
        </w:tc>
        <w:tc>
          <w:tcPr>
            <w:tcW w:w="1275" w:type="dxa"/>
            <w:tcBorders>
              <w:top w:val="single" w:sz="4" w:space="0" w:color="auto"/>
              <w:left w:val="nil"/>
              <w:bottom w:val="single" w:sz="4" w:space="0" w:color="auto"/>
              <w:right w:val="nil"/>
            </w:tcBorders>
            <w:shd w:val="clear" w:color="auto" w:fill="auto"/>
            <w:noWrap/>
            <w:vAlign w:val="bottom"/>
            <w:hideMark/>
          </w:tcPr>
          <w:p w14:paraId="5DA2B15D"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1.2</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457B2BC1" w14:textId="77777777" w:rsidR="002C7353" w:rsidRPr="00C3226F" w:rsidRDefault="002C7353" w:rsidP="00CD55D6">
            <w:pPr>
              <w:pStyle w:val="EEATabcenter"/>
              <w:rPr>
                <w:rFonts w:asciiTheme="majorHAnsi" w:hAnsiTheme="majorHAnsi" w:cstheme="majorHAnsi"/>
                <w:sz w:val="18"/>
                <w:szCs w:val="18"/>
                <w:lang w:val="de-AT" w:eastAsia="de-AT"/>
              </w:rPr>
            </w:pPr>
          </w:p>
        </w:tc>
        <w:tc>
          <w:tcPr>
            <w:tcW w:w="1133" w:type="dxa"/>
            <w:tcBorders>
              <w:top w:val="single" w:sz="4" w:space="0" w:color="auto"/>
              <w:left w:val="nil"/>
              <w:bottom w:val="single" w:sz="4" w:space="0" w:color="auto"/>
              <w:right w:val="nil"/>
            </w:tcBorders>
            <w:shd w:val="clear" w:color="auto" w:fill="auto"/>
            <w:noWrap/>
            <w:vAlign w:val="bottom"/>
            <w:hideMark/>
          </w:tcPr>
          <w:p w14:paraId="214A6554" w14:textId="77777777" w:rsidR="002C7353" w:rsidRPr="00C3226F" w:rsidRDefault="002C7353" w:rsidP="00CD55D6">
            <w:pPr>
              <w:pStyle w:val="EEATabcenter"/>
              <w:rPr>
                <w:rFonts w:asciiTheme="majorHAnsi" w:hAnsiTheme="majorHAnsi" w:cstheme="majorHAnsi"/>
                <w:sz w:val="18"/>
                <w:szCs w:val="18"/>
                <w:lang w:val="de-AT" w:eastAsia="de-AT"/>
              </w:rPr>
            </w:pPr>
          </w:p>
        </w:tc>
      </w:tr>
      <w:tr w:rsidR="002C7353" w:rsidRPr="0020636B" w14:paraId="0F80220A"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233205E8"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10</w:t>
            </w:r>
          </w:p>
        </w:tc>
        <w:tc>
          <w:tcPr>
            <w:tcW w:w="1276" w:type="dxa"/>
            <w:tcBorders>
              <w:top w:val="single" w:sz="4" w:space="0" w:color="auto"/>
              <w:left w:val="nil"/>
              <w:bottom w:val="single" w:sz="4" w:space="0" w:color="auto"/>
              <w:right w:val="nil"/>
            </w:tcBorders>
            <w:shd w:val="clear" w:color="auto" w:fill="auto"/>
            <w:noWrap/>
            <w:vAlign w:val="bottom"/>
            <w:hideMark/>
          </w:tcPr>
          <w:p w14:paraId="51196561"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1.7</w:t>
            </w:r>
          </w:p>
        </w:tc>
        <w:tc>
          <w:tcPr>
            <w:tcW w:w="1275" w:type="dxa"/>
            <w:tcBorders>
              <w:top w:val="single" w:sz="4" w:space="0" w:color="auto"/>
              <w:left w:val="nil"/>
              <w:bottom w:val="single" w:sz="4" w:space="0" w:color="auto"/>
              <w:right w:val="nil"/>
            </w:tcBorders>
            <w:shd w:val="clear" w:color="auto" w:fill="auto"/>
            <w:noWrap/>
            <w:vAlign w:val="bottom"/>
            <w:hideMark/>
          </w:tcPr>
          <w:p w14:paraId="56531ABF"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1.2</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4D35E96D"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c>
          <w:tcPr>
            <w:tcW w:w="1133" w:type="dxa"/>
            <w:tcBorders>
              <w:top w:val="single" w:sz="4" w:space="0" w:color="auto"/>
              <w:left w:val="nil"/>
              <w:bottom w:val="single" w:sz="4" w:space="0" w:color="auto"/>
              <w:right w:val="nil"/>
            </w:tcBorders>
            <w:shd w:val="clear" w:color="auto" w:fill="auto"/>
            <w:noWrap/>
            <w:vAlign w:val="bottom"/>
            <w:hideMark/>
          </w:tcPr>
          <w:p w14:paraId="2848E4D9"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1.3</w:t>
            </w:r>
          </w:p>
        </w:tc>
      </w:tr>
      <w:tr w:rsidR="002C7353" w:rsidRPr="0020636B" w14:paraId="7FE118C0"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41A69EDE"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11</w:t>
            </w:r>
          </w:p>
        </w:tc>
        <w:tc>
          <w:tcPr>
            <w:tcW w:w="1276" w:type="dxa"/>
            <w:tcBorders>
              <w:top w:val="single" w:sz="4" w:space="0" w:color="auto"/>
              <w:left w:val="nil"/>
              <w:bottom w:val="single" w:sz="4" w:space="0" w:color="auto"/>
              <w:right w:val="nil"/>
            </w:tcBorders>
            <w:shd w:val="clear" w:color="auto" w:fill="auto"/>
            <w:noWrap/>
            <w:vAlign w:val="bottom"/>
            <w:hideMark/>
          </w:tcPr>
          <w:p w14:paraId="30297E3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c>
          <w:tcPr>
            <w:tcW w:w="1275" w:type="dxa"/>
            <w:tcBorders>
              <w:top w:val="single" w:sz="4" w:space="0" w:color="auto"/>
              <w:left w:val="nil"/>
              <w:bottom w:val="single" w:sz="4" w:space="0" w:color="auto"/>
              <w:right w:val="nil"/>
            </w:tcBorders>
            <w:shd w:val="clear" w:color="auto" w:fill="auto"/>
            <w:noWrap/>
            <w:vAlign w:val="bottom"/>
            <w:hideMark/>
          </w:tcPr>
          <w:p w14:paraId="42DB0BF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1.3</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68661D33"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c>
          <w:tcPr>
            <w:tcW w:w="1133" w:type="dxa"/>
            <w:tcBorders>
              <w:top w:val="single" w:sz="4" w:space="0" w:color="auto"/>
              <w:left w:val="nil"/>
              <w:bottom w:val="single" w:sz="4" w:space="0" w:color="auto"/>
              <w:right w:val="nil"/>
            </w:tcBorders>
            <w:shd w:val="clear" w:color="auto" w:fill="auto"/>
            <w:noWrap/>
            <w:vAlign w:val="bottom"/>
            <w:hideMark/>
          </w:tcPr>
          <w:p w14:paraId="307B2903"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1.4</w:t>
            </w:r>
          </w:p>
        </w:tc>
      </w:tr>
      <w:tr w:rsidR="002C7353" w:rsidRPr="0020636B" w14:paraId="3F5A1388"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797F7495"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12</w:t>
            </w:r>
          </w:p>
        </w:tc>
        <w:tc>
          <w:tcPr>
            <w:tcW w:w="1276" w:type="dxa"/>
            <w:tcBorders>
              <w:top w:val="single" w:sz="4" w:space="0" w:color="auto"/>
              <w:left w:val="nil"/>
              <w:bottom w:val="single" w:sz="4" w:space="0" w:color="auto"/>
              <w:right w:val="nil"/>
            </w:tcBorders>
            <w:shd w:val="clear" w:color="auto" w:fill="auto"/>
            <w:noWrap/>
            <w:vAlign w:val="bottom"/>
            <w:hideMark/>
          </w:tcPr>
          <w:p w14:paraId="29A87BA1"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1.9</w:t>
            </w:r>
          </w:p>
        </w:tc>
        <w:tc>
          <w:tcPr>
            <w:tcW w:w="1275" w:type="dxa"/>
            <w:tcBorders>
              <w:top w:val="single" w:sz="4" w:space="0" w:color="auto"/>
              <w:left w:val="nil"/>
              <w:bottom w:val="single" w:sz="4" w:space="0" w:color="auto"/>
              <w:right w:val="nil"/>
            </w:tcBorders>
            <w:shd w:val="clear" w:color="auto" w:fill="auto"/>
            <w:noWrap/>
            <w:vAlign w:val="bottom"/>
            <w:hideMark/>
          </w:tcPr>
          <w:p w14:paraId="3F9BA0F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1.4</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5079DBAC"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133" w:type="dxa"/>
            <w:tcBorders>
              <w:top w:val="single" w:sz="4" w:space="0" w:color="auto"/>
              <w:left w:val="nil"/>
              <w:bottom w:val="single" w:sz="4" w:space="0" w:color="auto"/>
              <w:right w:val="nil"/>
            </w:tcBorders>
            <w:shd w:val="clear" w:color="auto" w:fill="auto"/>
            <w:noWrap/>
            <w:vAlign w:val="bottom"/>
            <w:hideMark/>
          </w:tcPr>
          <w:p w14:paraId="6DED301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1.4</w:t>
            </w:r>
          </w:p>
        </w:tc>
      </w:tr>
      <w:tr w:rsidR="002C7353" w:rsidRPr="0020636B" w14:paraId="79BACD97"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7DAC1EF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13</w:t>
            </w:r>
          </w:p>
        </w:tc>
        <w:tc>
          <w:tcPr>
            <w:tcW w:w="1276" w:type="dxa"/>
            <w:tcBorders>
              <w:top w:val="single" w:sz="4" w:space="0" w:color="auto"/>
              <w:left w:val="nil"/>
              <w:bottom w:val="single" w:sz="4" w:space="0" w:color="auto"/>
              <w:right w:val="nil"/>
            </w:tcBorders>
            <w:shd w:val="clear" w:color="auto" w:fill="auto"/>
            <w:noWrap/>
            <w:vAlign w:val="bottom"/>
            <w:hideMark/>
          </w:tcPr>
          <w:p w14:paraId="4F2C224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1.9</w:t>
            </w:r>
          </w:p>
        </w:tc>
        <w:tc>
          <w:tcPr>
            <w:tcW w:w="1275" w:type="dxa"/>
            <w:tcBorders>
              <w:top w:val="single" w:sz="4" w:space="0" w:color="auto"/>
              <w:left w:val="nil"/>
              <w:bottom w:val="single" w:sz="4" w:space="0" w:color="auto"/>
              <w:right w:val="nil"/>
            </w:tcBorders>
            <w:shd w:val="clear" w:color="auto" w:fill="auto"/>
            <w:noWrap/>
            <w:vAlign w:val="bottom"/>
            <w:hideMark/>
          </w:tcPr>
          <w:p w14:paraId="6B2AC04C"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1.4</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622015A6"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133" w:type="dxa"/>
            <w:tcBorders>
              <w:top w:val="single" w:sz="4" w:space="0" w:color="auto"/>
              <w:left w:val="nil"/>
              <w:bottom w:val="single" w:sz="4" w:space="0" w:color="auto"/>
              <w:right w:val="nil"/>
            </w:tcBorders>
            <w:shd w:val="clear" w:color="auto" w:fill="auto"/>
            <w:noWrap/>
            <w:vAlign w:val="bottom"/>
            <w:hideMark/>
          </w:tcPr>
          <w:p w14:paraId="03EB6CD5"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r>
      <w:tr w:rsidR="002C7353" w:rsidRPr="0020636B" w14:paraId="05F353AB"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0E6E0C2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14</w:t>
            </w:r>
          </w:p>
        </w:tc>
        <w:tc>
          <w:tcPr>
            <w:tcW w:w="1276" w:type="dxa"/>
            <w:tcBorders>
              <w:top w:val="single" w:sz="4" w:space="0" w:color="auto"/>
              <w:left w:val="nil"/>
              <w:bottom w:val="single" w:sz="4" w:space="0" w:color="auto"/>
              <w:right w:val="nil"/>
            </w:tcBorders>
            <w:shd w:val="clear" w:color="auto" w:fill="auto"/>
            <w:noWrap/>
            <w:vAlign w:val="bottom"/>
            <w:hideMark/>
          </w:tcPr>
          <w:p w14:paraId="2ED3DB41"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c>
          <w:tcPr>
            <w:tcW w:w="1275" w:type="dxa"/>
            <w:tcBorders>
              <w:top w:val="single" w:sz="4" w:space="0" w:color="auto"/>
              <w:left w:val="nil"/>
              <w:bottom w:val="single" w:sz="4" w:space="0" w:color="auto"/>
              <w:right w:val="nil"/>
            </w:tcBorders>
            <w:shd w:val="clear" w:color="auto" w:fill="auto"/>
            <w:noWrap/>
            <w:vAlign w:val="bottom"/>
            <w:hideMark/>
          </w:tcPr>
          <w:p w14:paraId="108F05DD"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59E09A11"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2.3</w:t>
            </w:r>
          </w:p>
        </w:tc>
        <w:tc>
          <w:tcPr>
            <w:tcW w:w="1133" w:type="dxa"/>
            <w:tcBorders>
              <w:top w:val="single" w:sz="4" w:space="0" w:color="auto"/>
              <w:left w:val="nil"/>
              <w:bottom w:val="single" w:sz="4" w:space="0" w:color="auto"/>
              <w:right w:val="nil"/>
            </w:tcBorders>
            <w:shd w:val="clear" w:color="auto" w:fill="auto"/>
            <w:noWrap/>
            <w:vAlign w:val="bottom"/>
            <w:hideMark/>
          </w:tcPr>
          <w:p w14:paraId="18837384"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1.6</w:t>
            </w:r>
          </w:p>
        </w:tc>
      </w:tr>
      <w:tr w:rsidR="002C7353" w:rsidRPr="0020636B" w14:paraId="26588884"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62DD69E3"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15</w:t>
            </w:r>
          </w:p>
        </w:tc>
        <w:tc>
          <w:tcPr>
            <w:tcW w:w="1276" w:type="dxa"/>
            <w:tcBorders>
              <w:top w:val="single" w:sz="4" w:space="0" w:color="auto"/>
              <w:left w:val="nil"/>
              <w:bottom w:val="single" w:sz="4" w:space="0" w:color="auto"/>
              <w:right w:val="nil"/>
            </w:tcBorders>
            <w:shd w:val="clear" w:color="auto" w:fill="auto"/>
            <w:noWrap/>
            <w:vAlign w:val="bottom"/>
            <w:hideMark/>
          </w:tcPr>
          <w:p w14:paraId="63340E17"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c>
          <w:tcPr>
            <w:tcW w:w="1275" w:type="dxa"/>
            <w:tcBorders>
              <w:top w:val="single" w:sz="4" w:space="0" w:color="auto"/>
              <w:left w:val="nil"/>
              <w:bottom w:val="single" w:sz="4" w:space="0" w:color="auto"/>
              <w:right w:val="nil"/>
            </w:tcBorders>
            <w:shd w:val="clear" w:color="auto" w:fill="auto"/>
            <w:noWrap/>
            <w:vAlign w:val="bottom"/>
            <w:hideMark/>
          </w:tcPr>
          <w:p w14:paraId="5F0D866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1.6</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24E94B6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2.4</w:t>
            </w:r>
          </w:p>
        </w:tc>
        <w:tc>
          <w:tcPr>
            <w:tcW w:w="1133" w:type="dxa"/>
            <w:tcBorders>
              <w:top w:val="single" w:sz="4" w:space="0" w:color="auto"/>
              <w:left w:val="nil"/>
              <w:bottom w:val="single" w:sz="4" w:space="0" w:color="auto"/>
              <w:right w:val="nil"/>
            </w:tcBorders>
            <w:shd w:val="clear" w:color="auto" w:fill="auto"/>
            <w:noWrap/>
            <w:vAlign w:val="bottom"/>
            <w:hideMark/>
          </w:tcPr>
          <w:p w14:paraId="24FD5953"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1.7</w:t>
            </w:r>
          </w:p>
        </w:tc>
      </w:tr>
      <w:tr w:rsidR="002C7353" w:rsidRPr="0020636B" w14:paraId="314DC0B7"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2D79EEBF"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16</w:t>
            </w:r>
          </w:p>
        </w:tc>
        <w:tc>
          <w:tcPr>
            <w:tcW w:w="1276" w:type="dxa"/>
            <w:tcBorders>
              <w:top w:val="single" w:sz="4" w:space="0" w:color="auto"/>
              <w:left w:val="nil"/>
              <w:bottom w:val="single" w:sz="4" w:space="0" w:color="auto"/>
              <w:right w:val="nil"/>
            </w:tcBorders>
            <w:shd w:val="clear" w:color="auto" w:fill="auto"/>
            <w:noWrap/>
            <w:vAlign w:val="bottom"/>
            <w:hideMark/>
          </w:tcPr>
          <w:p w14:paraId="39C8D11B"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c>
          <w:tcPr>
            <w:tcW w:w="1275" w:type="dxa"/>
            <w:tcBorders>
              <w:top w:val="single" w:sz="4" w:space="0" w:color="auto"/>
              <w:left w:val="nil"/>
              <w:bottom w:val="single" w:sz="4" w:space="0" w:color="auto"/>
              <w:right w:val="nil"/>
            </w:tcBorders>
            <w:shd w:val="clear" w:color="auto" w:fill="auto"/>
            <w:noWrap/>
            <w:vAlign w:val="bottom"/>
            <w:hideMark/>
          </w:tcPr>
          <w:p w14:paraId="680AC9BB"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1.6</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00E9EB5F"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c>
          <w:tcPr>
            <w:tcW w:w="1133" w:type="dxa"/>
            <w:tcBorders>
              <w:top w:val="single" w:sz="4" w:space="0" w:color="auto"/>
              <w:left w:val="nil"/>
              <w:bottom w:val="single" w:sz="4" w:space="0" w:color="auto"/>
              <w:right w:val="nil"/>
            </w:tcBorders>
            <w:shd w:val="clear" w:color="auto" w:fill="auto"/>
            <w:noWrap/>
            <w:vAlign w:val="bottom"/>
            <w:hideMark/>
          </w:tcPr>
          <w:p w14:paraId="28F74639"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r>
      <w:tr w:rsidR="002C7353" w:rsidRPr="0020636B" w14:paraId="6F1D9C6C"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0EE700D1"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17</w:t>
            </w:r>
          </w:p>
        </w:tc>
        <w:tc>
          <w:tcPr>
            <w:tcW w:w="1276" w:type="dxa"/>
            <w:tcBorders>
              <w:top w:val="single" w:sz="4" w:space="0" w:color="auto"/>
              <w:left w:val="nil"/>
              <w:bottom w:val="single" w:sz="4" w:space="0" w:color="auto"/>
              <w:right w:val="nil"/>
            </w:tcBorders>
            <w:shd w:val="clear" w:color="auto" w:fill="auto"/>
            <w:noWrap/>
            <w:vAlign w:val="bottom"/>
            <w:hideMark/>
          </w:tcPr>
          <w:p w14:paraId="4F1702F7"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275" w:type="dxa"/>
            <w:tcBorders>
              <w:top w:val="single" w:sz="4" w:space="0" w:color="auto"/>
              <w:left w:val="nil"/>
              <w:bottom w:val="single" w:sz="4" w:space="0" w:color="auto"/>
              <w:right w:val="nil"/>
            </w:tcBorders>
            <w:shd w:val="clear" w:color="auto" w:fill="auto"/>
            <w:noWrap/>
            <w:vAlign w:val="bottom"/>
            <w:hideMark/>
          </w:tcPr>
          <w:p w14:paraId="40D9A64B"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1.7</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78CD6442"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2.6</w:t>
            </w:r>
          </w:p>
        </w:tc>
        <w:tc>
          <w:tcPr>
            <w:tcW w:w="1133" w:type="dxa"/>
            <w:tcBorders>
              <w:top w:val="single" w:sz="4" w:space="0" w:color="auto"/>
              <w:left w:val="nil"/>
              <w:bottom w:val="single" w:sz="4" w:space="0" w:color="auto"/>
              <w:right w:val="nil"/>
            </w:tcBorders>
            <w:shd w:val="clear" w:color="auto" w:fill="auto"/>
            <w:noWrap/>
            <w:vAlign w:val="bottom"/>
            <w:hideMark/>
          </w:tcPr>
          <w:p w14:paraId="7A8C3015"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r>
      <w:tr w:rsidR="002C7353" w:rsidRPr="0020636B" w14:paraId="4145E1EA"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5E06D2BE"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c>
          <w:tcPr>
            <w:tcW w:w="1276" w:type="dxa"/>
            <w:tcBorders>
              <w:top w:val="single" w:sz="4" w:space="0" w:color="auto"/>
              <w:left w:val="nil"/>
              <w:bottom w:val="single" w:sz="4" w:space="0" w:color="auto"/>
              <w:right w:val="nil"/>
            </w:tcBorders>
            <w:shd w:val="clear" w:color="auto" w:fill="auto"/>
            <w:noWrap/>
            <w:vAlign w:val="bottom"/>
            <w:hideMark/>
          </w:tcPr>
          <w:p w14:paraId="46CFB870"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2.3</w:t>
            </w:r>
          </w:p>
        </w:tc>
        <w:tc>
          <w:tcPr>
            <w:tcW w:w="1275" w:type="dxa"/>
            <w:tcBorders>
              <w:top w:val="single" w:sz="4" w:space="0" w:color="auto"/>
              <w:left w:val="nil"/>
              <w:bottom w:val="single" w:sz="4" w:space="0" w:color="auto"/>
              <w:right w:val="nil"/>
            </w:tcBorders>
            <w:shd w:val="clear" w:color="auto" w:fill="auto"/>
            <w:noWrap/>
            <w:vAlign w:val="bottom"/>
            <w:hideMark/>
          </w:tcPr>
          <w:p w14:paraId="29E36C5E"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14C11729"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2.7</w:t>
            </w:r>
          </w:p>
        </w:tc>
        <w:tc>
          <w:tcPr>
            <w:tcW w:w="1133" w:type="dxa"/>
            <w:tcBorders>
              <w:top w:val="single" w:sz="4" w:space="0" w:color="auto"/>
              <w:left w:val="nil"/>
              <w:bottom w:val="single" w:sz="4" w:space="0" w:color="auto"/>
              <w:right w:val="nil"/>
            </w:tcBorders>
            <w:shd w:val="clear" w:color="auto" w:fill="auto"/>
            <w:noWrap/>
            <w:vAlign w:val="bottom"/>
            <w:hideMark/>
          </w:tcPr>
          <w:p w14:paraId="4EA23E89"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1.9</w:t>
            </w:r>
          </w:p>
        </w:tc>
      </w:tr>
      <w:tr w:rsidR="002C7353" w:rsidRPr="0020636B" w14:paraId="71BB3AAF"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30F8A72C"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19</w:t>
            </w:r>
          </w:p>
        </w:tc>
        <w:tc>
          <w:tcPr>
            <w:tcW w:w="1276" w:type="dxa"/>
            <w:tcBorders>
              <w:top w:val="single" w:sz="4" w:space="0" w:color="auto"/>
              <w:left w:val="nil"/>
              <w:bottom w:val="single" w:sz="4" w:space="0" w:color="auto"/>
              <w:right w:val="nil"/>
            </w:tcBorders>
            <w:shd w:val="clear" w:color="auto" w:fill="auto"/>
            <w:noWrap/>
            <w:vAlign w:val="bottom"/>
            <w:hideMark/>
          </w:tcPr>
          <w:p w14:paraId="4E3222AB"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2.3</w:t>
            </w:r>
          </w:p>
        </w:tc>
        <w:tc>
          <w:tcPr>
            <w:tcW w:w="1275" w:type="dxa"/>
            <w:tcBorders>
              <w:top w:val="single" w:sz="4" w:space="0" w:color="auto"/>
              <w:left w:val="nil"/>
              <w:bottom w:val="single" w:sz="4" w:space="0" w:color="auto"/>
              <w:right w:val="nil"/>
            </w:tcBorders>
            <w:shd w:val="clear" w:color="auto" w:fill="auto"/>
            <w:noWrap/>
            <w:vAlign w:val="bottom"/>
            <w:hideMark/>
          </w:tcPr>
          <w:p w14:paraId="7468D23C"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1.8</w:t>
            </w:r>
          </w:p>
        </w:tc>
        <w:tc>
          <w:tcPr>
            <w:tcW w:w="1276" w:type="dxa"/>
            <w:gridSpan w:val="2"/>
            <w:tcBorders>
              <w:top w:val="single" w:sz="4" w:space="0" w:color="auto"/>
              <w:left w:val="nil"/>
              <w:bottom w:val="single" w:sz="4" w:space="0" w:color="auto"/>
              <w:right w:val="nil"/>
            </w:tcBorders>
            <w:shd w:val="clear" w:color="auto" w:fill="auto"/>
            <w:noWrap/>
            <w:vAlign w:val="bottom"/>
            <w:hideMark/>
          </w:tcPr>
          <w:p w14:paraId="74563903"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c>
          <w:tcPr>
            <w:tcW w:w="1133" w:type="dxa"/>
            <w:tcBorders>
              <w:top w:val="single" w:sz="4" w:space="0" w:color="auto"/>
              <w:left w:val="nil"/>
              <w:bottom w:val="single" w:sz="4" w:space="0" w:color="auto"/>
              <w:right w:val="nil"/>
            </w:tcBorders>
            <w:shd w:val="clear" w:color="auto" w:fill="auto"/>
            <w:noWrap/>
            <w:vAlign w:val="bottom"/>
            <w:hideMark/>
          </w:tcPr>
          <w:p w14:paraId="2AD6139D" w14:textId="77777777" w:rsidR="002C7353" w:rsidRPr="00C3226F" w:rsidRDefault="002C7353" w:rsidP="00CD55D6">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r>
      <w:tr w:rsidR="00097524" w:rsidRPr="0020636B" w14:paraId="71070596"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6388FCC5" w14:textId="2CE62BEF"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c>
          <w:tcPr>
            <w:tcW w:w="1276" w:type="dxa"/>
            <w:tcBorders>
              <w:top w:val="single" w:sz="4" w:space="0" w:color="auto"/>
              <w:left w:val="nil"/>
              <w:bottom w:val="single" w:sz="4" w:space="0" w:color="auto"/>
              <w:right w:val="nil"/>
            </w:tcBorders>
            <w:shd w:val="clear" w:color="auto" w:fill="auto"/>
            <w:noWrap/>
            <w:vAlign w:val="bottom"/>
          </w:tcPr>
          <w:p w14:paraId="1955F047" w14:textId="15303091"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2.4</w:t>
            </w:r>
          </w:p>
        </w:tc>
        <w:tc>
          <w:tcPr>
            <w:tcW w:w="1275" w:type="dxa"/>
            <w:tcBorders>
              <w:top w:val="single" w:sz="4" w:space="0" w:color="auto"/>
              <w:left w:val="nil"/>
              <w:bottom w:val="single" w:sz="4" w:space="0" w:color="auto"/>
              <w:right w:val="nil"/>
            </w:tcBorders>
            <w:shd w:val="clear" w:color="auto" w:fill="auto"/>
            <w:noWrap/>
            <w:vAlign w:val="bottom"/>
          </w:tcPr>
          <w:p w14:paraId="10EF9E0D" w14:textId="74C3DBC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1.9</w:t>
            </w:r>
          </w:p>
        </w:tc>
        <w:tc>
          <w:tcPr>
            <w:tcW w:w="1276" w:type="dxa"/>
            <w:gridSpan w:val="2"/>
            <w:tcBorders>
              <w:top w:val="single" w:sz="4" w:space="0" w:color="auto"/>
              <w:left w:val="nil"/>
              <w:bottom w:val="single" w:sz="4" w:space="0" w:color="auto"/>
              <w:right w:val="nil"/>
            </w:tcBorders>
            <w:shd w:val="clear" w:color="auto" w:fill="auto"/>
            <w:noWrap/>
            <w:vAlign w:val="bottom"/>
          </w:tcPr>
          <w:p w14:paraId="538F0C6C" w14:textId="18D253F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c>
          <w:tcPr>
            <w:tcW w:w="1133" w:type="dxa"/>
            <w:tcBorders>
              <w:top w:val="single" w:sz="4" w:space="0" w:color="auto"/>
              <w:left w:val="nil"/>
              <w:bottom w:val="single" w:sz="4" w:space="0" w:color="auto"/>
              <w:right w:val="nil"/>
            </w:tcBorders>
            <w:shd w:val="clear" w:color="auto" w:fill="auto"/>
            <w:noWrap/>
            <w:vAlign w:val="bottom"/>
          </w:tcPr>
          <w:p w14:paraId="31DC71D0" w14:textId="57EC8824"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r>
      <w:tr w:rsidR="00097524" w:rsidRPr="0020636B" w14:paraId="359E05CF"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19AE56CF" w14:textId="282FC39E"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c>
          <w:tcPr>
            <w:tcW w:w="1276" w:type="dxa"/>
            <w:tcBorders>
              <w:top w:val="single" w:sz="4" w:space="0" w:color="auto"/>
              <w:left w:val="nil"/>
              <w:bottom w:val="single" w:sz="4" w:space="0" w:color="auto"/>
              <w:right w:val="nil"/>
            </w:tcBorders>
            <w:shd w:val="clear" w:color="auto" w:fill="auto"/>
            <w:noWrap/>
            <w:vAlign w:val="bottom"/>
          </w:tcPr>
          <w:p w14:paraId="5044F387" w14:textId="4B704583"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c>
          <w:tcPr>
            <w:tcW w:w="1275" w:type="dxa"/>
            <w:tcBorders>
              <w:top w:val="single" w:sz="4" w:space="0" w:color="auto"/>
              <w:left w:val="nil"/>
              <w:bottom w:val="single" w:sz="4" w:space="0" w:color="auto"/>
              <w:right w:val="nil"/>
            </w:tcBorders>
            <w:shd w:val="clear" w:color="auto" w:fill="auto"/>
            <w:noWrap/>
            <w:vAlign w:val="bottom"/>
          </w:tcPr>
          <w:p w14:paraId="003F61F5" w14:textId="2D278683"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c>
          <w:tcPr>
            <w:tcW w:w="1276" w:type="dxa"/>
            <w:gridSpan w:val="2"/>
            <w:tcBorders>
              <w:top w:val="single" w:sz="4" w:space="0" w:color="auto"/>
              <w:left w:val="nil"/>
              <w:bottom w:val="single" w:sz="4" w:space="0" w:color="auto"/>
              <w:right w:val="nil"/>
            </w:tcBorders>
            <w:shd w:val="clear" w:color="auto" w:fill="auto"/>
            <w:noWrap/>
            <w:vAlign w:val="bottom"/>
          </w:tcPr>
          <w:p w14:paraId="1A9D944D" w14:textId="606013D9"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2.9</w:t>
            </w:r>
          </w:p>
        </w:tc>
        <w:tc>
          <w:tcPr>
            <w:tcW w:w="1133" w:type="dxa"/>
            <w:tcBorders>
              <w:top w:val="single" w:sz="4" w:space="0" w:color="auto"/>
              <w:left w:val="nil"/>
              <w:bottom w:val="single" w:sz="4" w:space="0" w:color="auto"/>
              <w:right w:val="nil"/>
            </w:tcBorders>
            <w:shd w:val="clear" w:color="auto" w:fill="auto"/>
            <w:noWrap/>
            <w:vAlign w:val="bottom"/>
          </w:tcPr>
          <w:p w14:paraId="2A4F0C77" w14:textId="60E657E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r>
      <w:tr w:rsidR="00097524" w:rsidRPr="0020636B" w14:paraId="3E840260"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1B61587A" w14:textId="7FC629B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276" w:type="dxa"/>
            <w:tcBorders>
              <w:top w:val="single" w:sz="4" w:space="0" w:color="auto"/>
              <w:left w:val="nil"/>
              <w:bottom w:val="single" w:sz="4" w:space="0" w:color="auto"/>
              <w:right w:val="nil"/>
            </w:tcBorders>
            <w:shd w:val="clear" w:color="auto" w:fill="auto"/>
            <w:noWrap/>
            <w:vAlign w:val="bottom"/>
          </w:tcPr>
          <w:p w14:paraId="008BFEF7" w14:textId="703BC059"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c>
          <w:tcPr>
            <w:tcW w:w="1275" w:type="dxa"/>
            <w:tcBorders>
              <w:top w:val="single" w:sz="4" w:space="0" w:color="auto"/>
              <w:left w:val="nil"/>
              <w:bottom w:val="single" w:sz="4" w:space="0" w:color="auto"/>
              <w:right w:val="nil"/>
            </w:tcBorders>
            <w:shd w:val="clear" w:color="auto" w:fill="auto"/>
            <w:noWrap/>
            <w:vAlign w:val="bottom"/>
          </w:tcPr>
          <w:p w14:paraId="15C0F784" w14:textId="3F4F193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2.0</w:t>
            </w:r>
          </w:p>
        </w:tc>
        <w:tc>
          <w:tcPr>
            <w:tcW w:w="1276" w:type="dxa"/>
            <w:gridSpan w:val="2"/>
            <w:tcBorders>
              <w:top w:val="single" w:sz="4" w:space="0" w:color="auto"/>
              <w:left w:val="nil"/>
              <w:bottom w:val="single" w:sz="4" w:space="0" w:color="auto"/>
              <w:right w:val="nil"/>
            </w:tcBorders>
            <w:shd w:val="clear" w:color="auto" w:fill="auto"/>
            <w:noWrap/>
            <w:vAlign w:val="bottom"/>
          </w:tcPr>
          <w:p w14:paraId="26E435C2" w14:textId="5887D2DC"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3.0</w:t>
            </w:r>
          </w:p>
        </w:tc>
        <w:tc>
          <w:tcPr>
            <w:tcW w:w="1133" w:type="dxa"/>
            <w:tcBorders>
              <w:top w:val="single" w:sz="4" w:space="0" w:color="auto"/>
              <w:left w:val="nil"/>
              <w:bottom w:val="single" w:sz="4" w:space="0" w:color="auto"/>
              <w:right w:val="nil"/>
            </w:tcBorders>
            <w:shd w:val="clear" w:color="auto" w:fill="auto"/>
            <w:noWrap/>
            <w:vAlign w:val="bottom"/>
          </w:tcPr>
          <w:p w14:paraId="1BEF184D" w14:textId="6DB1275F"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r>
      <w:tr w:rsidR="00097524" w:rsidRPr="0020636B" w14:paraId="61FE172A"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7B4DC35D" w14:textId="4040657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23</w:t>
            </w:r>
          </w:p>
        </w:tc>
        <w:tc>
          <w:tcPr>
            <w:tcW w:w="1276" w:type="dxa"/>
            <w:tcBorders>
              <w:top w:val="single" w:sz="4" w:space="0" w:color="auto"/>
              <w:left w:val="nil"/>
              <w:bottom w:val="single" w:sz="4" w:space="0" w:color="auto"/>
              <w:right w:val="nil"/>
            </w:tcBorders>
            <w:shd w:val="clear" w:color="auto" w:fill="auto"/>
            <w:noWrap/>
            <w:vAlign w:val="bottom"/>
          </w:tcPr>
          <w:p w14:paraId="714CD37F" w14:textId="01816D1C"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2.6</w:t>
            </w:r>
          </w:p>
        </w:tc>
        <w:tc>
          <w:tcPr>
            <w:tcW w:w="1275" w:type="dxa"/>
            <w:tcBorders>
              <w:top w:val="single" w:sz="4" w:space="0" w:color="auto"/>
              <w:left w:val="nil"/>
              <w:bottom w:val="single" w:sz="4" w:space="0" w:color="auto"/>
              <w:right w:val="nil"/>
            </w:tcBorders>
            <w:shd w:val="clear" w:color="auto" w:fill="auto"/>
            <w:noWrap/>
            <w:vAlign w:val="bottom"/>
          </w:tcPr>
          <w:p w14:paraId="2B5AB423" w14:textId="5D438DB5"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2.1</w:t>
            </w:r>
          </w:p>
        </w:tc>
        <w:tc>
          <w:tcPr>
            <w:tcW w:w="1276" w:type="dxa"/>
            <w:gridSpan w:val="2"/>
            <w:tcBorders>
              <w:top w:val="single" w:sz="4" w:space="0" w:color="auto"/>
              <w:left w:val="nil"/>
              <w:bottom w:val="single" w:sz="4" w:space="0" w:color="auto"/>
              <w:right w:val="nil"/>
            </w:tcBorders>
            <w:shd w:val="clear" w:color="auto" w:fill="auto"/>
            <w:noWrap/>
            <w:vAlign w:val="bottom"/>
          </w:tcPr>
          <w:p w14:paraId="51BD6613" w14:textId="03A03DFD"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3.1</w:t>
            </w:r>
          </w:p>
        </w:tc>
        <w:tc>
          <w:tcPr>
            <w:tcW w:w="1133" w:type="dxa"/>
            <w:tcBorders>
              <w:top w:val="single" w:sz="4" w:space="0" w:color="auto"/>
              <w:left w:val="nil"/>
              <w:bottom w:val="single" w:sz="4" w:space="0" w:color="auto"/>
              <w:right w:val="nil"/>
            </w:tcBorders>
            <w:shd w:val="clear" w:color="auto" w:fill="auto"/>
            <w:noWrap/>
            <w:vAlign w:val="bottom"/>
          </w:tcPr>
          <w:p w14:paraId="6A01CC0E" w14:textId="3576BAB3"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2.3</w:t>
            </w:r>
          </w:p>
        </w:tc>
      </w:tr>
      <w:tr w:rsidR="00097524" w:rsidRPr="0020636B" w14:paraId="7BC6B82E"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79B9EB2B" w14:textId="26E529D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24</w:t>
            </w:r>
          </w:p>
        </w:tc>
        <w:tc>
          <w:tcPr>
            <w:tcW w:w="1276" w:type="dxa"/>
            <w:tcBorders>
              <w:top w:val="single" w:sz="4" w:space="0" w:color="auto"/>
              <w:left w:val="nil"/>
              <w:bottom w:val="single" w:sz="4" w:space="0" w:color="auto"/>
              <w:right w:val="nil"/>
            </w:tcBorders>
            <w:shd w:val="clear" w:color="auto" w:fill="auto"/>
            <w:noWrap/>
            <w:vAlign w:val="bottom"/>
          </w:tcPr>
          <w:p w14:paraId="6C7FDB3C" w14:textId="4081E0A9"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2.7</w:t>
            </w:r>
          </w:p>
        </w:tc>
        <w:tc>
          <w:tcPr>
            <w:tcW w:w="1275" w:type="dxa"/>
            <w:tcBorders>
              <w:top w:val="single" w:sz="4" w:space="0" w:color="auto"/>
              <w:left w:val="nil"/>
              <w:bottom w:val="single" w:sz="4" w:space="0" w:color="auto"/>
              <w:right w:val="nil"/>
            </w:tcBorders>
            <w:shd w:val="clear" w:color="auto" w:fill="auto"/>
            <w:noWrap/>
            <w:vAlign w:val="bottom"/>
          </w:tcPr>
          <w:p w14:paraId="000A8E81" w14:textId="519493E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276" w:type="dxa"/>
            <w:gridSpan w:val="2"/>
            <w:tcBorders>
              <w:top w:val="single" w:sz="4" w:space="0" w:color="auto"/>
              <w:left w:val="nil"/>
              <w:bottom w:val="single" w:sz="4" w:space="0" w:color="auto"/>
              <w:right w:val="nil"/>
            </w:tcBorders>
            <w:shd w:val="clear" w:color="auto" w:fill="auto"/>
            <w:noWrap/>
            <w:vAlign w:val="bottom"/>
          </w:tcPr>
          <w:p w14:paraId="30098829" w14:textId="4BFADCF5"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3.2</w:t>
            </w:r>
          </w:p>
        </w:tc>
        <w:tc>
          <w:tcPr>
            <w:tcW w:w="1133" w:type="dxa"/>
            <w:tcBorders>
              <w:top w:val="single" w:sz="4" w:space="0" w:color="auto"/>
              <w:left w:val="nil"/>
              <w:bottom w:val="single" w:sz="4" w:space="0" w:color="auto"/>
              <w:right w:val="nil"/>
            </w:tcBorders>
            <w:shd w:val="clear" w:color="auto" w:fill="auto"/>
            <w:noWrap/>
            <w:vAlign w:val="bottom"/>
          </w:tcPr>
          <w:p w14:paraId="78B9678E" w14:textId="71FB8D4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2.4</w:t>
            </w:r>
          </w:p>
        </w:tc>
      </w:tr>
      <w:tr w:rsidR="00097524" w:rsidRPr="0020636B" w14:paraId="37921946"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49750906" w14:textId="5A66BFD1"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c>
          <w:tcPr>
            <w:tcW w:w="1276" w:type="dxa"/>
            <w:tcBorders>
              <w:top w:val="single" w:sz="4" w:space="0" w:color="auto"/>
              <w:left w:val="nil"/>
              <w:bottom w:val="single" w:sz="4" w:space="0" w:color="auto"/>
              <w:right w:val="nil"/>
            </w:tcBorders>
            <w:shd w:val="clear" w:color="auto" w:fill="auto"/>
            <w:noWrap/>
            <w:vAlign w:val="bottom"/>
          </w:tcPr>
          <w:p w14:paraId="29E80073" w14:textId="32D9A099"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c>
          <w:tcPr>
            <w:tcW w:w="1275" w:type="dxa"/>
            <w:tcBorders>
              <w:top w:val="single" w:sz="4" w:space="0" w:color="auto"/>
              <w:left w:val="nil"/>
              <w:bottom w:val="single" w:sz="4" w:space="0" w:color="auto"/>
              <w:right w:val="nil"/>
            </w:tcBorders>
            <w:shd w:val="clear" w:color="auto" w:fill="auto"/>
            <w:noWrap/>
            <w:vAlign w:val="bottom"/>
          </w:tcPr>
          <w:p w14:paraId="44660A61" w14:textId="61F2E818"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2.2</w:t>
            </w:r>
          </w:p>
        </w:tc>
        <w:tc>
          <w:tcPr>
            <w:tcW w:w="1276" w:type="dxa"/>
            <w:gridSpan w:val="2"/>
            <w:tcBorders>
              <w:top w:val="single" w:sz="4" w:space="0" w:color="auto"/>
              <w:left w:val="nil"/>
              <w:bottom w:val="single" w:sz="4" w:space="0" w:color="auto"/>
              <w:right w:val="nil"/>
            </w:tcBorders>
            <w:shd w:val="clear" w:color="auto" w:fill="auto"/>
            <w:noWrap/>
            <w:vAlign w:val="bottom"/>
          </w:tcPr>
          <w:p w14:paraId="19A8F379" w14:textId="3EBECABE"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3.3</w:t>
            </w:r>
          </w:p>
        </w:tc>
        <w:tc>
          <w:tcPr>
            <w:tcW w:w="1133" w:type="dxa"/>
            <w:tcBorders>
              <w:top w:val="single" w:sz="4" w:space="0" w:color="auto"/>
              <w:left w:val="nil"/>
              <w:bottom w:val="single" w:sz="4" w:space="0" w:color="auto"/>
              <w:right w:val="nil"/>
            </w:tcBorders>
            <w:shd w:val="clear" w:color="auto" w:fill="auto"/>
            <w:noWrap/>
            <w:vAlign w:val="bottom"/>
          </w:tcPr>
          <w:p w14:paraId="01912055" w14:textId="3874B5B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r>
      <w:tr w:rsidR="00097524" w:rsidRPr="0020636B" w14:paraId="7F47050E"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489EA6A4" w14:textId="64BD7EFF"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26</w:t>
            </w:r>
          </w:p>
        </w:tc>
        <w:tc>
          <w:tcPr>
            <w:tcW w:w="1276" w:type="dxa"/>
            <w:tcBorders>
              <w:top w:val="single" w:sz="4" w:space="0" w:color="auto"/>
              <w:left w:val="nil"/>
              <w:bottom w:val="single" w:sz="4" w:space="0" w:color="auto"/>
              <w:right w:val="nil"/>
            </w:tcBorders>
            <w:shd w:val="clear" w:color="auto" w:fill="auto"/>
            <w:noWrap/>
            <w:vAlign w:val="bottom"/>
          </w:tcPr>
          <w:p w14:paraId="096BC323"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0629DC3A"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0EF24DA1" w14:textId="54BDD9FF"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3.4</w:t>
            </w:r>
          </w:p>
        </w:tc>
        <w:tc>
          <w:tcPr>
            <w:tcW w:w="1133" w:type="dxa"/>
            <w:tcBorders>
              <w:top w:val="single" w:sz="4" w:space="0" w:color="auto"/>
              <w:left w:val="nil"/>
              <w:bottom w:val="single" w:sz="4" w:space="0" w:color="auto"/>
              <w:right w:val="nil"/>
            </w:tcBorders>
            <w:shd w:val="clear" w:color="auto" w:fill="auto"/>
            <w:noWrap/>
            <w:vAlign w:val="bottom"/>
          </w:tcPr>
          <w:p w14:paraId="0098C194" w14:textId="1260F1E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2.5</w:t>
            </w:r>
          </w:p>
        </w:tc>
      </w:tr>
      <w:tr w:rsidR="00097524" w:rsidRPr="0020636B" w14:paraId="51AD0DD8"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6773C4B1" w14:textId="2C2D758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27</w:t>
            </w:r>
          </w:p>
        </w:tc>
        <w:tc>
          <w:tcPr>
            <w:tcW w:w="1276" w:type="dxa"/>
            <w:tcBorders>
              <w:top w:val="single" w:sz="4" w:space="0" w:color="auto"/>
              <w:left w:val="nil"/>
              <w:bottom w:val="single" w:sz="4" w:space="0" w:color="auto"/>
              <w:right w:val="nil"/>
            </w:tcBorders>
            <w:shd w:val="clear" w:color="auto" w:fill="auto"/>
            <w:noWrap/>
            <w:vAlign w:val="bottom"/>
          </w:tcPr>
          <w:p w14:paraId="5F4D9D6E"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3F9D6AB7"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1513BB96" w14:textId="67027583"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3.4</w:t>
            </w:r>
          </w:p>
        </w:tc>
        <w:tc>
          <w:tcPr>
            <w:tcW w:w="1133" w:type="dxa"/>
            <w:tcBorders>
              <w:top w:val="single" w:sz="4" w:space="0" w:color="auto"/>
              <w:left w:val="nil"/>
              <w:bottom w:val="single" w:sz="4" w:space="0" w:color="auto"/>
              <w:right w:val="nil"/>
            </w:tcBorders>
            <w:shd w:val="clear" w:color="auto" w:fill="auto"/>
            <w:noWrap/>
            <w:vAlign w:val="bottom"/>
          </w:tcPr>
          <w:p w14:paraId="31101973" w14:textId="646308A4"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2.6</w:t>
            </w:r>
          </w:p>
        </w:tc>
      </w:tr>
      <w:tr w:rsidR="00097524" w:rsidRPr="0020636B" w14:paraId="6F85C42D"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1C26D3D8" w14:textId="464F648D"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c>
          <w:tcPr>
            <w:tcW w:w="1276" w:type="dxa"/>
            <w:tcBorders>
              <w:top w:val="single" w:sz="4" w:space="0" w:color="auto"/>
              <w:left w:val="nil"/>
              <w:bottom w:val="single" w:sz="4" w:space="0" w:color="auto"/>
              <w:right w:val="nil"/>
            </w:tcBorders>
            <w:shd w:val="clear" w:color="auto" w:fill="auto"/>
            <w:noWrap/>
            <w:vAlign w:val="bottom"/>
          </w:tcPr>
          <w:p w14:paraId="1899D62B"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60B9FB26"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59E4BE3D" w14:textId="6ED1616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3.5</w:t>
            </w:r>
          </w:p>
        </w:tc>
        <w:tc>
          <w:tcPr>
            <w:tcW w:w="1133" w:type="dxa"/>
            <w:tcBorders>
              <w:top w:val="single" w:sz="4" w:space="0" w:color="auto"/>
              <w:left w:val="nil"/>
              <w:bottom w:val="single" w:sz="4" w:space="0" w:color="auto"/>
              <w:right w:val="nil"/>
            </w:tcBorders>
            <w:shd w:val="clear" w:color="auto" w:fill="auto"/>
            <w:noWrap/>
            <w:vAlign w:val="bottom"/>
          </w:tcPr>
          <w:p w14:paraId="37631768" w14:textId="71932ACC"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2.7</w:t>
            </w:r>
          </w:p>
        </w:tc>
      </w:tr>
      <w:tr w:rsidR="00097524" w:rsidRPr="0020636B" w14:paraId="0CC6C38C"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33A9C922" w14:textId="35DDC7B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29</w:t>
            </w:r>
          </w:p>
        </w:tc>
        <w:tc>
          <w:tcPr>
            <w:tcW w:w="1276" w:type="dxa"/>
            <w:tcBorders>
              <w:top w:val="single" w:sz="4" w:space="0" w:color="auto"/>
              <w:left w:val="nil"/>
              <w:bottom w:val="single" w:sz="4" w:space="0" w:color="auto"/>
              <w:right w:val="nil"/>
            </w:tcBorders>
            <w:shd w:val="clear" w:color="auto" w:fill="auto"/>
            <w:noWrap/>
            <w:vAlign w:val="bottom"/>
          </w:tcPr>
          <w:p w14:paraId="1395DE9E"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778A0EE3"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066A2336" w14:textId="1843E88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3.6</w:t>
            </w:r>
          </w:p>
        </w:tc>
        <w:tc>
          <w:tcPr>
            <w:tcW w:w="1133" w:type="dxa"/>
            <w:tcBorders>
              <w:top w:val="single" w:sz="4" w:space="0" w:color="auto"/>
              <w:left w:val="nil"/>
              <w:bottom w:val="single" w:sz="4" w:space="0" w:color="auto"/>
              <w:right w:val="nil"/>
            </w:tcBorders>
            <w:shd w:val="clear" w:color="auto" w:fill="auto"/>
            <w:noWrap/>
            <w:vAlign w:val="bottom"/>
          </w:tcPr>
          <w:p w14:paraId="30D59520" w14:textId="003CB1EE"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r>
      <w:tr w:rsidR="00097524" w:rsidRPr="0020636B" w14:paraId="7B7FBE72"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4B57D49B" w14:textId="3382A8FD"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30</w:t>
            </w:r>
          </w:p>
        </w:tc>
        <w:tc>
          <w:tcPr>
            <w:tcW w:w="1276" w:type="dxa"/>
            <w:tcBorders>
              <w:top w:val="single" w:sz="4" w:space="0" w:color="auto"/>
              <w:left w:val="nil"/>
              <w:bottom w:val="single" w:sz="4" w:space="0" w:color="auto"/>
              <w:right w:val="nil"/>
            </w:tcBorders>
            <w:shd w:val="clear" w:color="auto" w:fill="auto"/>
            <w:noWrap/>
            <w:vAlign w:val="bottom"/>
          </w:tcPr>
          <w:p w14:paraId="03841D06"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7E5A1311"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609A739A" w14:textId="3699CE39"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3.7</w:t>
            </w:r>
          </w:p>
        </w:tc>
        <w:tc>
          <w:tcPr>
            <w:tcW w:w="1133" w:type="dxa"/>
            <w:tcBorders>
              <w:top w:val="single" w:sz="4" w:space="0" w:color="auto"/>
              <w:left w:val="nil"/>
              <w:bottom w:val="single" w:sz="4" w:space="0" w:color="auto"/>
              <w:right w:val="nil"/>
            </w:tcBorders>
            <w:shd w:val="clear" w:color="auto" w:fill="auto"/>
            <w:noWrap/>
            <w:vAlign w:val="bottom"/>
          </w:tcPr>
          <w:p w14:paraId="2051C1AD" w14:textId="4589408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2.8</w:t>
            </w:r>
          </w:p>
        </w:tc>
      </w:tr>
      <w:tr w:rsidR="00097524" w:rsidRPr="0020636B" w14:paraId="2B4DBFF7"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282E8AC9" w14:textId="3D7DD43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31</w:t>
            </w:r>
          </w:p>
        </w:tc>
        <w:tc>
          <w:tcPr>
            <w:tcW w:w="1276" w:type="dxa"/>
            <w:tcBorders>
              <w:top w:val="single" w:sz="4" w:space="0" w:color="auto"/>
              <w:left w:val="nil"/>
              <w:bottom w:val="single" w:sz="4" w:space="0" w:color="auto"/>
              <w:right w:val="nil"/>
            </w:tcBorders>
            <w:shd w:val="clear" w:color="auto" w:fill="auto"/>
            <w:noWrap/>
            <w:vAlign w:val="bottom"/>
          </w:tcPr>
          <w:p w14:paraId="1C8F116C"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379C0BE4"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7880F162" w14:textId="1F41F80D"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3.8</w:t>
            </w:r>
          </w:p>
        </w:tc>
        <w:tc>
          <w:tcPr>
            <w:tcW w:w="1133" w:type="dxa"/>
            <w:tcBorders>
              <w:top w:val="single" w:sz="4" w:space="0" w:color="auto"/>
              <w:left w:val="nil"/>
              <w:bottom w:val="single" w:sz="4" w:space="0" w:color="auto"/>
              <w:right w:val="nil"/>
            </w:tcBorders>
            <w:shd w:val="clear" w:color="auto" w:fill="auto"/>
            <w:noWrap/>
            <w:vAlign w:val="bottom"/>
          </w:tcPr>
          <w:p w14:paraId="05B9285A" w14:textId="40D5D08E"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2.9</w:t>
            </w:r>
          </w:p>
        </w:tc>
      </w:tr>
      <w:tr w:rsidR="00097524" w:rsidRPr="0020636B" w14:paraId="4F74130B"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1A03AD3E" w14:textId="65AEBC83"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32</w:t>
            </w:r>
          </w:p>
        </w:tc>
        <w:tc>
          <w:tcPr>
            <w:tcW w:w="1276" w:type="dxa"/>
            <w:tcBorders>
              <w:top w:val="single" w:sz="4" w:space="0" w:color="auto"/>
              <w:left w:val="nil"/>
              <w:bottom w:val="single" w:sz="4" w:space="0" w:color="auto"/>
              <w:right w:val="nil"/>
            </w:tcBorders>
            <w:shd w:val="clear" w:color="auto" w:fill="auto"/>
            <w:noWrap/>
            <w:vAlign w:val="bottom"/>
          </w:tcPr>
          <w:p w14:paraId="1A19D74D"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6C656C27"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09F30371" w14:textId="7B82E120"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3.9</w:t>
            </w:r>
          </w:p>
        </w:tc>
        <w:tc>
          <w:tcPr>
            <w:tcW w:w="1133" w:type="dxa"/>
            <w:tcBorders>
              <w:top w:val="single" w:sz="4" w:space="0" w:color="auto"/>
              <w:left w:val="nil"/>
              <w:bottom w:val="single" w:sz="4" w:space="0" w:color="auto"/>
              <w:right w:val="nil"/>
            </w:tcBorders>
            <w:shd w:val="clear" w:color="auto" w:fill="auto"/>
            <w:noWrap/>
            <w:vAlign w:val="bottom"/>
          </w:tcPr>
          <w:p w14:paraId="4AD7AF7C" w14:textId="67038C46"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3.0</w:t>
            </w:r>
          </w:p>
        </w:tc>
      </w:tr>
      <w:tr w:rsidR="00097524" w:rsidRPr="0020636B" w14:paraId="36768F36"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6073BD0F" w14:textId="0E2938D1"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33</w:t>
            </w:r>
          </w:p>
        </w:tc>
        <w:tc>
          <w:tcPr>
            <w:tcW w:w="1276" w:type="dxa"/>
            <w:tcBorders>
              <w:top w:val="single" w:sz="4" w:space="0" w:color="auto"/>
              <w:left w:val="nil"/>
              <w:bottom w:val="single" w:sz="4" w:space="0" w:color="auto"/>
              <w:right w:val="nil"/>
            </w:tcBorders>
            <w:shd w:val="clear" w:color="auto" w:fill="auto"/>
            <w:noWrap/>
            <w:vAlign w:val="bottom"/>
          </w:tcPr>
          <w:p w14:paraId="5328CF1A"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5F9DEC70"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48847647" w14:textId="5E75662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4.0</w:t>
            </w:r>
          </w:p>
        </w:tc>
        <w:tc>
          <w:tcPr>
            <w:tcW w:w="1133" w:type="dxa"/>
            <w:tcBorders>
              <w:top w:val="single" w:sz="4" w:space="0" w:color="auto"/>
              <w:left w:val="nil"/>
              <w:bottom w:val="single" w:sz="4" w:space="0" w:color="auto"/>
              <w:right w:val="nil"/>
            </w:tcBorders>
            <w:shd w:val="clear" w:color="auto" w:fill="auto"/>
            <w:noWrap/>
            <w:vAlign w:val="bottom"/>
          </w:tcPr>
          <w:p w14:paraId="1CBA69B9" w14:textId="58DD5AF5"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3.1</w:t>
            </w:r>
          </w:p>
        </w:tc>
      </w:tr>
      <w:tr w:rsidR="00097524" w:rsidRPr="0020636B" w14:paraId="734B4A9F"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1559E480" w14:textId="3EF752F4"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34</w:t>
            </w:r>
          </w:p>
        </w:tc>
        <w:tc>
          <w:tcPr>
            <w:tcW w:w="1276" w:type="dxa"/>
            <w:tcBorders>
              <w:top w:val="single" w:sz="4" w:space="0" w:color="auto"/>
              <w:left w:val="nil"/>
              <w:bottom w:val="single" w:sz="4" w:space="0" w:color="auto"/>
              <w:right w:val="nil"/>
            </w:tcBorders>
            <w:shd w:val="clear" w:color="auto" w:fill="auto"/>
            <w:noWrap/>
            <w:vAlign w:val="bottom"/>
          </w:tcPr>
          <w:p w14:paraId="349FC0B1"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6FB0227F"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532862AD" w14:textId="31362E56"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4.1</w:t>
            </w:r>
          </w:p>
        </w:tc>
        <w:tc>
          <w:tcPr>
            <w:tcW w:w="1133" w:type="dxa"/>
            <w:tcBorders>
              <w:top w:val="single" w:sz="4" w:space="0" w:color="auto"/>
              <w:left w:val="nil"/>
              <w:bottom w:val="single" w:sz="4" w:space="0" w:color="auto"/>
              <w:right w:val="nil"/>
            </w:tcBorders>
            <w:shd w:val="clear" w:color="auto" w:fill="auto"/>
            <w:noWrap/>
            <w:vAlign w:val="bottom"/>
          </w:tcPr>
          <w:p w14:paraId="4F5E64BB" w14:textId="069C6EF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3.2</w:t>
            </w:r>
          </w:p>
        </w:tc>
      </w:tr>
      <w:tr w:rsidR="00097524" w:rsidRPr="0020636B" w14:paraId="6E6B4CD4"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3C557BE8" w14:textId="3A59A56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35</w:t>
            </w:r>
          </w:p>
        </w:tc>
        <w:tc>
          <w:tcPr>
            <w:tcW w:w="1276" w:type="dxa"/>
            <w:tcBorders>
              <w:top w:val="single" w:sz="4" w:space="0" w:color="auto"/>
              <w:left w:val="nil"/>
              <w:bottom w:val="single" w:sz="4" w:space="0" w:color="auto"/>
              <w:right w:val="nil"/>
            </w:tcBorders>
            <w:shd w:val="clear" w:color="auto" w:fill="auto"/>
            <w:noWrap/>
            <w:vAlign w:val="bottom"/>
          </w:tcPr>
          <w:p w14:paraId="367F58A9"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4E791C04"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1734B061" w14:textId="1C2BA961"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4.1</w:t>
            </w:r>
          </w:p>
        </w:tc>
        <w:tc>
          <w:tcPr>
            <w:tcW w:w="1133" w:type="dxa"/>
            <w:tcBorders>
              <w:top w:val="single" w:sz="4" w:space="0" w:color="auto"/>
              <w:left w:val="nil"/>
              <w:bottom w:val="single" w:sz="4" w:space="0" w:color="auto"/>
              <w:right w:val="nil"/>
            </w:tcBorders>
            <w:shd w:val="clear" w:color="auto" w:fill="auto"/>
            <w:noWrap/>
            <w:vAlign w:val="bottom"/>
          </w:tcPr>
          <w:p w14:paraId="5B5F346E" w14:textId="520DA7D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3.2</w:t>
            </w:r>
          </w:p>
        </w:tc>
      </w:tr>
      <w:tr w:rsidR="00097524" w:rsidRPr="0020636B" w14:paraId="73DEBCAE"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204498EE" w14:textId="70ED708C"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36</w:t>
            </w:r>
          </w:p>
        </w:tc>
        <w:tc>
          <w:tcPr>
            <w:tcW w:w="1276" w:type="dxa"/>
            <w:tcBorders>
              <w:top w:val="single" w:sz="4" w:space="0" w:color="auto"/>
              <w:left w:val="nil"/>
              <w:bottom w:val="single" w:sz="4" w:space="0" w:color="auto"/>
              <w:right w:val="nil"/>
            </w:tcBorders>
            <w:shd w:val="clear" w:color="auto" w:fill="auto"/>
            <w:noWrap/>
            <w:vAlign w:val="bottom"/>
          </w:tcPr>
          <w:p w14:paraId="02ABA587"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0DF9CEF7"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43857F92" w14:textId="60038B9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4.2</w:t>
            </w:r>
          </w:p>
        </w:tc>
        <w:tc>
          <w:tcPr>
            <w:tcW w:w="1133" w:type="dxa"/>
            <w:tcBorders>
              <w:top w:val="single" w:sz="4" w:space="0" w:color="auto"/>
              <w:left w:val="nil"/>
              <w:bottom w:val="single" w:sz="4" w:space="0" w:color="auto"/>
              <w:right w:val="nil"/>
            </w:tcBorders>
            <w:shd w:val="clear" w:color="auto" w:fill="auto"/>
            <w:noWrap/>
            <w:vAlign w:val="bottom"/>
          </w:tcPr>
          <w:p w14:paraId="737BEA77" w14:textId="030F0CE1"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3.3</w:t>
            </w:r>
          </w:p>
        </w:tc>
      </w:tr>
      <w:tr w:rsidR="00097524" w:rsidRPr="0020636B" w14:paraId="57467644"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44DA3B47" w14:textId="736DD23A"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37</w:t>
            </w:r>
          </w:p>
        </w:tc>
        <w:tc>
          <w:tcPr>
            <w:tcW w:w="1276" w:type="dxa"/>
            <w:tcBorders>
              <w:top w:val="single" w:sz="4" w:space="0" w:color="auto"/>
              <w:left w:val="nil"/>
              <w:bottom w:val="single" w:sz="4" w:space="0" w:color="auto"/>
              <w:right w:val="nil"/>
            </w:tcBorders>
            <w:shd w:val="clear" w:color="auto" w:fill="auto"/>
            <w:noWrap/>
            <w:vAlign w:val="bottom"/>
          </w:tcPr>
          <w:p w14:paraId="0320E7C4"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2067FCEF"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505F0F2D" w14:textId="5726E7A5"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4.3</w:t>
            </w:r>
          </w:p>
        </w:tc>
        <w:tc>
          <w:tcPr>
            <w:tcW w:w="1133" w:type="dxa"/>
            <w:tcBorders>
              <w:top w:val="single" w:sz="4" w:space="0" w:color="auto"/>
              <w:left w:val="nil"/>
              <w:bottom w:val="single" w:sz="4" w:space="0" w:color="auto"/>
              <w:right w:val="nil"/>
            </w:tcBorders>
            <w:shd w:val="clear" w:color="auto" w:fill="auto"/>
            <w:noWrap/>
            <w:vAlign w:val="bottom"/>
          </w:tcPr>
          <w:p w14:paraId="69D62496" w14:textId="0A9176FE"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3.4</w:t>
            </w:r>
          </w:p>
        </w:tc>
      </w:tr>
      <w:tr w:rsidR="00097524" w:rsidRPr="0020636B" w14:paraId="3126C4EF" w14:textId="77777777" w:rsidTr="00097524">
        <w:trPr>
          <w:gridAfter w:val="1"/>
          <w:wAfter w:w="13" w:type="dxa"/>
          <w:trHeight w:val="300"/>
          <w:jc w:val="center"/>
        </w:trPr>
        <w:tc>
          <w:tcPr>
            <w:tcW w:w="1417" w:type="dxa"/>
            <w:tcBorders>
              <w:top w:val="single" w:sz="4" w:space="0" w:color="auto"/>
              <w:left w:val="nil"/>
              <w:bottom w:val="single" w:sz="4" w:space="0" w:color="auto"/>
              <w:right w:val="nil"/>
            </w:tcBorders>
            <w:shd w:val="clear" w:color="auto" w:fill="auto"/>
            <w:noWrap/>
            <w:vAlign w:val="bottom"/>
          </w:tcPr>
          <w:p w14:paraId="0A4FD080" w14:textId="098E9DC8"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38</w:t>
            </w:r>
          </w:p>
        </w:tc>
        <w:tc>
          <w:tcPr>
            <w:tcW w:w="1276" w:type="dxa"/>
            <w:tcBorders>
              <w:top w:val="single" w:sz="4" w:space="0" w:color="auto"/>
              <w:left w:val="nil"/>
              <w:bottom w:val="single" w:sz="4" w:space="0" w:color="auto"/>
              <w:right w:val="nil"/>
            </w:tcBorders>
            <w:shd w:val="clear" w:color="auto" w:fill="auto"/>
            <w:noWrap/>
            <w:vAlign w:val="bottom"/>
          </w:tcPr>
          <w:p w14:paraId="32FE6EC1"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5" w:type="dxa"/>
            <w:tcBorders>
              <w:top w:val="single" w:sz="4" w:space="0" w:color="auto"/>
              <w:left w:val="nil"/>
              <w:bottom w:val="single" w:sz="4" w:space="0" w:color="auto"/>
              <w:right w:val="nil"/>
            </w:tcBorders>
            <w:shd w:val="clear" w:color="auto" w:fill="auto"/>
            <w:noWrap/>
            <w:vAlign w:val="bottom"/>
          </w:tcPr>
          <w:p w14:paraId="65EBBB0D" w14:textId="77777777" w:rsidR="00097524" w:rsidRPr="00C3226F" w:rsidRDefault="00097524" w:rsidP="00097524">
            <w:pPr>
              <w:pStyle w:val="EEATabcenter"/>
              <w:rPr>
                <w:rFonts w:asciiTheme="majorHAnsi" w:hAnsiTheme="majorHAnsi" w:cstheme="majorHAnsi"/>
                <w:sz w:val="18"/>
                <w:szCs w:val="18"/>
                <w:lang w:val="de-AT" w:eastAsia="de-AT"/>
              </w:rPr>
            </w:pPr>
          </w:p>
        </w:tc>
        <w:tc>
          <w:tcPr>
            <w:tcW w:w="1276" w:type="dxa"/>
            <w:gridSpan w:val="2"/>
            <w:tcBorders>
              <w:top w:val="single" w:sz="4" w:space="0" w:color="auto"/>
              <w:left w:val="nil"/>
              <w:bottom w:val="single" w:sz="4" w:space="0" w:color="auto"/>
              <w:right w:val="nil"/>
            </w:tcBorders>
            <w:shd w:val="clear" w:color="auto" w:fill="auto"/>
            <w:noWrap/>
            <w:vAlign w:val="bottom"/>
          </w:tcPr>
          <w:p w14:paraId="1F73D2DE" w14:textId="3F47BB47"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4.4</w:t>
            </w:r>
          </w:p>
        </w:tc>
        <w:tc>
          <w:tcPr>
            <w:tcW w:w="1133" w:type="dxa"/>
            <w:tcBorders>
              <w:top w:val="single" w:sz="4" w:space="0" w:color="auto"/>
              <w:left w:val="nil"/>
              <w:bottom w:val="single" w:sz="4" w:space="0" w:color="auto"/>
              <w:right w:val="nil"/>
            </w:tcBorders>
            <w:shd w:val="clear" w:color="auto" w:fill="auto"/>
            <w:noWrap/>
            <w:vAlign w:val="bottom"/>
          </w:tcPr>
          <w:p w14:paraId="396D4CC4" w14:textId="3DE8606B" w:rsidR="00097524" w:rsidRPr="00C3226F" w:rsidRDefault="00097524" w:rsidP="00097524">
            <w:pPr>
              <w:pStyle w:val="EEATabcenter"/>
              <w:rPr>
                <w:rFonts w:asciiTheme="majorHAnsi" w:hAnsiTheme="majorHAnsi" w:cstheme="majorHAnsi"/>
                <w:sz w:val="18"/>
                <w:szCs w:val="18"/>
                <w:lang w:val="de-AT" w:eastAsia="de-AT"/>
              </w:rPr>
            </w:pPr>
            <w:r w:rsidRPr="00C3226F">
              <w:rPr>
                <w:rFonts w:asciiTheme="majorHAnsi" w:hAnsiTheme="majorHAnsi" w:cstheme="majorHAnsi"/>
                <w:sz w:val="18"/>
                <w:szCs w:val="18"/>
                <w:lang w:val="de-AT" w:eastAsia="de-AT"/>
              </w:rPr>
              <w:t>3.5</w:t>
            </w:r>
          </w:p>
        </w:tc>
      </w:tr>
    </w:tbl>
    <w:p w14:paraId="2A87EC73" w14:textId="61DA4645" w:rsidR="00EF3E3D" w:rsidRDefault="00EF3E3D" w:rsidP="00714D8B">
      <w:pPr>
        <w:pStyle w:val="EEASource"/>
        <w:rPr>
          <w:rFonts w:eastAsia="Calibri"/>
        </w:rPr>
      </w:pPr>
      <w:r w:rsidRPr="00B0226A">
        <w:rPr>
          <w:rFonts w:eastAsia="Calibri"/>
          <w:b/>
        </w:rPr>
        <w:t>Source:</w:t>
      </w:r>
      <w:r w:rsidRPr="00C3226F">
        <w:rPr>
          <w:rFonts w:eastAsia="Calibri"/>
        </w:rPr>
        <w:t xml:space="preserve"> </w:t>
      </w:r>
      <w:r w:rsidR="00B0226A">
        <w:rPr>
          <w:rFonts w:eastAsia="Calibri"/>
        </w:rPr>
        <w:tab/>
      </w:r>
      <w:r w:rsidRPr="00C3226F">
        <w:rPr>
          <w:rFonts w:eastAsia="Calibri"/>
        </w:rPr>
        <w:t xml:space="preserve">Körschens et </w:t>
      </w:r>
      <w:r>
        <w:rPr>
          <w:rFonts w:eastAsia="Calibri"/>
        </w:rPr>
        <w:t>al.</w:t>
      </w:r>
      <w:r w:rsidRPr="00C3226F">
        <w:rPr>
          <w:rFonts w:eastAsia="Calibri"/>
        </w:rPr>
        <w:t xml:space="preserve"> 1998</w:t>
      </w:r>
    </w:p>
    <w:p w14:paraId="0F3861F1" w14:textId="77777777" w:rsidR="002C7353" w:rsidRDefault="002C7353" w:rsidP="002C7353"/>
    <w:p w14:paraId="2C213AAF" w14:textId="029FA81F" w:rsidR="002C7353" w:rsidRDefault="002C7353" w:rsidP="002C7353">
      <w:r w:rsidRPr="0020636B">
        <w:t xml:space="preserve">The thresholds by Koerschens et </w:t>
      </w:r>
      <w:r>
        <w:t>al.</w:t>
      </w:r>
      <w:r w:rsidRPr="0020636B">
        <w:t xml:space="preserve"> (1998) demonstrate how the existing </w:t>
      </w:r>
      <w:r>
        <w:t>variability</w:t>
      </w:r>
      <w:r w:rsidRPr="0020636B">
        <w:t xml:space="preserve"> of soil </w:t>
      </w:r>
      <w:r>
        <w:t>properties</w:t>
      </w:r>
      <w:r w:rsidRPr="0020636B">
        <w:t xml:space="preserve"> affects the development of thresholds. As soon as values become simplified or grouped for easier application, ranges of values apply (see</w:t>
      </w:r>
      <w:r>
        <w:t xml:space="preserve"> </w:t>
      </w:r>
      <w:r w:rsidR="002E0086">
        <w:fldChar w:fldCharType="begin"/>
      </w:r>
      <w:r w:rsidR="002E0086">
        <w:instrText xml:space="preserve"> REF _Ref64555811 \h </w:instrText>
      </w:r>
      <w:r w:rsidR="002E0086">
        <w:fldChar w:fldCharType="separate"/>
      </w:r>
      <w:r w:rsidR="0067767C" w:rsidRPr="004712E0">
        <w:t xml:space="preserve">Table </w:t>
      </w:r>
      <w:r w:rsidR="0067767C">
        <w:rPr>
          <w:noProof/>
        </w:rPr>
        <w:t>2</w:t>
      </w:r>
      <w:r w:rsidR="0067767C">
        <w:noBreakHyphen/>
      </w:r>
      <w:r w:rsidR="0067767C">
        <w:rPr>
          <w:noProof/>
        </w:rPr>
        <w:t>8</w:t>
      </w:r>
      <w:r w:rsidR="002E0086">
        <w:fldChar w:fldCharType="end"/>
      </w:r>
      <w:r w:rsidRPr="0020636B">
        <w:t xml:space="preserve">). Value ranges are always more difficult to handle because policy recommendations usually require exact values. </w:t>
      </w:r>
      <w:r>
        <w:t>For this reason, t</w:t>
      </w:r>
      <w:r w:rsidRPr="0020636B">
        <w:t xml:space="preserve">he aggregation of thresholds proposed </w:t>
      </w:r>
      <w:r w:rsidRPr="003E7E6E">
        <w:t>by BMLFUW (2017), w</w:t>
      </w:r>
      <w:r>
        <w:t>hich reflects the scheme proposed by Koerschens et al. (1998),</w:t>
      </w:r>
      <w:r w:rsidRPr="0020636B">
        <w:t xml:space="preserve"> </w:t>
      </w:r>
      <w:r>
        <w:t>could be more easily</w:t>
      </w:r>
      <w:r w:rsidRPr="0020636B">
        <w:t xml:space="preserve"> implemented </w:t>
      </w:r>
      <w:r w:rsidR="0014349A" w:rsidRPr="0020636B">
        <w:t>to</w:t>
      </w:r>
      <w:r w:rsidRPr="0020636B">
        <w:t xml:space="preserve"> provide guidance for optimal application of fertilizers for arable land and pastures</w:t>
      </w:r>
      <w:r>
        <w:t xml:space="preserve"> (</w:t>
      </w:r>
      <w:r w:rsidR="00790CB6">
        <w:t>Table 2-8</w:t>
      </w:r>
      <w:r w:rsidR="007E165E">
        <w:t>)</w:t>
      </w:r>
      <w:r w:rsidRPr="0020636B">
        <w:t>.</w:t>
      </w:r>
    </w:p>
    <w:p w14:paraId="11D50CD7" w14:textId="1C7259FA" w:rsidR="00225CCB" w:rsidRDefault="00225CCB">
      <w:pPr>
        <w:suppressAutoHyphens w:val="0"/>
        <w:jc w:val="left"/>
      </w:pPr>
      <w:r>
        <w:br w:type="page"/>
      </w:r>
    </w:p>
    <w:p w14:paraId="34CF859E" w14:textId="77777777" w:rsidR="0095454B" w:rsidRDefault="0095454B" w:rsidP="002C7353">
      <w:pPr>
        <w:spacing w:before="120"/>
      </w:pPr>
    </w:p>
    <w:p w14:paraId="613093B7" w14:textId="22EE7E26" w:rsidR="00640360" w:rsidRDefault="00640360" w:rsidP="00B0226A">
      <w:pPr>
        <w:pStyle w:val="EEALabel"/>
      </w:pPr>
      <w:bookmarkStart w:id="96" w:name="_Ref64555811"/>
      <w:bookmarkStart w:id="97" w:name="_Toc83997508"/>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8</w:t>
      </w:r>
      <w:r w:rsidR="00C76C23">
        <w:fldChar w:fldCharType="end"/>
      </w:r>
      <w:bookmarkEnd w:id="96"/>
      <w:r w:rsidRPr="004712E0">
        <w:t>:</w:t>
      </w:r>
      <w:r w:rsidRPr="004712E0">
        <w:tab/>
      </w:r>
      <w:r w:rsidR="009E53B0" w:rsidRPr="004712E0">
        <w:t>Aggregation of SOM thresholds for soil groups</w:t>
      </w:r>
      <w:bookmarkEnd w:id="97"/>
      <w:r w:rsidR="009E53B0" w:rsidRPr="004712E0">
        <w:t xml:space="preserve"> </w:t>
      </w:r>
    </w:p>
    <w:p w14:paraId="6F7B9DA6" w14:textId="77777777" w:rsidR="00B0226A" w:rsidRPr="00B0226A" w:rsidRDefault="00B0226A" w:rsidP="00B0226A"/>
    <w:tbl>
      <w:tblPr>
        <w:tblW w:w="9498"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701"/>
        <w:gridCol w:w="1134"/>
        <w:gridCol w:w="2070"/>
        <w:gridCol w:w="2466"/>
        <w:gridCol w:w="2127"/>
      </w:tblGrid>
      <w:tr w:rsidR="002C7353" w:rsidRPr="002E582B" w14:paraId="7FB38633" w14:textId="77777777" w:rsidTr="00B0226A">
        <w:trPr>
          <w:trHeight w:val="300"/>
        </w:trPr>
        <w:tc>
          <w:tcPr>
            <w:tcW w:w="1701" w:type="dxa"/>
            <w:vMerge w:val="restart"/>
            <w:shd w:val="pct10" w:color="auto" w:fill="auto"/>
            <w:noWrap/>
            <w:vAlign w:val="center"/>
            <w:hideMark/>
          </w:tcPr>
          <w:p w14:paraId="6665BF1C" w14:textId="77777777" w:rsidR="002C7353" w:rsidRPr="002E582B" w:rsidRDefault="002C7353" w:rsidP="00CD55D6">
            <w:pPr>
              <w:pStyle w:val="EEAtableleftbold"/>
              <w:rPr>
                <w:lang w:eastAsia="de-AT"/>
              </w:rPr>
            </w:pPr>
            <w:r w:rsidRPr="002E582B">
              <w:rPr>
                <w:lang w:eastAsia="de-AT"/>
              </w:rPr>
              <w:t>Soil groups</w:t>
            </w:r>
          </w:p>
        </w:tc>
        <w:tc>
          <w:tcPr>
            <w:tcW w:w="1134" w:type="dxa"/>
            <w:vMerge w:val="restart"/>
            <w:shd w:val="pct10" w:color="auto" w:fill="auto"/>
            <w:noWrap/>
            <w:vAlign w:val="center"/>
            <w:hideMark/>
          </w:tcPr>
          <w:p w14:paraId="68618261" w14:textId="77777777" w:rsidR="002C7353" w:rsidRPr="002E582B" w:rsidRDefault="002C7353" w:rsidP="00CD55D6">
            <w:pPr>
              <w:pStyle w:val="EEATabcenterbold"/>
            </w:pPr>
            <w:r w:rsidRPr="002E582B">
              <w:t>% clay/fine silt</w:t>
            </w:r>
          </w:p>
        </w:tc>
        <w:tc>
          <w:tcPr>
            <w:tcW w:w="4536" w:type="dxa"/>
            <w:gridSpan w:val="2"/>
            <w:shd w:val="pct10" w:color="auto" w:fill="auto"/>
            <w:noWrap/>
            <w:vAlign w:val="center"/>
            <w:hideMark/>
          </w:tcPr>
          <w:p w14:paraId="7FD3A64A" w14:textId="77777777" w:rsidR="002C7353" w:rsidRPr="002E582B" w:rsidRDefault="002C7353" w:rsidP="00CD55D6">
            <w:pPr>
              <w:pStyle w:val="EEATabcenterbold"/>
            </w:pPr>
            <w:r w:rsidRPr="002E582B">
              <w:t xml:space="preserve">Koerschens et </w:t>
            </w:r>
            <w:r>
              <w:t>al.</w:t>
            </w:r>
            <w:r w:rsidRPr="002E582B">
              <w:t>, 1998</w:t>
            </w:r>
          </w:p>
        </w:tc>
        <w:tc>
          <w:tcPr>
            <w:tcW w:w="2127" w:type="dxa"/>
            <w:shd w:val="pct10" w:color="auto" w:fill="auto"/>
            <w:noWrap/>
            <w:vAlign w:val="bottom"/>
            <w:hideMark/>
          </w:tcPr>
          <w:p w14:paraId="759F6A07" w14:textId="77777777" w:rsidR="002C7353" w:rsidRPr="002E582B" w:rsidRDefault="002C7353" w:rsidP="00CD55D6">
            <w:pPr>
              <w:pStyle w:val="EEATabcenterbold"/>
            </w:pPr>
            <w:r>
              <w:t>BMLFUW</w:t>
            </w:r>
            <w:r w:rsidRPr="002E582B">
              <w:t>, 2017</w:t>
            </w:r>
          </w:p>
        </w:tc>
      </w:tr>
      <w:tr w:rsidR="002C7353" w:rsidRPr="002E582B" w14:paraId="655BB190" w14:textId="77777777" w:rsidTr="00B0226A">
        <w:trPr>
          <w:trHeight w:val="300"/>
        </w:trPr>
        <w:tc>
          <w:tcPr>
            <w:tcW w:w="1701" w:type="dxa"/>
            <w:vMerge/>
            <w:shd w:val="pct10" w:color="auto" w:fill="auto"/>
            <w:noWrap/>
            <w:vAlign w:val="bottom"/>
            <w:hideMark/>
          </w:tcPr>
          <w:p w14:paraId="253055E1" w14:textId="77777777" w:rsidR="002C7353" w:rsidRPr="002E582B" w:rsidRDefault="002C7353" w:rsidP="00CD55D6">
            <w:pPr>
              <w:pStyle w:val="EEAtableleftbold"/>
              <w:rPr>
                <w:color w:val="000000"/>
                <w:szCs w:val="22"/>
                <w:lang w:eastAsia="de-AT"/>
              </w:rPr>
            </w:pPr>
          </w:p>
        </w:tc>
        <w:tc>
          <w:tcPr>
            <w:tcW w:w="1134" w:type="dxa"/>
            <w:vMerge/>
            <w:shd w:val="pct10" w:color="auto" w:fill="auto"/>
            <w:noWrap/>
            <w:vAlign w:val="bottom"/>
            <w:hideMark/>
          </w:tcPr>
          <w:p w14:paraId="4A5B5C40" w14:textId="77777777" w:rsidR="002C7353" w:rsidRPr="002E582B" w:rsidRDefault="002C7353" w:rsidP="00CD55D6">
            <w:pPr>
              <w:pStyle w:val="EEATabcenterbold"/>
            </w:pPr>
          </w:p>
        </w:tc>
        <w:tc>
          <w:tcPr>
            <w:tcW w:w="2070" w:type="dxa"/>
            <w:tcBorders>
              <w:bottom w:val="single" w:sz="4" w:space="0" w:color="auto"/>
            </w:tcBorders>
            <w:shd w:val="pct10" w:color="auto" w:fill="auto"/>
            <w:noWrap/>
            <w:vAlign w:val="center"/>
            <w:hideMark/>
          </w:tcPr>
          <w:p w14:paraId="2DEECFFA" w14:textId="21DF882D" w:rsidR="002C7353" w:rsidRPr="002E582B" w:rsidRDefault="00E57292" w:rsidP="00E57292">
            <w:pPr>
              <w:pStyle w:val="EEATabcenterbold"/>
            </w:pPr>
            <w:r>
              <w:t>% SOM in s</w:t>
            </w:r>
            <w:r w:rsidR="002C7353" w:rsidRPr="002E582B">
              <w:t>andy soils</w:t>
            </w:r>
          </w:p>
        </w:tc>
        <w:tc>
          <w:tcPr>
            <w:tcW w:w="2466" w:type="dxa"/>
            <w:tcBorders>
              <w:bottom w:val="single" w:sz="4" w:space="0" w:color="auto"/>
            </w:tcBorders>
            <w:shd w:val="pct10" w:color="auto" w:fill="auto"/>
            <w:noWrap/>
            <w:vAlign w:val="center"/>
            <w:hideMark/>
          </w:tcPr>
          <w:p w14:paraId="3DAD83A9" w14:textId="11A97D35" w:rsidR="002C7353" w:rsidRPr="002E582B" w:rsidRDefault="00E57292" w:rsidP="00E57292">
            <w:pPr>
              <w:pStyle w:val="EEATabcenterbold"/>
            </w:pPr>
            <w:r>
              <w:t>% SOM in l</w:t>
            </w:r>
            <w:r w:rsidR="002C7353" w:rsidRPr="002E582B">
              <w:t>oamy soils</w:t>
            </w:r>
          </w:p>
        </w:tc>
        <w:tc>
          <w:tcPr>
            <w:tcW w:w="2127" w:type="dxa"/>
            <w:vMerge w:val="restart"/>
            <w:shd w:val="pct10" w:color="auto" w:fill="auto"/>
            <w:noWrap/>
            <w:vAlign w:val="center"/>
            <w:hideMark/>
          </w:tcPr>
          <w:p w14:paraId="44A0BC11" w14:textId="77777777" w:rsidR="002C7353" w:rsidRPr="002E582B" w:rsidRDefault="002C7353" w:rsidP="00CD55D6">
            <w:pPr>
              <w:pStyle w:val="EEATabcenterbold"/>
            </w:pPr>
            <w:r w:rsidRPr="002E582B">
              <w:t xml:space="preserve">Minimum </w:t>
            </w:r>
            <w:r>
              <w:t xml:space="preserve">SOM </w:t>
            </w:r>
            <w:r w:rsidRPr="002E582B">
              <w:t>threshold</w:t>
            </w:r>
            <w:r>
              <w:rPr>
                <w:lang w:val="de-AT"/>
              </w:rPr>
              <w:t>*</w:t>
            </w:r>
            <w:r w:rsidRPr="00C332FD">
              <w:rPr>
                <w:vertAlign w:val="superscript"/>
                <w:lang w:val="de-AT"/>
              </w:rPr>
              <w:t>)</w:t>
            </w:r>
          </w:p>
        </w:tc>
      </w:tr>
      <w:tr w:rsidR="002C7353" w:rsidRPr="002E582B" w14:paraId="388EFD7E" w14:textId="77777777" w:rsidTr="00B0226A">
        <w:trPr>
          <w:trHeight w:val="493"/>
        </w:trPr>
        <w:tc>
          <w:tcPr>
            <w:tcW w:w="1701" w:type="dxa"/>
            <w:vMerge/>
            <w:shd w:val="clear" w:color="auto" w:fill="auto"/>
            <w:noWrap/>
            <w:vAlign w:val="center"/>
            <w:hideMark/>
          </w:tcPr>
          <w:p w14:paraId="09B7D5E8" w14:textId="77777777" w:rsidR="002C7353" w:rsidRPr="002E582B" w:rsidRDefault="002C7353" w:rsidP="00CD55D6">
            <w:pPr>
              <w:pStyle w:val="EEAtableleftbold"/>
              <w:rPr>
                <w:lang w:eastAsia="de-AT"/>
              </w:rPr>
            </w:pPr>
          </w:p>
        </w:tc>
        <w:tc>
          <w:tcPr>
            <w:tcW w:w="1134" w:type="dxa"/>
            <w:vMerge/>
            <w:shd w:val="pct10" w:color="auto" w:fill="auto"/>
            <w:noWrap/>
            <w:vAlign w:val="center"/>
            <w:hideMark/>
          </w:tcPr>
          <w:p w14:paraId="6C95CAAB" w14:textId="77777777" w:rsidR="002C7353" w:rsidRPr="002E582B" w:rsidRDefault="002C7353" w:rsidP="00CD55D6">
            <w:pPr>
              <w:pStyle w:val="EEATabcenterbold"/>
            </w:pPr>
          </w:p>
        </w:tc>
        <w:tc>
          <w:tcPr>
            <w:tcW w:w="2070" w:type="dxa"/>
            <w:shd w:val="pct10" w:color="auto" w:fill="auto"/>
            <w:vAlign w:val="center"/>
            <w:hideMark/>
          </w:tcPr>
          <w:p w14:paraId="498CF476" w14:textId="77777777" w:rsidR="002C7353" w:rsidRPr="002E582B" w:rsidRDefault="002C7353" w:rsidP="00CD55D6">
            <w:pPr>
              <w:pStyle w:val="EEATabcenterbold"/>
            </w:pPr>
            <w:r w:rsidRPr="002E582B">
              <w:t>Upper threshold (range)</w:t>
            </w:r>
          </w:p>
        </w:tc>
        <w:tc>
          <w:tcPr>
            <w:tcW w:w="2466" w:type="dxa"/>
            <w:shd w:val="pct10" w:color="auto" w:fill="auto"/>
            <w:vAlign w:val="center"/>
            <w:hideMark/>
          </w:tcPr>
          <w:p w14:paraId="3F8B33E6" w14:textId="77777777" w:rsidR="002C7353" w:rsidRPr="002E582B" w:rsidRDefault="002C7353" w:rsidP="00CD55D6">
            <w:pPr>
              <w:pStyle w:val="EEATabcenterbold"/>
            </w:pPr>
            <w:r w:rsidRPr="002E582B">
              <w:t>Upper threshold (range)</w:t>
            </w:r>
          </w:p>
        </w:tc>
        <w:tc>
          <w:tcPr>
            <w:tcW w:w="2127" w:type="dxa"/>
            <w:vMerge/>
            <w:shd w:val="pct10" w:color="auto" w:fill="auto"/>
            <w:vAlign w:val="center"/>
            <w:hideMark/>
          </w:tcPr>
          <w:p w14:paraId="5A52E102" w14:textId="77777777" w:rsidR="002C7353" w:rsidRPr="002E582B" w:rsidRDefault="002C7353" w:rsidP="00CD55D6">
            <w:pPr>
              <w:pStyle w:val="EEAtableleft"/>
              <w:rPr>
                <w:color w:val="000000"/>
                <w:szCs w:val="22"/>
                <w:lang w:eastAsia="de-AT"/>
              </w:rPr>
            </w:pPr>
          </w:p>
        </w:tc>
      </w:tr>
      <w:tr w:rsidR="002C7353" w:rsidRPr="002E582B" w14:paraId="6B0DC6D8" w14:textId="77777777" w:rsidTr="00B0226A">
        <w:trPr>
          <w:trHeight w:val="300"/>
        </w:trPr>
        <w:tc>
          <w:tcPr>
            <w:tcW w:w="1701" w:type="dxa"/>
            <w:vMerge w:val="restart"/>
            <w:shd w:val="clear" w:color="auto" w:fill="auto"/>
            <w:vAlign w:val="center"/>
            <w:hideMark/>
          </w:tcPr>
          <w:p w14:paraId="609F9699" w14:textId="77777777" w:rsidR="002C7353" w:rsidRPr="0095454B" w:rsidRDefault="002C7353" w:rsidP="0095454B">
            <w:pPr>
              <w:pStyle w:val="EEAtableleft"/>
            </w:pPr>
            <w:r w:rsidRPr="0095454B">
              <w:t>Light (&lt;15% clay)</w:t>
            </w:r>
          </w:p>
        </w:tc>
        <w:tc>
          <w:tcPr>
            <w:tcW w:w="1134" w:type="dxa"/>
            <w:shd w:val="clear" w:color="auto" w:fill="auto"/>
            <w:noWrap/>
            <w:vAlign w:val="bottom"/>
            <w:hideMark/>
          </w:tcPr>
          <w:p w14:paraId="656164E4" w14:textId="77777777" w:rsidR="002C7353" w:rsidRPr="002E582B" w:rsidRDefault="002C7353" w:rsidP="0095454B">
            <w:pPr>
              <w:pStyle w:val="EEATabcenter"/>
              <w:rPr>
                <w:lang w:eastAsia="de-AT"/>
              </w:rPr>
            </w:pPr>
            <w:r w:rsidRPr="002E582B">
              <w:rPr>
                <w:lang w:eastAsia="de-AT"/>
              </w:rPr>
              <w:t>4-7</w:t>
            </w:r>
          </w:p>
        </w:tc>
        <w:tc>
          <w:tcPr>
            <w:tcW w:w="2070" w:type="dxa"/>
            <w:shd w:val="clear" w:color="auto" w:fill="auto"/>
            <w:noWrap/>
            <w:vAlign w:val="bottom"/>
            <w:hideMark/>
          </w:tcPr>
          <w:p w14:paraId="64685B96" w14:textId="77777777" w:rsidR="002C7353" w:rsidRPr="002E582B" w:rsidRDefault="002C7353" w:rsidP="0095454B">
            <w:pPr>
              <w:pStyle w:val="EEATabcenter"/>
              <w:rPr>
                <w:lang w:eastAsia="de-AT"/>
              </w:rPr>
            </w:pPr>
            <w:r w:rsidRPr="002E582B">
              <w:rPr>
                <w:lang w:eastAsia="de-AT"/>
              </w:rPr>
              <w:t>1.0-1.5</w:t>
            </w:r>
          </w:p>
        </w:tc>
        <w:tc>
          <w:tcPr>
            <w:tcW w:w="2466" w:type="dxa"/>
            <w:shd w:val="clear" w:color="auto" w:fill="auto"/>
            <w:noWrap/>
            <w:vAlign w:val="bottom"/>
            <w:hideMark/>
          </w:tcPr>
          <w:p w14:paraId="128E84C1" w14:textId="77777777" w:rsidR="002C7353" w:rsidRPr="002E582B" w:rsidRDefault="002C7353" w:rsidP="0095454B">
            <w:pPr>
              <w:pStyle w:val="EEATabcenter"/>
              <w:rPr>
                <w:lang w:eastAsia="de-AT"/>
              </w:rPr>
            </w:pPr>
          </w:p>
        </w:tc>
        <w:tc>
          <w:tcPr>
            <w:tcW w:w="2127" w:type="dxa"/>
            <w:vMerge w:val="restart"/>
            <w:shd w:val="clear" w:color="auto" w:fill="auto"/>
            <w:noWrap/>
            <w:vAlign w:val="center"/>
            <w:hideMark/>
          </w:tcPr>
          <w:p w14:paraId="00878BE0" w14:textId="77777777" w:rsidR="002C7353" w:rsidRPr="002E582B" w:rsidRDefault="002C7353" w:rsidP="00CD55D6">
            <w:pPr>
              <w:pStyle w:val="EEATabcenter"/>
              <w:rPr>
                <w:lang w:eastAsia="de-AT"/>
              </w:rPr>
            </w:pPr>
            <w:r w:rsidRPr="002E582B">
              <w:rPr>
                <w:lang w:eastAsia="de-AT"/>
              </w:rPr>
              <w:t>&gt; 2.0</w:t>
            </w:r>
          </w:p>
        </w:tc>
      </w:tr>
      <w:tr w:rsidR="002C7353" w:rsidRPr="002E582B" w14:paraId="7F8DDD89" w14:textId="77777777" w:rsidTr="00B0226A">
        <w:trPr>
          <w:trHeight w:val="300"/>
        </w:trPr>
        <w:tc>
          <w:tcPr>
            <w:tcW w:w="1701" w:type="dxa"/>
            <w:vMerge/>
            <w:vAlign w:val="center"/>
            <w:hideMark/>
          </w:tcPr>
          <w:p w14:paraId="0A924EB3" w14:textId="77777777" w:rsidR="002C7353" w:rsidRPr="0095454B" w:rsidRDefault="002C7353" w:rsidP="0095454B">
            <w:pPr>
              <w:pStyle w:val="EEAtableleft"/>
            </w:pPr>
          </w:p>
        </w:tc>
        <w:tc>
          <w:tcPr>
            <w:tcW w:w="1134" w:type="dxa"/>
            <w:shd w:val="clear" w:color="auto" w:fill="auto"/>
            <w:noWrap/>
            <w:vAlign w:val="bottom"/>
            <w:hideMark/>
          </w:tcPr>
          <w:p w14:paraId="29E1DC34" w14:textId="77777777" w:rsidR="002C7353" w:rsidRPr="002E582B" w:rsidRDefault="002C7353" w:rsidP="0095454B">
            <w:pPr>
              <w:pStyle w:val="EEATabcenter"/>
              <w:rPr>
                <w:lang w:eastAsia="de-AT"/>
              </w:rPr>
            </w:pPr>
            <w:r w:rsidRPr="002E582B">
              <w:rPr>
                <w:lang w:eastAsia="de-AT"/>
              </w:rPr>
              <w:t>8-14</w:t>
            </w:r>
          </w:p>
        </w:tc>
        <w:tc>
          <w:tcPr>
            <w:tcW w:w="2070" w:type="dxa"/>
            <w:shd w:val="clear" w:color="auto" w:fill="auto"/>
            <w:noWrap/>
            <w:vAlign w:val="bottom"/>
            <w:hideMark/>
          </w:tcPr>
          <w:p w14:paraId="58C9930D" w14:textId="77777777" w:rsidR="002C7353" w:rsidRPr="002E582B" w:rsidRDefault="002C7353" w:rsidP="0095454B">
            <w:pPr>
              <w:pStyle w:val="EEATabcenter"/>
              <w:rPr>
                <w:lang w:eastAsia="de-AT"/>
              </w:rPr>
            </w:pPr>
            <w:r w:rsidRPr="002E582B">
              <w:rPr>
                <w:lang w:eastAsia="de-AT"/>
              </w:rPr>
              <w:t>1.5-2.0</w:t>
            </w:r>
          </w:p>
        </w:tc>
        <w:tc>
          <w:tcPr>
            <w:tcW w:w="2466" w:type="dxa"/>
            <w:shd w:val="clear" w:color="auto" w:fill="auto"/>
            <w:noWrap/>
            <w:vAlign w:val="bottom"/>
            <w:hideMark/>
          </w:tcPr>
          <w:p w14:paraId="481B4399" w14:textId="77777777" w:rsidR="002C7353" w:rsidRPr="002E582B" w:rsidRDefault="002C7353" w:rsidP="0095454B">
            <w:pPr>
              <w:pStyle w:val="EEATabcenter"/>
              <w:rPr>
                <w:lang w:eastAsia="de-AT"/>
              </w:rPr>
            </w:pPr>
            <w:r w:rsidRPr="002E582B">
              <w:rPr>
                <w:lang w:eastAsia="de-AT"/>
              </w:rPr>
              <w:t>1.6-2.3</w:t>
            </w:r>
          </w:p>
        </w:tc>
        <w:tc>
          <w:tcPr>
            <w:tcW w:w="2127" w:type="dxa"/>
            <w:vMerge/>
            <w:vAlign w:val="center"/>
            <w:hideMark/>
          </w:tcPr>
          <w:p w14:paraId="58FD114F" w14:textId="77777777" w:rsidR="002C7353" w:rsidRPr="002E582B" w:rsidRDefault="002C7353" w:rsidP="00CD55D6">
            <w:pPr>
              <w:pStyle w:val="EEATabcenter"/>
              <w:rPr>
                <w:lang w:eastAsia="de-AT"/>
              </w:rPr>
            </w:pPr>
          </w:p>
        </w:tc>
      </w:tr>
      <w:tr w:rsidR="002C7353" w:rsidRPr="002E582B" w14:paraId="21DB679D" w14:textId="77777777" w:rsidTr="00B0226A">
        <w:trPr>
          <w:trHeight w:val="300"/>
        </w:trPr>
        <w:tc>
          <w:tcPr>
            <w:tcW w:w="1701" w:type="dxa"/>
            <w:vMerge w:val="restart"/>
            <w:shd w:val="clear" w:color="auto" w:fill="auto"/>
            <w:vAlign w:val="center"/>
            <w:hideMark/>
          </w:tcPr>
          <w:p w14:paraId="0078C8CF" w14:textId="77777777" w:rsidR="002C7353" w:rsidRPr="0095454B" w:rsidRDefault="002C7353" w:rsidP="0095454B">
            <w:pPr>
              <w:pStyle w:val="EEAtableleft"/>
            </w:pPr>
            <w:r w:rsidRPr="0095454B">
              <w:t>Medium (15-25% clay)</w:t>
            </w:r>
          </w:p>
        </w:tc>
        <w:tc>
          <w:tcPr>
            <w:tcW w:w="1134" w:type="dxa"/>
            <w:shd w:val="clear" w:color="auto" w:fill="auto"/>
            <w:noWrap/>
            <w:vAlign w:val="bottom"/>
            <w:hideMark/>
          </w:tcPr>
          <w:p w14:paraId="34BC6060" w14:textId="77777777" w:rsidR="002C7353" w:rsidRPr="002E582B" w:rsidRDefault="002C7353" w:rsidP="0095454B">
            <w:pPr>
              <w:pStyle w:val="EEATabcenter"/>
              <w:rPr>
                <w:lang w:eastAsia="de-AT"/>
              </w:rPr>
            </w:pPr>
            <w:r w:rsidRPr="002E582B">
              <w:rPr>
                <w:lang w:eastAsia="de-AT"/>
              </w:rPr>
              <w:t>15-22</w:t>
            </w:r>
          </w:p>
        </w:tc>
        <w:tc>
          <w:tcPr>
            <w:tcW w:w="2070" w:type="dxa"/>
            <w:shd w:val="clear" w:color="auto" w:fill="auto"/>
            <w:noWrap/>
            <w:vAlign w:val="bottom"/>
            <w:hideMark/>
          </w:tcPr>
          <w:p w14:paraId="39CA1F0A" w14:textId="77777777" w:rsidR="002C7353" w:rsidRPr="002E582B" w:rsidRDefault="002C7353" w:rsidP="0095454B">
            <w:pPr>
              <w:pStyle w:val="EEATabcenter"/>
              <w:rPr>
                <w:lang w:eastAsia="de-AT"/>
              </w:rPr>
            </w:pPr>
            <w:r w:rsidRPr="002E582B">
              <w:rPr>
                <w:lang w:eastAsia="de-AT"/>
              </w:rPr>
              <w:t>2.0-2.5</w:t>
            </w:r>
          </w:p>
        </w:tc>
        <w:tc>
          <w:tcPr>
            <w:tcW w:w="2466" w:type="dxa"/>
            <w:shd w:val="clear" w:color="auto" w:fill="auto"/>
            <w:noWrap/>
            <w:vAlign w:val="bottom"/>
            <w:hideMark/>
          </w:tcPr>
          <w:p w14:paraId="1A1591A6" w14:textId="77777777" w:rsidR="002C7353" w:rsidRPr="002E582B" w:rsidRDefault="002C7353" w:rsidP="0095454B">
            <w:pPr>
              <w:pStyle w:val="EEATabcenter"/>
              <w:rPr>
                <w:lang w:eastAsia="de-AT"/>
              </w:rPr>
            </w:pPr>
            <w:r w:rsidRPr="002E582B">
              <w:rPr>
                <w:lang w:eastAsia="de-AT"/>
              </w:rPr>
              <w:t>2.2-3.0</w:t>
            </w:r>
          </w:p>
        </w:tc>
        <w:tc>
          <w:tcPr>
            <w:tcW w:w="2127" w:type="dxa"/>
            <w:vMerge w:val="restart"/>
            <w:shd w:val="clear" w:color="auto" w:fill="auto"/>
            <w:noWrap/>
            <w:vAlign w:val="center"/>
            <w:hideMark/>
          </w:tcPr>
          <w:p w14:paraId="4881425B" w14:textId="77777777" w:rsidR="002C7353" w:rsidRPr="002E582B" w:rsidRDefault="002C7353" w:rsidP="00CD55D6">
            <w:pPr>
              <w:pStyle w:val="EEATabcenter"/>
              <w:rPr>
                <w:lang w:eastAsia="de-AT"/>
              </w:rPr>
            </w:pPr>
            <w:r w:rsidRPr="002E582B">
              <w:rPr>
                <w:lang w:eastAsia="de-AT"/>
              </w:rPr>
              <w:t>&gt; 2.5</w:t>
            </w:r>
          </w:p>
        </w:tc>
      </w:tr>
      <w:tr w:rsidR="002C7353" w:rsidRPr="002E582B" w14:paraId="471DB566" w14:textId="77777777" w:rsidTr="00B0226A">
        <w:trPr>
          <w:trHeight w:val="300"/>
        </w:trPr>
        <w:tc>
          <w:tcPr>
            <w:tcW w:w="1701" w:type="dxa"/>
            <w:vMerge/>
            <w:vAlign w:val="center"/>
            <w:hideMark/>
          </w:tcPr>
          <w:p w14:paraId="7922C19B" w14:textId="77777777" w:rsidR="002C7353" w:rsidRPr="0095454B" w:rsidRDefault="002C7353" w:rsidP="0095454B">
            <w:pPr>
              <w:pStyle w:val="EEAtableleft"/>
            </w:pPr>
          </w:p>
        </w:tc>
        <w:tc>
          <w:tcPr>
            <w:tcW w:w="1134" w:type="dxa"/>
            <w:shd w:val="clear" w:color="auto" w:fill="auto"/>
            <w:noWrap/>
            <w:vAlign w:val="bottom"/>
            <w:hideMark/>
          </w:tcPr>
          <w:p w14:paraId="456A53C4" w14:textId="77777777" w:rsidR="002C7353" w:rsidRPr="002E582B" w:rsidRDefault="002C7353" w:rsidP="0095454B">
            <w:pPr>
              <w:pStyle w:val="EEATabcenter"/>
              <w:rPr>
                <w:lang w:eastAsia="de-AT"/>
              </w:rPr>
            </w:pPr>
            <w:r w:rsidRPr="002E582B">
              <w:rPr>
                <w:lang w:eastAsia="de-AT"/>
              </w:rPr>
              <w:t>23-25</w:t>
            </w:r>
          </w:p>
        </w:tc>
        <w:tc>
          <w:tcPr>
            <w:tcW w:w="2070" w:type="dxa"/>
            <w:shd w:val="clear" w:color="auto" w:fill="auto"/>
            <w:noWrap/>
            <w:vAlign w:val="bottom"/>
            <w:hideMark/>
          </w:tcPr>
          <w:p w14:paraId="1B1C54CE" w14:textId="77777777" w:rsidR="002C7353" w:rsidRPr="002E582B" w:rsidRDefault="002C7353" w:rsidP="0095454B">
            <w:pPr>
              <w:pStyle w:val="EEATabcenter"/>
              <w:rPr>
                <w:lang w:eastAsia="de-AT"/>
              </w:rPr>
            </w:pPr>
            <w:r w:rsidRPr="002E582B">
              <w:rPr>
                <w:lang w:eastAsia="de-AT"/>
              </w:rPr>
              <w:t>2.2-2.8</w:t>
            </w:r>
          </w:p>
        </w:tc>
        <w:tc>
          <w:tcPr>
            <w:tcW w:w="2466" w:type="dxa"/>
            <w:shd w:val="clear" w:color="auto" w:fill="auto"/>
            <w:noWrap/>
            <w:vAlign w:val="bottom"/>
            <w:hideMark/>
          </w:tcPr>
          <w:p w14:paraId="28EE2B12" w14:textId="77777777" w:rsidR="002C7353" w:rsidRPr="002E582B" w:rsidRDefault="002C7353" w:rsidP="0095454B">
            <w:pPr>
              <w:pStyle w:val="EEATabcenter"/>
              <w:rPr>
                <w:lang w:eastAsia="de-AT"/>
              </w:rPr>
            </w:pPr>
            <w:r w:rsidRPr="002E582B">
              <w:rPr>
                <w:lang w:eastAsia="de-AT"/>
              </w:rPr>
              <w:t>2.5-3.3</w:t>
            </w:r>
          </w:p>
        </w:tc>
        <w:tc>
          <w:tcPr>
            <w:tcW w:w="2127" w:type="dxa"/>
            <w:vMerge/>
            <w:vAlign w:val="center"/>
            <w:hideMark/>
          </w:tcPr>
          <w:p w14:paraId="53F708E9" w14:textId="77777777" w:rsidR="002C7353" w:rsidRPr="002E582B" w:rsidRDefault="002C7353" w:rsidP="00CD55D6">
            <w:pPr>
              <w:pStyle w:val="EEATabcenter"/>
              <w:rPr>
                <w:lang w:eastAsia="de-AT"/>
              </w:rPr>
            </w:pPr>
          </w:p>
        </w:tc>
      </w:tr>
      <w:tr w:rsidR="002C7353" w:rsidRPr="002E582B" w14:paraId="4B383C7F" w14:textId="77777777" w:rsidTr="00B0226A">
        <w:trPr>
          <w:trHeight w:val="300"/>
        </w:trPr>
        <w:tc>
          <w:tcPr>
            <w:tcW w:w="1701" w:type="dxa"/>
            <w:vMerge w:val="restart"/>
            <w:shd w:val="clear" w:color="auto" w:fill="auto"/>
            <w:vAlign w:val="center"/>
            <w:hideMark/>
          </w:tcPr>
          <w:p w14:paraId="59C4F354" w14:textId="77777777" w:rsidR="002C7353" w:rsidRPr="0095454B" w:rsidRDefault="002C7353" w:rsidP="0095454B">
            <w:pPr>
              <w:pStyle w:val="EEAtableleft"/>
            </w:pPr>
            <w:r w:rsidRPr="0095454B">
              <w:t>Heavy (&gt;25% clay)</w:t>
            </w:r>
          </w:p>
        </w:tc>
        <w:tc>
          <w:tcPr>
            <w:tcW w:w="1134" w:type="dxa"/>
            <w:shd w:val="clear" w:color="auto" w:fill="auto"/>
            <w:noWrap/>
            <w:vAlign w:val="bottom"/>
            <w:hideMark/>
          </w:tcPr>
          <w:p w14:paraId="73B7BF38" w14:textId="77777777" w:rsidR="002C7353" w:rsidRPr="002E582B" w:rsidRDefault="002C7353" w:rsidP="0095454B">
            <w:pPr>
              <w:pStyle w:val="EEATabcenter"/>
              <w:rPr>
                <w:lang w:eastAsia="de-AT"/>
              </w:rPr>
            </w:pPr>
            <w:r w:rsidRPr="002E582B">
              <w:rPr>
                <w:lang w:eastAsia="de-AT"/>
              </w:rPr>
              <w:t>25-32</w:t>
            </w:r>
          </w:p>
        </w:tc>
        <w:tc>
          <w:tcPr>
            <w:tcW w:w="2070" w:type="dxa"/>
            <w:shd w:val="clear" w:color="auto" w:fill="auto"/>
            <w:noWrap/>
            <w:vAlign w:val="bottom"/>
            <w:hideMark/>
          </w:tcPr>
          <w:p w14:paraId="6B2FC226" w14:textId="77777777" w:rsidR="002C7353" w:rsidRPr="002E582B" w:rsidRDefault="002C7353" w:rsidP="0095454B">
            <w:pPr>
              <w:pStyle w:val="EEATabcenter"/>
              <w:rPr>
                <w:lang w:eastAsia="de-AT"/>
              </w:rPr>
            </w:pPr>
          </w:p>
        </w:tc>
        <w:tc>
          <w:tcPr>
            <w:tcW w:w="2466" w:type="dxa"/>
            <w:shd w:val="clear" w:color="auto" w:fill="auto"/>
            <w:noWrap/>
            <w:vAlign w:val="bottom"/>
            <w:hideMark/>
          </w:tcPr>
          <w:p w14:paraId="223820EB" w14:textId="77777777" w:rsidR="002C7353" w:rsidRPr="002E582B" w:rsidRDefault="002C7353" w:rsidP="0095454B">
            <w:pPr>
              <w:pStyle w:val="EEATabcenter"/>
              <w:rPr>
                <w:lang w:eastAsia="de-AT"/>
              </w:rPr>
            </w:pPr>
            <w:r w:rsidRPr="002E582B">
              <w:rPr>
                <w:lang w:eastAsia="de-AT"/>
              </w:rPr>
              <w:t>3.0-4.0</w:t>
            </w:r>
          </w:p>
        </w:tc>
        <w:tc>
          <w:tcPr>
            <w:tcW w:w="2127" w:type="dxa"/>
            <w:vMerge w:val="restart"/>
            <w:shd w:val="clear" w:color="auto" w:fill="auto"/>
            <w:noWrap/>
            <w:vAlign w:val="center"/>
            <w:hideMark/>
          </w:tcPr>
          <w:p w14:paraId="5E53AD9D" w14:textId="77777777" w:rsidR="002C7353" w:rsidRPr="002E582B" w:rsidRDefault="002C7353" w:rsidP="00CD55D6">
            <w:pPr>
              <w:pStyle w:val="EEATabcenter"/>
              <w:rPr>
                <w:lang w:eastAsia="de-AT"/>
              </w:rPr>
            </w:pPr>
            <w:r w:rsidRPr="002E582B">
              <w:rPr>
                <w:lang w:eastAsia="de-AT"/>
              </w:rPr>
              <w:t>&gt; 3.0</w:t>
            </w:r>
          </w:p>
        </w:tc>
      </w:tr>
      <w:tr w:rsidR="002C7353" w:rsidRPr="002E582B" w14:paraId="188CF487" w14:textId="77777777" w:rsidTr="00B0226A">
        <w:trPr>
          <w:trHeight w:val="300"/>
        </w:trPr>
        <w:tc>
          <w:tcPr>
            <w:tcW w:w="1701" w:type="dxa"/>
            <w:vMerge/>
            <w:vAlign w:val="center"/>
            <w:hideMark/>
          </w:tcPr>
          <w:p w14:paraId="4775B385" w14:textId="77777777" w:rsidR="002C7353" w:rsidRPr="002E582B" w:rsidRDefault="002C7353" w:rsidP="00CD55D6">
            <w:pPr>
              <w:pStyle w:val="EEAtableleft"/>
              <w:rPr>
                <w:color w:val="000000"/>
                <w:szCs w:val="22"/>
                <w:lang w:val="de-AT" w:eastAsia="de-AT"/>
              </w:rPr>
            </w:pPr>
          </w:p>
        </w:tc>
        <w:tc>
          <w:tcPr>
            <w:tcW w:w="1134" w:type="dxa"/>
            <w:shd w:val="clear" w:color="auto" w:fill="auto"/>
            <w:noWrap/>
            <w:vAlign w:val="bottom"/>
            <w:hideMark/>
          </w:tcPr>
          <w:p w14:paraId="0974D7ED" w14:textId="77777777" w:rsidR="002C7353" w:rsidRPr="002E582B" w:rsidRDefault="002C7353" w:rsidP="0095454B">
            <w:pPr>
              <w:pStyle w:val="EEATabcenter"/>
              <w:rPr>
                <w:lang w:val="de-AT" w:eastAsia="de-AT"/>
              </w:rPr>
            </w:pPr>
            <w:r w:rsidRPr="002E582B">
              <w:rPr>
                <w:lang w:val="de-AT" w:eastAsia="de-AT"/>
              </w:rPr>
              <w:t>&gt; 32</w:t>
            </w:r>
          </w:p>
        </w:tc>
        <w:tc>
          <w:tcPr>
            <w:tcW w:w="2070" w:type="dxa"/>
            <w:shd w:val="clear" w:color="auto" w:fill="auto"/>
            <w:noWrap/>
            <w:vAlign w:val="bottom"/>
            <w:hideMark/>
          </w:tcPr>
          <w:p w14:paraId="628C5412" w14:textId="77777777" w:rsidR="002C7353" w:rsidRPr="002E582B" w:rsidRDefault="002C7353" w:rsidP="0095454B">
            <w:pPr>
              <w:pStyle w:val="EEATabcenter"/>
              <w:rPr>
                <w:lang w:val="de-AT" w:eastAsia="de-AT"/>
              </w:rPr>
            </w:pPr>
          </w:p>
        </w:tc>
        <w:tc>
          <w:tcPr>
            <w:tcW w:w="2466" w:type="dxa"/>
            <w:shd w:val="clear" w:color="auto" w:fill="auto"/>
            <w:noWrap/>
            <w:vAlign w:val="bottom"/>
            <w:hideMark/>
          </w:tcPr>
          <w:p w14:paraId="3C82207D" w14:textId="77777777" w:rsidR="002C7353" w:rsidRPr="002E582B" w:rsidRDefault="002C7353" w:rsidP="0095454B">
            <w:pPr>
              <w:pStyle w:val="EEATabcenter"/>
              <w:rPr>
                <w:lang w:val="de-AT" w:eastAsia="de-AT"/>
              </w:rPr>
            </w:pPr>
            <w:r w:rsidRPr="002E582B">
              <w:rPr>
                <w:lang w:val="de-AT" w:eastAsia="de-AT"/>
              </w:rPr>
              <w:t>3.5-4.4</w:t>
            </w:r>
          </w:p>
        </w:tc>
        <w:tc>
          <w:tcPr>
            <w:tcW w:w="2127" w:type="dxa"/>
            <w:vMerge/>
            <w:vAlign w:val="center"/>
            <w:hideMark/>
          </w:tcPr>
          <w:p w14:paraId="67252F1A" w14:textId="77777777" w:rsidR="002C7353" w:rsidRPr="002E582B" w:rsidRDefault="002C7353" w:rsidP="00CD55D6">
            <w:pPr>
              <w:pStyle w:val="EEAtableleft"/>
              <w:rPr>
                <w:color w:val="000000"/>
                <w:szCs w:val="22"/>
                <w:lang w:val="de-AT" w:eastAsia="de-AT"/>
              </w:rPr>
            </w:pPr>
          </w:p>
        </w:tc>
      </w:tr>
      <w:tr w:rsidR="002C7353" w:rsidRPr="002E582B" w14:paraId="40CF9539" w14:textId="77777777" w:rsidTr="00B0226A">
        <w:trPr>
          <w:trHeight w:val="300"/>
        </w:trPr>
        <w:tc>
          <w:tcPr>
            <w:tcW w:w="9498" w:type="dxa"/>
            <w:gridSpan w:val="5"/>
            <w:vAlign w:val="center"/>
          </w:tcPr>
          <w:p w14:paraId="728DB116" w14:textId="0E44252C" w:rsidR="002C7353" w:rsidRPr="002E582B" w:rsidRDefault="002C7353" w:rsidP="00CD55D6">
            <w:pPr>
              <w:pStyle w:val="EEAtableleft"/>
              <w:rPr>
                <w:color w:val="000000"/>
                <w:szCs w:val="22"/>
                <w:lang w:val="de-AT" w:eastAsia="de-AT"/>
              </w:rPr>
            </w:pPr>
          </w:p>
        </w:tc>
      </w:tr>
    </w:tbl>
    <w:p w14:paraId="03CFAEC0" w14:textId="70EB9663" w:rsidR="00B0226A" w:rsidRPr="00B0226A" w:rsidRDefault="00B0226A" w:rsidP="0014349A">
      <w:pPr>
        <w:pStyle w:val="FormatvorlageEEATabfootnoteLinks0cmErsteZeile0cm"/>
        <w:tabs>
          <w:tab w:val="clear" w:pos="851"/>
        </w:tabs>
        <w:ind w:left="709" w:hanging="709"/>
        <w:rPr>
          <w:lang w:val="en-US"/>
        </w:rPr>
      </w:pPr>
      <w:r w:rsidRPr="00B0226A">
        <w:rPr>
          <w:b/>
          <w:lang w:val="en-US" w:eastAsia="de-AT"/>
        </w:rPr>
        <w:t>Note:</w:t>
      </w:r>
      <w:r w:rsidRPr="00B0226A">
        <w:rPr>
          <w:lang w:val="en-US" w:eastAsia="de-AT"/>
        </w:rPr>
        <w:t xml:space="preserve"> </w:t>
      </w:r>
      <w:r>
        <w:rPr>
          <w:lang w:val="en-US" w:eastAsia="de-AT"/>
        </w:rPr>
        <w:tab/>
      </w:r>
      <w:r w:rsidRPr="00B0226A">
        <w:rPr>
          <w:lang w:val="en-US" w:eastAsia="de-AT"/>
        </w:rPr>
        <w:t>*plot sp</w:t>
      </w:r>
      <w:r w:rsidR="0014349A">
        <w:rPr>
          <w:lang w:val="en-US" w:eastAsia="de-AT"/>
        </w:rPr>
        <w:t>e</w:t>
      </w:r>
      <w:r w:rsidRPr="00B0226A">
        <w:rPr>
          <w:lang w:val="en-US" w:eastAsia="de-AT"/>
        </w:rPr>
        <w:t>cific optimal humus contents</w:t>
      </w:r>
    </w:p>
    <w:p w14:paraId="5A903C0F" w14:textId="07FD1FF1" w:rsidR="00B0226A" w:rsidRPr="00B0226A" w:rsidRDefault="00454EA7" w:rsidP="0014349A">
      <w:pPr>
        <w:pStyle w:val="EEASource"/>
        <w:tabs>
          <w:tab w:val="clear" w:pos="851"/>
        </w:tabs>
        <w:ind w:left="709" w:hanging="709"/>
        <w:rPr>
          <w:lang w:val="en-US"/>
        </w:rPr>
      </w:pPr>
      <w:r>
        <w:t>S</w:t>
      </w:r>
      <w:r w:rsidRPr="004712E0">
        <w:t>ource:</w:t>
      </w:r>
      <w:r>
        <w:tab/>
      </w:r>
      <w:r w:rsidRPr="004712E0">
        <w:t xml:space="preserve"> </w:t>
      </w:r>
      <w:r w:rsidR="0014349A">
        <w:t>T</w:t>
      </w:r>
      <w:r w:rsidRPr="004712E0">
        <w:t>rombetti et al. 20</w:t>
      </w:r>
      <w:r>
        <w:t>19</w:t>
      </w:r>
    </w:p>
    <w:p w14:paraId="043E146E" w14:textId="77777777" w:rsidR="00454EA7" w:rsidRDefault="00454EA7" w:rsidP="002C7353"/>
    <w:p w14:paraId="6EAD92AA" w14:textId="360ADF38" w:rsidR="002C7353" w:rsidRDefault="002C7353" w:rsidP="002C7353">
      <w:r w:rsidRPr="00B665C8">
        <w:t>At this stage</w:t>
      </w:r>
      <w:r>
        <w:t>,</w:t>
      </w:r>
      <w:r w:rsidRPr="00B665C8">
        <w:t xml:space="preserve"> </w:t>
      </w:r>
      <w:r>
        <w:t xml:space="preserve">for a Europe-wide application, </w:t>
      </w:r>
      <w:r w:rsidRPr="00B665C8">
        <w:t xml:space="preserve">it is </w:t>
      </w:r>
      <w:r>
        <w:t>currently difficult</w:t>
      </w:r>
      <w:r w:rsidRPr="00B665C8">
        <w:t xml:space="preserve"> to apply the thresholds defined by Körschens et </w:t>
      </w:r>
      <w:r>
        <w:t>al.</w:t>
      </w:r>
      <w:r w:rsidRPr="00B665C8">
        <w:t xml:space="preserve"> (1998) with the available </w:t>
      </w:r>
      <w:r>
        <w:t xml:space="preserve">Europe-wide </w:t>
      </w:r>
      <w:r w:rsidRPr="00B665C8">
        <w:t>texture data</w:t>
      </w:r>
      <w:r>
        <w:t>:</w:t>
      </w:r>
      <w:r w:rsidRPr="00B665C8">
        <w:t xml:space="preserve"> the “fine silt” class (6.3</w:t>
      </w:r>
      <w:r>
        <w:t>-2</w:t>
      </w:r>
      <w:r w:rsidRPr="00B665C8">
        <w:t xml:space="preserve"> μm)</w:t>
      </w:r>
      <w:r>
        <w:t xml:space="preserve"> cannot be isolated</w:t>
      </w:r>
      <w:r w:rsidRPr="00B665C8">
        <w:t>. Beside this</w:t>
      </w:r>
      <w:r>
        <w:t>,</w:t>
      </w:r>
      <w:r w:rsidRPr="00B665C8">
        <w:t xml:space="preserve"> no definition is given for “Sandy soils” or “Loamy soils”</w:t>
      </w:r>
      <w:r>
        <w:t xml:space="preserve">. </w:t>
      </w:r>
      <w:r w:rsidR="001011F9">
        <w:t xml:space="preserve">Similar to </w:t>
      </w:r>
      <w:r>
        <w:t xml:space="preserve">the results of </w:t>
      </w:r>
      <w:r w:rsidR="002E0086">
        <w:fldChar w:fldCharType="begin"/>
      </w:r>
      <w:r w:rsidR="002E0086">
        <w:instrText xml:space="preserve"> REF _Ref64555629 \h </w:instrText>
      </w:r>
      <w:r w:rsidR="002E0086">
        <w:fldChar w:fldCharType="separate"/>
      </w:r>
      <w:r w:rsidR="0067767C" w:rsidRPr="004712E0">
        <w:t xml:space="preserve">Table </w:t>
      </w:r>
      <w:r w:rsidR="0067767C">
        <w:rPr>
          <w:noProof/>
        </w:rPr>
        <w:t>2</w:t>
      </w:r>
      <w:r w:rsidR="0067767C">
        <w:noBreakHyphen/>
      </w:r>
      <w:r w:rsidR="0067767C">
        <w:rPr>
          <w:noProof/>
        </w:rPr>
        <w:t>4</w:t>
      </w:r>
      <w:r w:rsidR="002E0086">
        <w:fldChar w:fldCharType="end"/>
      </w:r>
      <w:r w:rsidR="002E0086">
        <w:t xml:space="preserve"> and </w:t>
      </w:r>
      <w:r w:rsidR="002E0086">
        <w:fldChar w:fldCharType="begin"/>
      </w:r>
      <w:r w:rsidR="002E0086">
        <w:instrText xml:space="preserve"> REF _Ref64555632 \h </w:instrText>
      </w:r>
      <w:r w:rsidR="002E0086">
        <w:fldChar w:fldCharType="separate"/>
      </w:r>
      <w:r w:rsidR="0067767C" w:rsidRPr="004712E0">
        <w:t xml:space="preserve">Table </w:t>
      </w:r>
      <w:r w:rsidR="0067767C">
        <w:rPr>
          <w:noProof/>
        </w:rPr>
        <w:t>2</w:t>
      </w:r>
      <w:r w:rsidR="0067767C">
        <w:noBreakHyphen/>
      </w:r>
      <w:r w:rsidR="0067767C">
        <w:rPr>
          <w:noProof/>
        </w:rPr>
        <w:t>5</w:t>
      </w:r>
      <w:r w:rsidR="002E0086">
        <w:fldChar w:fldCharType="end"/>
      </w:r>
      <w:r>
        <w:t xml:space="preserve">, </w:t>
      </w:r>
      <w:r w:rsidR="00144373">
        <w:t xml:space="preserve">larger data sets are needed to </w:t>
      </w:r>
      <w:r w:rsidR="005C015A">
        <w:t xml:space="preserve">improve </w:t>
      </w:r>
      <w:r w:rsidR="00E57292" w:rsidRPr="00E57292">
        <w:t>representativ</w:t>
      </w:r>
      <w:r w:rsidR="00E57292">
        <w:t>ity</w:t>
      </w:r>
      <w:r w:rsidR="00E57292" w:rsidRPr="00E57292">
        <w:t xml:space="preserve"> </w:t>
      </w:r>
      <w:r w:rsidR="005C015A">
        <w:t>of</w:t>
      </w:r>
      <w:r w:rsidR="00144373">
        <w:t xml:space="preserve"> the values for </w:t>
      </w:r>
      <w:r w:rsidR="000C2807">
        <w:t>larger areas</w:t>
      </w:r>
      <w:r w:rsidR="005C015A">
        <w:t xml:space="preserve"> outside Germany</w:t>
      </w:r>
      <w:r>
        <w:t xml:space="preserve">, </w:t>
      </w:r>
      <w:r w:rsidR="00144373">
        <w:t xml:space="preserve">and to </w:t>
      </w:r>
      <w:r w:rsidR="005C015A">
        <w:t xml:space="preserve">validate </w:t>
      </w:r>
      <w:r>
        <w:t>whether soil functions are limited below these thresholds. However, it can be concluded that threshold</w:t>
      </w:r>
      <w:r w:rsidR="009337CD">
        <w:t>s</w:t>
      </w:r>
      <w:r>
        <w:t xml:space="preserve"> must consider textural class, and that the values presented provide orientation to evaluate the SOC measurements from monitoring.</w:t>
      </w:r>
    </w:p>
    <w:p w14:paraId="13D8C6A1" w14:textId="25E4321E" w:rsidR="000C097B" w:rsidRDefault="000C097B" w:rsidP="002C7353"/>
    <w:p w14:paraId="5A6B68F9" w14:textId="587BC6C7" w:rsidR="000C097B" w:rsidRPr="009D5972" w:rsidRDefault="000C097B" w:rsidP="002C488D">
      <w:pPr>
        <w:pStyle w:val="berschrift2"/>
        <w:numPr>
          <w:ilvl w:val="2"/>
          <w:numId w:val="3"/>
        </w:numPr>
        <w:rPr>
          <w:rStyle w:val="FormatvorlageFormatvorlageberschrift3Zchn1"/>
        </w:rPr>
      </w:pPr>
      <w:bookmarkStart w:id="98" w:name="_Toc83997336"/>
      <w:r w:rsidRPr="000C097B">
        <w:rPr>
          <w:rStyle w:val="FormatvorlageFormatvorlageberschrift3Zchn1"/>
        </w:rPr>
        <w:t xml:space="preserve">SOM thresholds from a </w:t>
      </w:r>
      <w:r w:rsidR="0014349A" w:rsidRPr="000C097B">
        <w:rPr>
          <w:rStyle w:val="FormatvorlageFormatvorlageberschrift3Zchn1"/>
        </w:rPr>
        <w:t>farmer</w:t>
      </w:r>
      <w:r w:rsidRPr="000C097B">
        <w:rPr>
          <w:rStyle w:val="FormatvorlageFormatvorlageberschrift3Zchn1"/>
        </w:rPr>
        <w:t xml:space="preserve"> survey</w:t>
      </w:r>
      <w:bookmarkEnd w:id="98"/>
    </w:p>
    <w:p w14:paraId="3E637B65" w14:textId="77777777" w:rsidR="000C097B" w:rsidRDefault="000C097B" w:rsidP="002C7353"/>
    <w:p w14:paraId="25EB660E" w14:textId="466DD763" w:rsidR="002C7353" w:rsidRDefault="002C7353" w:rsidP="002C7353">
      <w:r w:rsidRPr="00B665C8">
        <w:t>Farmers´ perceptions of minimal carbon concentration needed for maintaining agricultural production levels in a sustainable manner w</w:t>
      </w:r>
      <w:r>
        <w:t>ere</w:t>
      </w:r>
      <w:r w:rsidRPr="00B665C8">
        <w:t xml:space="preserve"> </w:t>
      </w:r>
      <w:r w:rsidRPr="00156853">
        <w:t>investigated by Hijbeek et al. (201</w:t>
      </w:r>
      <w:r w:rsidR="00156853" w:rsidRPr="00156853">
        <w:t>6</w:t>
      </w:r>
      <w:r w:rsidRPr="00156853">
        <w:t>).</w:t>
      </w:r>
      <w:r w:rsidRPr="00B665C8">
        <w:t xml:space="preserve"> Besides a literature review</w:t>
      </w:r>
      <w:r>
        <w:t>,</w:t>
      </w:r>
      <w:r w:rsidRPr="00B665C8">
        <w:t xml:space="preserve"> an extensive farm survey was conducted involving 1452 arable farmers in five European countries (</w:t>
      </w:r>
      <w:r w:rsidR="00E57292" w:rsidRPr="00B665C8">
        <w:t>Austria</w:t>
      </w:r>
      <w:r w:rsidR="00E57292">
        <w:t xml:space="preserve">, </w:t>
      </w:r>
      <w:r w:rsidRPr="00B665C8">
        <w:t>Belgium</w:t>
      </w:r>
      <w:r>
        <w:t>.</w:t>
      </w:r>
      <w:r w:rsidRPr="00B665C8">
        <w:t xml:space="preserve"> Germany</w:t>
      </w:r>
      <w:r>
        <w:t>,</w:t>
      </w:r>
      <w:r w:rsidRPr="00B665C8">
        <w:t xml:space="preserve"> </w:t>
      </w:r>
      <w:r w:rsidR="00E57292" w:rsidRPr="00B665C8">
        <w:t xml:space="preserve">Italy </w:t>
      </w:r>
      <w:r w:rsidR="00E57292">
        <w:t xml:space="preserve">and </w:t>
      </w:r>
      <w:r w:rsidRPr="00B665C8">
        <w:t xml:space="preserve">Spain). Thresholds were derived </w:t>
      </w:r>
      <w:r w:rsidR="0014349A" w:rsidRPr="00B665C8">
        <w:t>based on</w:t>
      </w:r>
      <w:r w:rsidRPr="00B665C8">
        <w:t xml:space="preserve"> a subset pool of 635 farmers (out of 1452) which also reported an average field-level SOM content. Frequency distributions were stratified by soil texture and macro-climatic region. Due to the ‘fuzziness’ of responses to the questionnaire (some farmers perceive SOM deficiency at the same level of SOM compared to farmers who </w:t>
      </w:r>
      <w:r w:rsidRPr="00306ED5">
        <w:t>don’t), and the corresponding statistical weakness, two thresholds were derived in order to have a conservative approach</w:t>
      </w:r>
      <w:r>
        <w:t xml:space="preserve"> (see </w:t>
      </w:r>
      <w:r w:rsidR="002E0086">
        <w:fldChar w:fldCharType="begin"/>
      </w:r>
      <w:r w:rsidR="002E0086">
        <w:instrText xml:space="preserve"> REF _Ref64555866 \h </w:instrText>
      </w:r>
      <w:r w:rsidR="002E0086">
        <w:fldChar w:fldCharType="separate"/>
      </w:r>
      <w:r w:rsidR="0067767C" w:rsidRPr="004712E0">
        <w:t xml:space="preserve">Table </w:t>
      </w:r>
      <w:r w:rsidR="0067767C">
        <w:rPr>
          <w:noProof/>
        </w:rPr>
        <w:t>2</w:t>
      </w:r>
      <w:r w:rsidR="0067767C">
        <w:noBreakHyphen/>
      </w:r>
      <w:r w:rsidR="0067767C">
        <w:rPr>
          <w:noProof/>
        </w:rPr>
        <w:t>9</w:t>
      </w:r>
      <w:r w:rsidR="002E0086">
        <w:fldChar w:fldCharType="end"/>
      </w:r>
      <w:r>
        <w:t xml:space="preserve"> and </w:t>
      </w:r>
      <w:r w:rsidR="002E0086">
        <w:fldChar w:fldCharType="begin"/>
      </w:r>
      <w:r w:rsidR="002E0086">
        <w:instrText xml:space="preserve"> REF _Ref64555874 \h </w:instrText>
      </w:r>
      <w:r w:rsidR="002E0086">
        <w:fldChar w:fldCharType="separate"/>
      </w:r>
      <w:r w:rsidR="0067767C" w:rsidRPr="004712E0">
        <w:t xml:space="preserve">Table </w:t>
      </w:r>
      <w:r w:rsidR="0067767C">
        <w:rPr>
          <w:noProof/>
        </w:rPr>
        <w:t>2</w:t>
      </w:r>
      <w:r w:rsidR="0067767C">
        <w:noBreakHyphen/>
      </w:r>
      <w:r w:rsidR="0067767C">
        <w:rPr>
          <w:noProof/>
        </w:rPr>
        <w:t>10</w:t>
      </w:r>
      <w:r w:rsidR="002E0086">
        <w:fldChar w:fldCharType="end"/>
      </w:r>
      <w:r>
        <w:t>).</w:t>
      </w:r>
    </w:p>
    <w:p w14:paraId="52B6DED5" w14:textId="5D7E3F00" w:rsidR="002C7353" w:rsidRDefault="002C7353" w:rsidP="002C7353"/>
    <w:p w14:paraId="781A2E76" w14:textId="40370E69" w:rsidR="009E53B0" w:rsidRDefault="009E53B0" w:rsidP="00B0226A">
      <w:pPr>
        <w:pStyle w:val="EEALabel"/>
      </w:pPr>
      <w:bookmarkStart w:id="99" w:name="_Ref64555866"/>
      <w:bookmarkStart w:id="100" w:name="_Toc83997509"/>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9</w:t>
      </w:r>
      <w:r w:rsidR="00C76C23">
        <w:fldChar w:fldCharType="end"/>
      </w:r>
      <w:bookmarkEnd w:id="99"/>
      <w:r w:rsidRPr="004712E0">
        <w:t>:</w:t>
      </w:r>
      <w:r w:rsidRPr="004712E0">
        <w:tab/>
        <w:t>Definition of SOM Thresholds for values derived from a farmer’s questionnaire</w:t>
      </w:r>
      <w:bookmarkEnd w:id="100"/>
    </w:p>
    <w:p w14:paraId="228CD033" w14:textId="77777777" w:rsidR="00B0226A" w:rsidRPr="00B0226A" w:rsidRDefault="00B0226A" w:rsidP="00B0226A"/>
    <w:tbl>
      <w:tblPr>
        <w:tblStyle w:val="Tabellenraster"/>
        <w:tblW w:w="9498"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4815"/>
        <w:gridCol w:w="4683"/>
      </w:tblGrid>
      <w:tr w:rsidR="002C7353" w:rsidRPr="008B68C1" w14:paraId="05B2291E" w14:textId="77777777" w:rsidTr="00B0226A">
        <w:trPr>
          <w:tblHeader/>
          <w:jc w:val="center"/>
        </w:trPr>
        <w:tc>
          <w:tcPr>
            <w:tcW w:w="4815" w:type="dxa"/>
            <w:shd w:val="pct10" w:color="auto" w:fill="auto"/>
          </w:tcPr>
          <w:p w14:paraId="4D5CA24B" w14:textId="77777777" w:rsidR="002C7353" w:rsidRPr="003A5A9F" w:rsidRDefault="002C7353" w:rsidP="00CD55D6">
            <w:pPr>
              <w:pStyle w:val="EEAtableleftbold"/>
            </w:pPr>
            <w:r w:rsidRPr="003A5A9F">
              <w:t>Threshold 1</w:t>
            </w:r>
          </w:p>
        </w:tc>
        <w:tc>
          <w:tcPr>
            <w:tcW w:w="4683" w:type="dxa"/>
            <w:shd w:val="pct10" w:color="auto" w:fill="auto"/>
          </w:tcPr>
          <w:p w14:paraId="75CAF1FB" w14:textId="77777777" w:rsidR="002C7353" w:rsidRPr="003A5A9F" w:rsidRDefault="002C7353" w:rsidP="00CD55D6">
            <w:pPr>
              <w:pStyle w:val="EEAtableleftbold"/>
            </w:pPr>
            <w:r w:rsidRPr="003A5A9F">
              <w:t>Threshold 2</w:t>
            </w:r>
          </w:p>
        </w:tc>
      </w:tr>
      <w:tr w:rsidR="002C7353" w:rsidRPr="008B68C1" w14:paraId="5BD9E7DE" w14:textId="77777777" w:rsidTr="00B0226A">
        <w:trPr>
          <w:jc w:val="center"/>
        </w:trPr>
        <w:tc>
          <w:tcPr>
            <w:tcW w:w="4815" w:type="dxa"/>
          </w:tcPr>
          <w:p w14:paraId="1EE00BFD" w14:textId="77777777" w:rsidR="002C7353" w:rsidRPr="008B68C1" w:rsidRDefault="002C7353" w:rsidP="00CD55D6">
            <w:pPr>
              <w:pStyle w:val="EEAtableleft"/>
            </w:pPr>
            <w:r w:rsidRPr="00D85C79">
              <w:t xml:space="preserve">positive judgment of </w:t>
            </w:r>
            <w:r>
              <w:t>the</w:t>
            </w:r>
            <w:r w:rsidRPr="00D85C79">
              <w:t xml:space="preserve"> SOM content (low or very low deficiency</w:t>
            </w:r>
            <w:r>
              <w:t>)</w:t>
            </w:r>
          </w:p>
        </w:tc>
        <w:tc>
          <w:tcPr>
            <w:tcW w:w="4683" w:type="dxa"/>
          </w:tcPr>
          <w:p w14:paraId="1438A335" w14:textId="77777777" w:rsidR="002C7353" w:rsidRPr="008B68C1" w:rsidRDefault="002C7353" w:rsidP="00CD55D6">
            <w:pPr>
              <w:pStyle w:val="EEAtableleft"/>
            </w:pPr>
            <w:r w:rsidRPr="00D85C79">
              <w:t>perceive a high or very high deficiency of SOM</w:t>
            </w:r>
          </w:p>
        </w:tc>
      </w:tr>
      <w:tr w:rsidR="002C7353" w:rsidRPr="008B68C1" w14:paraId="4A845F1A" w14:textId="77777777" w:rsidTr="00B0226A">
        <w:trPr>
          <w:jc w:val="center"/>
        </w:trPr>
        <w:tc>
          <w:tcPr>
            <w:tcW w:w="4815" w:type="dxa"/>
          </w:tcPr>
          <w:p w14:paraId="51A111A7" w14:textId="77777777" w:rsidR="002C7353" w:rsidRDefault="002C7353" w:rsidP="00CD55D6">
            <w:pPr>
              <w:pStyle w:val="EEAtableleft"/>
            </w:pPr>
            <w:r w:rsidRPr="00D85C79">
              <w:t>lowest SOM percentage</w:t>
            </w:r>
            <w:r>
              <w:t xml:space="preserve"> (</w:t>
            </w:r>
            <w:r w:rsidRPr="00D85C79">
              <w:t>10</w:t>
            </w:r>
            <w:r w:rsidRPr="000D3F2A">
              <w:t>th</w:t>
            </w:r>
            <w:r>
              <w:t xml:space="preserve"> </w:t>
            </w:r>
            <w:r w:rsidRPr="00D85C79">
              <w:t>percentile</w:t>
            </w:r>
            <w:r>
              <w:t>)</w:t>
            </w:r>
          </w:p>
        </w:tc>
        <w:tc>
          <w:tcPr>
            <w:tcW w:w="4683" w:type="dxa"/>
          </w:tcPr>
          <w:p w14:paraId="2B2F23FD" w14:textId="77777777" w:rsidR="002C7353" w:rsidRDefault="002C7353" w:rsidP="00CD55D6">
            <w:pPr>
              <w:pStyle w:val="EEAtableleft"/>
            </w:pPr>
            <w:r w:rsidRPr="00D85C79">
              <w:t xml:space="preserve">highest SOM content </w:t>
            </w:r>
            <w:r>
              <w:t>(</w:t>
            </w:r>
            <w:r w:rsidRPr="00D85C79">
              <w:t>90</w:t>
            </w:r>
            <w:r w:rsidRPr="000D3F2A">
              <w:t>th</w:t>
            </w:r>
            <w:r>
              <w:t xml:space="preserve"> </w:t>
            </w:r>
            <w:r w:rsidRPr="00D85C79">
              <w:t>percentile</w:t>
            </w:r>
            <w:r>
              <w:t>)</w:t>
            </w:r>
          </w:p>
        </w:tc>
      </w:tr>
      <w:tr w:rsidR="002C7353" w:rsidRPr="008B68C1" w14:paraId="35EA0688" w14:textId="77777777" w:rsidTr="00B0226A">
        <w:trPr>
          <w:jc w:val="center"/>
        </w:trPr>
        <w:tc>
          <w:tcPr>
            <w:tcW w:w="4815" w:type="dxa"/>
          </w:tcPr>
          <w:p w14:paraId="53413924" w14:textId="77777777" w:rsidR="002C7353" w:rsidRPr="008B68C1" w:rsidRDefault="002C7353" w:rsidP="00CD55D6">
            <w:pPr>
              <w:pStyle w:val="EEAtableleft"/>
            </w:pPr>
            <w:r w:rsidRPr="00D85C79">
              <w:t>below this threshold value</w:t>
            </w:r>
            <w:r>
              <w:t>,</w:t>
            </w:r>
            <w:r w:rsidRPr="00D85C79">
              <w:t xml:space="preserve"> no farmers are expected to be satisfied with their SOM content</w:t>
            </w:r>
          </w:p>
        </w:tc>
        <w:tc>
          <w:tcPr>
            <w:tcW w:w="4683" w:type="dxa"/>
          </w:tcPr>
          <w:p w14:paraId="083A0BF9" w14:textId="77777777" w:rsidR="002C7353" w:rsidRPr="008B68C1" w:rsidRDefault="002C7353" w:rsidP="00CD55D6">
            <w:pPr>
              <w:pStyle w:val="EEAtableleft"/>
            </w:pPr>
            <w:r w:rsidRPr="00D85C79">
              <w:t>above this threshold</w:t>
            </w:r>
            <w:r>
              <w:t>,</w:t>
            </w:r>
            <w:r w:rsidRPr="00D85C79">
              <w:t xml:space="preserve"> no farmers are expected to be dissatisfied with their SOM content</w:t>
            </w:r>
          </w:p>
        </w:tc>
      </w:tr>
    </w:tbl>
    <w:p w14:paraId="69EDDBA3" w14:textId="7FBE6E37" w:rsidR="00B0226A" w:rsidRDefault="00B0226A" w:rsidP="00714D8B">
      <w:pPr>
        <w:pStyle w:val="EEASource"/>
      </w:pPr>
      <w:r w:rsidRPr="00B0226A">
        <w:rPr>
          <w:b/>
        </w:rPr>
        <w:t>Source:</w:t>
      </w:r>
      <w:r>
        <w:tab/>
      </w:r>
      <w:r w:rsidR="0014349A">
        <w:t>A</w:t>
      </w:r>
      <w:r>
        <w:t xml:space="preserve">ccording to </w:t>
      </w:r>
      <w:r w:rsidRPr="00B665C8">
        <w:t xml:space="preserve">Hijbeek et </w:t>
      </w:r>
      <w:r>
        <w:t>al.</w:t>
      </w:r>
      <w:r w:rsidRPr="00B665C8">
        <w:t xml:space="preserve"> </w:t>
      </w:r>
      <w:r w:rsidR="006C63C4">
        <w:t>(</w:t>
      </w:r>
      <w:r w:rsidRPr="00B665C8">
        <w:t>2017</w:t>
      </w:r>
      <w:r w:rsidR="006C63C4">
        <w:t>)</w:t>
      </w:r>
      <w:r w:rsidR="0014349A">
        <w:t>,</w:t>
      </w:r>
      <w:r w:rsidRPr="00B665C8">
        <w:t xml:space="preserve"> extended for this study</w:t>
      </w:r>
    </w:p>
    <w:p w14:paraId="6E6C1BB5" w14:textId="4476B616" w:rsidR="00B0226A" w:rsidRDefault="00B0226A" w:rsidP="002C7353"/>
    <w:p w14:paraId="193455BE" w14:textId="17885782" w:rsidR="00225CCB" w:rsidRDefault="00225CCB">
      <w:pPr>
        <w:suppressAutoHyphens w:val="0"/>
        <w:jc w:val="left"/>
      </w:pPr>
      <w:r>
        <w:br w:type="page"/>
      </w:r>
    </w:p>
    <w:p w14:paraId="6491E413" w14:textId="77777777" w:rsidR="00311C3B" w:rsidRDefault="00311C3B" w:rsidP="002C7353"/>
    <w:p w14:paraId="4F9E14D6" w14:textId="0FC9892C" w:rsidR="009E53B0" w:rsidRDefault="009E53B0" w:rsidP="00B0226A">
      <w:pPr>
        <w:pStyle w:val="EEALabel"/>
      </w:pPr>
      <w:bookmarkStart w:id="101" w:name="_Ref64555874"/>
      <w:bookmarkStart w:id="102" w:name="_Toc83997510"/>
      <w:r w:rsidRPr="004712E0">
        <w:t xml:space="preserve">Table </w:t>
      </w:r>
      <w:r w:rsidR="00C76C23">
        <w:fldChar w:fldCharType="begin"/>
      </w:r>
      <w:r w:rsidR="00C76C23">
        <w:instrText xml:space="preserve"> STYLEREF 1 \s </w:instrText>
      </w:r>
      <w:r w:rsidR="00C76C23">
        <w:fldChar w:fldCharType="separate"/>
      </w:r>
      <w:r w:rsidR="0067767C">
        <w:rPr>
          <w:noProof/>
        </w:rPr>
        <w:t>2</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10</w:t>
      </w:r>
      <w:r w:rsidR="00C76C23">
        <w:fldChar w:fldCharType="end"/>
      </w:r>
      <w:bookmarkEnd w:id="101"/>
      <w:r w:rsidRPr="004712E0">
        <w:t>:</w:t>
      </w:r>
      <w:r w:rsidRPr="004712E0">
        <w:tab/>
        <w:t>SOM thresholds for cropland based on a farmer’s questionnaire</w:t>
      </w:r>
      <w:bookmarkEnd w:id="102"/>
    </w:p>
    <w:p w14:paraId="1EAA9057" w14:textId="77777777" w:rsidR="00B0226A" w:rsidRPr="00B0226A" w:rsidRDefault="00B0226A" w:rsidP="00B0226A"/>
    <w:tbl>
      <w:tblPr>
        <w:tblStyle w:val="Tabellenraster"/>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94"/>
        <w:gridCol w:w="2268"/>
        <w:gridCol w:w="2126"/>
        <w:gridCol w:w="2268"/>
      </w:tblGrid>
      <w:tr w:rsidR="002C7353" w:rsidRPr="00B665C8" w14:paraId="2285C582" w14:textId="77777777" w:rsidTr="00B0226A">
        <w:trPr>
          <w:tblHeader/>
          <w:jc w:val="center"/>
        </w:trPr>
        <w:tc>
          <w:tcPr>
            <w:tcW w:w="2694" w:type="dxa"/>
            <w:shd w:val="pct10" w:color="auto" w:fill="auto"/>
          </w:tcPr>
          <w:p w14:paraId="471A1E7A" w14:textId="77777777" w:rsidR="002C7353" w:rsidRPr="000D3F2A" w:rsidRDefault="002C7353" w:rsidP="00CD55D6">
            <w:pPr>
              <w:pStyle w:val="EEAtableleftbold"/>
            </w:pPr>
            <w:r w:rsidRPr="000D3F2A">
              <w:t>Climate</w:t>
            </w:r>
          </w:p>
        </w:tc>
        <w:tc>
          <w:tcPr>
            <w:tcW w:w="2268" w:type="dxa"/>
            <w:shd w:val="pct10" w:color="auto" w:fill="auto"/>
          </w:tcPr>
          <w:p w14:paraId="5010059C" w14:textId="77777777" w:rsidR="002C7353" w:rsidRPr="000D3F2A" w:rsidRDefault="002C7353" w:rsidP="00CD55D6">
            <w:pPr>
              <w:pStyle w:val="EEAtableleftbold"/>
            </w:pPr>
            <w:r w:rsidRPr="000D3F2A">
              <w:t>Texture</w:t>
            </w:r>
          </w:p>
        </w:tc>
        <w:tc>
          <w:tcPr>
            <w:tcW w:w="2126" w:type="dxa"/>
            <w:shd w:val="pct10" w:color="auto" w:fill="auto"/>
          </w:tcPr>
          <w:p w14:paraId="11B422F7" w14:textId="018121EA" w:rsidR="002C7353" w:rsidRPr="000D3F2A" w:rsidRDefault="002E0086" w:rsidP="00B0226A">
            <w:pPr>
              <w:pStyle w:val="EEATabcenterbold"/>
            </w:pPr>
            <w:r>
              <w:t>Threshold 1</w:t>
            </w:r>
          </w:p>
        </w:tc>
        <w:tc>
          <w:tcPr>
            <w:tcW w:w="2268" w:type="dxa"/>
            <w:shd w:val="pct10" w:color="auto" w:fill="auto"/>
          </w:tcPr>
          <w:p w14:paraId="46AE29C8" w14:textId="0E24D207" w:rsidR="002C7353" w:rsidRPr="000D3F2A" w:rsidRDefault="002E0086" w:rsidP="00B0226A">
            <w:pPr>
              <w:pStyle w:val="EEATabcenterbold"/>
            </w:pPr>
            <w:r>
              <w:t>Threshold 2</w:t>
            </w:r>
          </w:p>
        </w:tc>
      </w:tr>
      <w:tr w:rsidR="002C7353" w14:paraId="61A6353B" w14:textId="77777777" w:rsidTr="00B0226A">
        <w:trPr>
          <w:jc w:val="center"/>
        </w:trPr>
        <w:tc>
          <w:tcPr>
            <w:tcW w:w="2694" w:type="dxa"/>
            <w:vMerge w:val="restart"/>
            <w:vAlign w:val="center"/>
          </w:tcPr>
          <w:p w14:paraId="00F6DCA1" w14:textId="77777777" w:rsidR="002C7353" w:rsidRDefault="002C7353" w:rsidP="00CD55D6">
            <w:pPr>
              <w:pStyle w:val="EEAtableleft"/>
            </w:pPr>
            <w:r>
              <w:t>Atlantic</w:t>
            </w:r>
          </w:p>
        </w:tc>
        <w:tc>
          <w:tcPr>
            <w:tcW w:w="2268" w:type="dxa"/>
          </w:tcPr>
          <w:p w14:paraId="197ABC25" w14:textId="77777777" w:rsidR="002C7353" w:rsidRDefault="002C7353" w:rsidP="00CD55D6">
            <w:pPr>
              <w:pStyle w:val="EEAtableleft"/>
            </w:pPr>
            <w:r>
              <w:t>Coarse</w:t>
            </w:r>
          </w:p>
        </w:tc>
        <w:tc>
          <w:tcPr>
            <w:tcW w:w="2126" w:type="dxa"/>
          </w:tcPr>
          <w:p w14:paraId="14909F01" w14:textId="77777777" w:rsidR="002C7353" w:rsidRDefault="002C7353" w:rsidP="00B0226A">
            <w:pPr>
              <w:pStyle w:val="EEATabcenter"/>
            </w:pPr>
            <w:r>
              <w:t>2.1</w:t>
            </w:r>
          </w:p>
        </w:tc>
        <w:tc>
          <w:tcPr>
            <w:tcW w:w="2268" w:type="dxa"/>
          </w:tcPr>
          <w:p w14:paraId="0B3093E3" w14:textId="77777777" w:rsidR="002C7353" w:rsidRDefault="002C7353" w:rsidP="00B0226A">
            <w:pPr>
              <w:pStyle w:val="EEATabcenter"/>
            </w:pPr>
            <w:r>
              <w:t>3.5</w:t>
            </w:r>
          </w:p>
        </w:tc>
      </w:tr>
      <w:tr w:rsidR="002C7353" w14:paraId="5CDE2EAE" w14:textId="77777777" w:rsidTr="00B0226A">
        <w:trPr>
          <w:jc w:val="center"/>
        </w:trPr>
        <w:tc>
          <w:tcPr>
            <w:tcW w:w="2694" w:type="dxa"/>
            <w:vMerge/>
            <w:vAlign w:val="center"/>
          </w:tcPr>
          <w:p w14:paraId="4054FEC0" w14:textId="77777777" w:rsidR="002C7353" w:rsidRDefault="002C7353" w:rsidP="00CD55D6">
            <w:pPr>
              <w:pStyle w:val="EEAtableleft"/>
            </w:pPr>
          </w:p>
        </w:tc>
        <w:tc>
          <w:tcPr>
            <w:tcW w:w="2268" w:type="dxa"/>
          </w:tcPr>
          <w:p w14:paraId="17BDD389" w14:textId="77777777" w:rsidR="002C7353" w:rsidRDefault="002C7353" w:rsidP="00CD55D6">
            <w:pPr>
              <w:pStyle w:val="EEAtableleft"/>
            </w:pPr>
            <w:r>
              <w:t>Medium</w:t>
            </w:r>
          </w:p>
        </w:tc>
        <w:tc>
          <w:tcPr>
            <w:tcW w:w="2126" w:type="dxa"/>
          </w:tcPr>
          <w:p w14:paraId="6868E2B1" w14:textId="77777777" w:rsidR="002C7353" w:rsidRDefault="002C7353" w:rsidP="00B0226A">
            <w:pPr>
              <w:pStyle w:val="EEATabcenter"/>
            </w:pPr>
            <w:r>
              <w:t>1.7</w:t>
            </w:r>
          </w:p>
        </w:tc>
        <w:tc>
          <w:tcPr>
            <w:tcW w:w="2268" w:type="dxa"/>
          </w:tcPr>
          <w:p w14:paraId="1ACD9BC9" w14:textId="77777777" w:rsidR="002C7353" w:rsidRDefault="002C7353" w:rsidP="00B0226A">
            <w:pPr>
              <w:pStyle w:val="EEATabcenter"/>
            </w:pPr>
            <w:r>
              <w:t>2.6</w:t>
            </w:r>
          </w:p>
        </w:tc>
      </w:tr>
      <w:tr w:rsidR="002C7353" w14:paraId="413A3B1D" w14:textId="77777777" w:rsidTr="00B0226A">
        <w:trPr>
          <w:jc w:val="center"/>
        </w:trPr>
        <w:tc>
          <w:tcPr>
            <w:tcW w:w="2694" w:type="dxa"/>
            <w:vMerge/>
            <w:vAlign w:val="center"/>
          </w:tcPr>
          <w:p w14:paraId="52B1C00C" w14:textId="77777777" w:rsidR="002C7353" w:rsidRDefault="002C7353" w:rsidP="00CD55D6">
            <w:pPr>
              <w:pStyle w:val="EEAtableleft"/>
            </w:pPr>
          </w:p>
        </w:tc>
        <w:tc>
          <w:tcPr>
            <w:tcW w:w="2268" w:type="dxa"/>
          </w:tcPr>
          <w:p w14:paraId="08216959" w14:textId="77777777" w:rsidR="002C7353" w:rsidRDefault="002C7353" w:rsidP="00CD55D6">
            <w:pPr>
              <w:pStyle w:val="EEAtableleft"/>
            </w:pPr>
            <w:r>
              <w:t>Medium fine</w:t>
            </w:r>
          </w:p>
        </w:tc>
        <w:tc>
          <w:tcPr>
            <w:tcW w:w="2126" w:type="dxa"/>
          </w:tcPr>
          <w:p w14:paraId="04D33EC5" w14:textId="1E75C7F1" w:rsidR="002C7353" w:rsidRDefault="002E0086" w:rsidP="002E0086">
            <w:pPr>
              <w:pStyle w:val="EEATabcenter"/>
            </w:pPr>
            <w:r>
              <w:t>2.8</w:t>
            </w:r>
            <w:r w:rsidRPr="002E0086">
              <w:rPr>
                <w:b/>
                <w:vertAlign w:val="superscript"/>
              </w:rPr>
              <w:t>(</w:t>
            </w:r>
            <w:r>
              <w:rPr>
                <w:b/>
                <w:vertAlign w:val="superscript"/>
              </w:rPr>
              <w:t>1</w:t>
            </w:r>
            <w:r w:rsidRPr="002E0086">
              <w:rPr>
                <w:b/>
                <w:vertAlign w:val="superscript"/>
              </w:rPr>
              <w:t>)</w:t>
            </w:r>
          </w:p>
        </w:tc>
        <w:tc>
          <w:tcPr>
            <w:tcW w:w="2268" w:type="dxa"/>
          </w:tcPr>
          <w:p w14:paraId="371BD153" w14:textId="0A6365EA" w:rsidR="002C7353" w:rsidRDefault="002E0086" w:rsidP="00B0226A">
            <w:pPr>
              <w:pStyle w:val="EEATabcenter"/>
            </w:pPr>
            <w:r>
              <w:t>n.a.</w:t>
            </w:r>
          </w:p>
        </w:tc>
      </w:tr>
      <w:tr w:rsidR="002C7353" w14:paraId="6D3FC601" w14:textId="77777777" w:rsidTr="00B0226A">
        <w:trPr>
          <w:jc w:val="center"/>
        </w:trPr>
        <w:tc>
          <w:tcPr>
            <w:tcW w:w="2694" w:type="dxa"/>
            <w:vMerge w:val="restart"/>
            <w:vAlign w:val="center"/>
          </w:tcPr>
          <w:p w14:paraId="71FA98D4" w14:textId="77777777" w:rsidR="002C7353" w:rsidRDefault="002C7353" w:rsidP="00CD55D6">
            <w:pPr>
              <w:pStyle w:val="EEAtableleft"/>
            </w:pPr>
            <w:r>
              <w:t>Continental</w:t>
            </w:r>
          </w:p>
        </w:tc>
        <w:tc>
          <w:tcPr>
            <w:tcW w:w="2268" w:type="dxa"/>
          </w:tcPr>
          <w:p w14:paraId="35C6004A" w14:textId="77777777" w:rsidR="002C7353" w:rsidRDefault="002C7353" w:rsidP="00CD55D6">
            <w:pPr>
              <w:pStyle w:val="EEAtableleft"/>
            </w:pPr>
            <w:r>
              <w:t>Coarse</w:t>
            </w:r>
          </w:p>
        </w:tc>
        <w:tc>
          <w:tcPr>
            <w:tcW w:w="2126" w:type="dxa"/>
          </w:tcPr>
          <w:p w14:paraId="0805F9B8" w14:textId="77777777" w:rsidR="002C7353" w:rsidRDefault="002C7353" w:rsidP="00B0226A">
            <w:pPr>
              <w:pStyle w:val="EEATabcenter"/>
            </w:pPr>
            <w:r>
              <w:t>1.8</w:t>
            </w:r>
          </w:p>
        </w:tc>
        <w:tc>
          <w:tcPr>
            <w:tcW w:w="2268" w:type="dxa"/>
          </w:tcPr>
          <w:p w14:paraId="6849AB5C" w14:textId="77777777" w:rsidR="002C7353" w:rsidRDefault="002C7353" w:rsidP="00B0226A">
            <w:pPr>
              <w:pStyle w:val="EEATabcenter"/>
            </w:pPr>
            <w:r>
              <w:t>2.1</w:t>
            </w:r>
          </w:p>
        </w:tc>
      </w:tr>
      <w:tr w:rsidR="002C7353" w14:paraId="0494D219" w14:textId="77777777" w:rsidTr="00B0226A">
        <w:trPr>
          <w:jc w:val="center"/>
        </w:trPr>
        <w:tc>
          <w:tcPr>
            <w:tcW w:w="2694" w:type="dxa"/>
            <w:vMerge/>
            <w:vAlign w:val="center"/>
          </w:tcPr>
          <w:p w14:paraId="429C0F8C" w14:textId="77777777" w:rsidR="002C7353" w:rsidRDefault="002C7353" w:rsidP="00CD55D6">
            <w:pPr>
              <w:pStyle w:val="EEAtableleft"/>
            </w:pPr>
          </w:p>
        </w:tc>
        <w:tc>
          <w:tcPr>
            <w:tcW w:w="2268" w:type="dxa"/>
          </w:tcPr>
          <w:p w14:paraId="780D3902" w14:textId="77777777" w:rsidR="002C7353" w:rsidRDefault="002C7353" w:rsidP="00CD55D6">
            <w:pPr>
              <w:pStyle w:val="EEAtableleft"/>
            </w:pPr>
            <w:r>
              <w:t>Medium</w:t>
            </w:r>
          </w:p>
        </w:tc>
        <w:tc>
          <w:tcPr>
            <w:tcW w:w="2126" w:type="dxa"/>
          </w:tcPr>
          <w:p w14:paraId="2E51090C" w14:textId="77777777" w:rsidR="002C7353" w:rsidRDefault="002C7353" w:rsidP="00B0226A">
            <w:pPr>
              <w:pStyle w:val="EEATabcenter"/>
            </w:pPr>
            <w:r>
              <w:t>2.3</w:t>
            </w:r>
          </w:p>
        </w:tc>
        <w:tc>
          <w:tcPr>
            <w:tcW w:w="2268" w:type="dxa"/>
          </w:tcPr>
          <w:p w14:paraId="75D4ECFE" w14:textId="77777777" w:rsidR="002C7353" w:rsidRDefault="002C7353" w:rsidP="00B0226A">
            <w:pPr>
              <w:pStyle w:val="EEATabcenter"/>
            </w:pPr>
            <w:r>
              <w:t>3.2*</w:t>
            </w:r>
            <w:r w:rsidRPr="00E37279">
              <w:rPr>
                <w:vertAlign w:val="superscript"/>
              </w:rPr>
              <w:t>)</w:t>
            </w:r>
          </w:p>
        </w:tc>
      </w:tr>
      <w:tr w:rsidR="002C7353" w14:paraId="196A22AC" w14:textId="77777777" w:rsidTr="00B0226A">
        <w:trPr>
          <w:jc w:val="center"/>
        </w:trPr>
        <w:tc>
          <w:tcPr>
            <w:tcW w:w="2694" w:type="dxa"/>
            <w:vMerge/>
            <w:vAlign w:val="center"/>
          </w:tcPr>
          <w:p w14:paraId="5C4CCC71" w14:textId="77777777" w:rsidR="002C7353" w:rsidRDefault="002C7353" w:rsidP="00CD55D6">
            <w:pPr>
              <w:pStyle w:val="EEAtableleft"/>
            </w:pPr>
          </w:p>
        </w:tc>
        <w:tc>
          <w:tcPr>
            <w:tcW w:w="2268" w:type="dxa"/>
          </w:tcPr>
          <w:p w14:paraId="094BF035" w14:textId="77777777" w:rsidR="002C7353" w:rsidRDefault="002C7353" w:rsidP="00CD55D6">
            <w:pPr>
              <w:pStyle w:val="EEAtableleft"/>
            </w:pPr>
            <w:r>
              <w:t>Medium fine</w:t>
            </w:r>
          </w:p>
        </w:tc>
        <w:tc>
          <w:tcPr>
            <w:tcW w:w="2126" w:type="dxa"/>
          </w:tcPr>
          <w:p w14:paraId="414ADCF9" w14:textId="77777777" w:rsidR="002C7353" w:rsidRDefault="002C7353" w:rsidP="00B0226A">
            <w:pPr>
              <w:pStyle w:val="EEATabcenter"/>
            </w:pPr>
            <w:r>
              <w:t>2.0</w:t>
            </w:r>
          </w:p>
        </w:tc>
        <w:tc>
          <w:tcPr>
            <w:tcW w:w="2268" w:type="dxa"/>
          </w:tcPr>
          <w:p w14:paraId="700C0D61" w14:textId="77777777" w:rsidR="002C7353" w:rsidRDefault="002C7353" w:rsidP="00B0226A">
            <w:pPr>
              <w:pStyle w:val="EEATabcenter"/>
            </w:pPr>
            <w:r>
              <w:t>2.4*</w:t>
            </w:r>
            <w:r w:rsidRPr="00E37279">
              <w:rPr>
                <w:vertAlign w:val="superscript"/>
              </w:rPr>
              <w:t>)</w:t>
            </w:r>
          </w:p>
        </w:tc>
      </w:tr>
      <w:tr w:rsidR="002C7353" w14:paraId="64967AA7" w14:textId="77777777" w:rsidTr="00B0226A">
        <w:trPr>
          <w:jc w:val="center"/>
        </w:trPr>
        <w:tc>
          <w:tcPr>
            <w:tcW w:w="2694" w:type="dxa"/>
            <w:vMerge w:val="restart"/>
            <w:vAlign w:val="center"/>
          </w:tcPr>
          <w:p w14:paraId="17C0F1A2" w14:textId="77777777" w:rsidR="002C7353" w:rsidRDefault="002C7353" w:rsidP="00CD55D6">
            <w:pPr>
              <w:pStyle w:val="EEAtableleft"/>
            </w:pPr>
            <w:r>
              <w:t>Mediterranean</w:t>
            </w:r>
          </w:p>
        </w:tc>
        <w:tc>
          <w:tcPr>
            <w:tcW w:w="2268" w:type="dxa"/>
          </w:tcPr>
          <w:p w14:paraId="6002A2D3" w14:textId="77777777" w:rsidR="002C7353" w:rsidRDefault="002C7353" w:rsidP="00CD55D6">
            <w:pPr>
              <w:pStyle w:val="EEAtableleft"/>
            </w:pPr>
            <w:r>
              <w:t>Coarse</w:t>
            </w:r>
          </w:p>
        </w:tc>
        <w:tc>
          <w:tcPr>
            <w:tcW w:w="2126" w:type="dxa"/>
          </w:tcPr>
          <w:p w14:paraId="602D63B9" w14:textId="359A15F9" w:rsidR="002C7353" w:rsidRDefault="002C7353" w:rsidP="002E0086">
            <w:pPr>
              <w:pStyle w:val="EEATabcenter"/>
            </w:pPr>
            <w:r>
              <w:t>1.7</w:t>
            </w:r>
            <w:r w:rsidR="002E0086" w:rsidRPr="002E0086">
              <w:rPr>
                <w:b/>
                <w:vertAlign w:val="superscript"/>
              </w:rPr>
              <w:t>(</w:t>
            </w:r>
            <w:r w:rsidR="002E0086">
              <w:rPr>
                <w:b/>
                <w:vertAlign w:val="superscript"/>
              </w:rPr>
              <w:t>1</w:t>
            </w:r>
            <w:r w:rsidR="002E0086" w:rsidRPr="002E0086">
              <w:rPr>
                <w:b/>
                <w:vertAlign w:val="superscript"/>
              </w:rPr>
              <w:t>)</w:t>
            </w:r>
            <w:r w:rsidR="002E0086">
              <w:rPr>
                <w:vertAlign w:val="superscript"/>
              </w:rPr>
              <w:t xml:space="preserve"> </w:t>
            </w:r>
            <w:r w:rsidR="002E0086" w:rsidRPr="002E0086">
              <w:rPr>
                <w:b/>
                <w:vertAlign w:val="superscript"/>
              </w:rPr>
              <w:t>(</w:t>
            </w:r>
            <w:r w:rsidR="002E0086">
              <w:rPr>
                <w:b/>
                <w:vertAlign w:val="superscript"/>
              </w:rPr>
              <w:t>2</w:t>
            </w:r>
            <w:r w:rsidR="002E0086" w:rsidRPr="002E0086">
              <w:rPr>
                <w:b/>
                <w:vertAlign w:val="superscript"/>
              </w:rPr>
              <w:t>)</w:t>
            </w:r>
          </w:p>
        </w:tc>
        <w:tc>
          <w:tcPr>
            <w:tcW w:w="2268" w:type="dxa"/>
          </w:tcPr>
          <w:p w14:paraId="48579FB3" w14:textId="3E4431DF" w:rsidR="002C7353" w:rsidRDefault="002C7353" w:rsidP="002E0086">
            <w:pPr>
              <w:pStyle w:val="EEATabcenter"/>
            </w:pPr>
            <w:r>
              <w:t>1.1</w:t>
            </w:r>
            <w:r w:rsidR="002E0086" w:rsidRPr="002E0086">
              <w:rPr>
                <w:b/>
                <w:vertAlign w:val="superscript"/>
              </w:rPr>
              <w:t>(</w:t>
            </w:r>
            <w:r w:rsidR="002E0086">
              <w:rPr>
                <w:b/>
                <w:vertAlign w:val="superscript"/>
              </w:rPr>
              <w:t>1</w:t>
            </w:r>
            <w:r w:rsidR="002E0086" w:rsidRPr="002E0086">
              <w:rPr>
                <w:b/>
                <w:vertAlign w:val="superscript"/>
              </w:rPr>
              <w:t>)</w:t>
            </w:r>
            <w:r w:rsidR="002E0086">
              <w:rPr>
                <w:vertAlign w:val="superscript"/>
              </w:rPr>
              <w:t xml:space="preserve"> </w:t>
            </w:r>
            <w:r w:rsidR="002E0086" w:rsidRPr="002E0086">
              <w:rPr>
                <w:b/>
                <w:vertAlign w:val="superscript"/>
              </w:rPr>
              <w:t>(</w:t>
            </w:r>
            <w:r w:rsidR="002E0086">
              <w:rPr>
                <w:b/>
                <w:vertAlign w:val="superscript"/>
              </w:rPr>
              <w:t>2</w:t>
            </w:r>
            <w:r w:rsidR="002E0086" w:rsidRPr="002E0086">
              <w:rPr>
                <w:b/>
                <w:vertAlign w:val="superscript"/>
              </w:rPr>
              <w:t>)</w:t>
            </w:r>
          </w:p>
        </w:tc>
      </w:tr>
      <w:tr w:rsidR="002C7353" w14:paraId="057899F3" w14:textId="77777777" w:rsidTr="00B0226A">
        <w:trPr>
          <w:jc w:val="center"/>
        </w:trPr>
        <w:tc>
          <w:tcPr>
            <w:tcW w:w="2694" w:type="dxa"/>
            <w:vMerge/>
          </w:tcPr>
          <w:p w14:paraId="7BEC56B2" w14:textId="77777777" w:rsidR="002C7353" w:rsidRDefault="002C7353" w:rsidP="00CD55D6">
            <w:pPr>
              <w:pStyle w:val="EEATabfootnote"/>
            </w:pPr>
          </w:p>
        </w:tc>
        <w:tc>
          <w:tcPr>
            <w:tcW w:w="2268" w:type="dxa"/>
          </w:tcPr>
          <w:p w14:paraId="34C6D86F" w14:textId="77777777" w:rsidR="002C7353" w:rsidRDefault="002C7353" w:rsidP="00CD55D6">
            <w:pPr>
              <w:pStyle w:val="EEAtableleft"/>
            </w:pPr>
            <w:r>
              <w:t>Medium</w:t>
            </w:r>
          </w:p>
        </w:tc>
        <w:tc>
          <w:tcPr>
            <w:tcW w:w="2126" w:type="dxa"/>
          </w:tcPr>
          <w:p w14:paraId="4B69F836" w14:textId="77777777" w:rsidR="002C7353" w:rsidRDefault="002C7353" w:rsidP="00B0226A">
            <w:pPr>
              <w:pStyle w:val="EEATabcenter"/>
            </w:pPr>
            <w:r>
              <w:t>1.0</w:t>
            </w:r>
          </w:p>
        </w:tc>
        <w:tc>
          <w:tcPr>
            <w:tcW w:w="2268" w:type="dxa"/>
          </w:tcPr>
          <w:p w14:paraId="3B63F9F2" w14:textId="77777777" w:rsidR="002C7353" w:rsidRDefault="002C7353" w:rsidP="00B0226A">
            <w:pPr>
              <w:pStyle w:val="EEATabcenter"/>
            </w:pPr>
            <w:r>
              <w:t>2.0</w:t>
            </w:r>
          </w:p>
        </w:tc>
      </w:tr>
      <w:tr w:rsidR="002C7353" w14:paraId="4E8F0E97" w14:textId="77777777" w:rsidTr="00B0226A">
        <w:trPr>
          <w:jc w:val="center"/>
        </w:trPr>
        <w:tc>
          <w:tcPr>
            <w:tcW w:w="2694" w:type="dxa"/>
            <w:vMerge/>
          </w:tcPr>
          <w:p w14:paraId="7EB6BB5E" w14:textId="77777777" w:rsidR="002C7353" w:rsidRDefault="002C7353" w:rsidP="00CD55D6">
            <w:pPr>
              <w:pStyle w:val="EEATabfootnote"/>
            </w:pPr>
          </w:p>
        </w:tc>
        <w:tc>
          <w:tcPr>
            <w:tcW w:w="2268" w:type="dxa"/>
          </w:tcPr>
          <w:p w14:paraId="433EF8EA" w14:textId="77777777" w:rsidR="002C7353" w:rsidRDefault="002C7353" w:rsidP="00CD55D6">
            <w:pPr>
              <w:pStyle w:val="EEAtableleft"/>
            </w:pPr>
            <w:r>
              <w:t>Medium fine</w:t>
            </w:r>
          </w:p>
        </w:tc>
        <w:tc>
          <w:tcPr>
            <w:tcW w:w="2126" w:type="dxa"/>
          </w:tcPr>
          <w:p w14:paraId="61DFF4E9" w14:textId="77777777" w:rsidR="002C7353" w:rsidRDefault="002C7353" w:rsidP="00B0226A">
            <w:pPr>
              <w:pStyle w:val="EEATabcenter"/>
            </w:pPr>
            <w:r>
              <w:t>1.3</w:t>
            </w:r>
          </w:p>
        </w:tc>
        <w:tc>
          <w:tcPr>
            <w:tcW w:w="2268" w:type="dxa"/>
          </w:tcPr>
          <w:p w14:paraId="67C3688E" w14:textId="3000EE21" w:rsidR="002C7353" w:rsidRDefault="002C7353" w:rsidP="00B0226A">
            <w:pPr>
              <w:pStyle w:val="EEATabcenter"/>
            </w:pPr>
            <w:r>
              <w:t>1.4</w:t>
            </w:r>
            <w:r w:rsidR="002E0086" w:rsidRPr="002E0086">
              <w:rPr>
                <w:b/>
                <w:vertAlign w:val="superscript"/>
              </w:rPr>
              <w:t>(3)</w:t>
            </w:r>
          </w:p>
        </w:tc>
      </w:tr>
    </w:tbl>
    <w:p w14:paraId="5D9D39CC" w14:textId="433329D8" w:rsidR="00B0226A" w:rsidRDefault="00B0226A" w:rsidP="00714D8B">
      <w:pPr>
        <w:pStyle w:val="EEASource"/>
      </w:pPr>
      <w:r w:rsidRPr="00DD6E4F">
        <w:rPr>
          <w:b/>
        </w:rPr>
        <w:t>Note:</w:t>
      </w:r>
      <w:r>
        <w:tab/>
      </w:r>
      <w:r w:rsidR="002E0086" w:rsidRPr="002E0086">
        <w:rPr>
          <w:b/>
          <w:vertAlign w:val="superscript"/>
        </w:rPr>
        <w:t>(</w:t>
      </w:r>
      <w:r w:rsidR="002E0086">
        <w:rPr>
          <w:b/>
          <w:vertAlign w:val="superscript"/>
        </w:rPr>
        <w:t>1</w:t>
      </w:r>
      <w:r w:rsidR="002E0086" w:rsidRPr="002E0086">
        <w:rPr>
          <w:b/>
          <w:vertAlign w:val="superscript"/>
        </w:rPr>
        <w:t>)</w:t>
      </w:r>
      <w:r>
        <w:rPr>
          <w:vertAlign w:val="superscript"/>
        </w:rPr>
        <w:t xml:space="preserve"> </w:t>
      </w:r>
      <w:r w:rsidRPr="00340B08">
        <w:t xml:space="preserve">high </w:t>
      </w:r>
      <w:proofErr w:type="gramStart"/>
      <w:r w:rsidRPr="00340B08">
        <w:t>uncertainty</w:t>
      </w:r>
      <w:proofErr w:type="gramEnd"/>
      <w:r>
        <w:br/>
      </w:r>
      <w:r w:rsidR="002E0086" w:rsidRPr="002E0086">
        <w:rPr>
          <w:b/>
          <w:vertAlign w:val="superscript"/>
        </w:rPr>
        <w:t>(</w:t>
      </w:r>
      <w:r w:rsidR="002E0086">
        <w:rPr>
          <w:b/>
          <w:vertAlign w:val="superscript"/>
        </w:rPr>
        <w:t>2</w:t>
      </w:r>
      <w:r w:rsidR="002E0086" w:rsidRPr="002E0086">
        <w:rPr>
          <w:b/>
          <w:vertAlign w:val="superscript"/>
        </w:rPr>
        <w:t>)</w:t>
      </w:r>
      <w:r>
        <w:rPr>
          <w:vertAlign w:val="superscript"/>
        </w:rPr>
        <w:t xml:space="preserve"> </w:t>
      </w:r>
      <w:r w:rsidRPr="00340B08">
        <w:t xml:space="preserve">effect </w:t>
      </w:r>
      <w:r>
        <w:t xml:space="preserve">of different groups of </w:t>
      </w:r>
      <w:r w:rsidRPr="00340B08">
        <w:t xml:space="preserve">farmers </w:t>
      </w:r>
      <w:r>
        <w:t xml:space="preserve">in the questionnaire and their </w:t>
      </w:r>
      <w:r w:rsidRPr="00340B08">
        <w:t xml:space="preserve">perceptions </w:t>
      </w:r>
      <w:r>
        <w:t xml:space="preserve">about </w:t>
      </w:r>
      <w:r w:rsidRPr="00340B08">
        <w:t>the SOC level on their farms</w:t>
      </w:r>
    </w:p>
    <w:p w14:paraId="60B93448" w14:textId="7E9152C5" w:rsidR="00B0226A" w:rsidRDefault="00B0226A" w:rsidP="002C7353"/>
    <w:p w14:paraId="264DBC83" w14:textId="7685342D" w:rsidR="002C7353" w:rsidRDefault="002C7353" w:rsidP="002C7353">
      <w:r>
        <w:t>The suggested thresholds (</w:t>
      </w:r>
      <w:r w:rsidR="002E0086">
        <w:fldChar w:fldCharType="begin"/>
      </w:r>
      <w:r w:rsidR="002E0086">
        <w:instrText xml:space="preserve"> REF _Ref64555874 \h </w:instrText>
      </w:r>
      <w:r w:rsidR="002E0086">
        <w:fldChar w:fldCharType="separate"/>
      </w:r>
      <w:r w:rsidR="0067767C" w:rsidRPr="004712E0">
        <w:t xml:space="preserve">Table </w:t>
      </w:r>
      <w:r w:rsidR="0067767C">
        <w:rPr>
          <w:noProof/>
        </w:rPr>
        <w:t>2</w:t>
      </w:r>
      <w:r w:rsidR="0067767C">
        <w:noBreakHyphen/>
      </w:r>
      <w:r w:rsidR="0067767C">
        <w:rPr>
          <w:noProof/>
        </w:rPr>
        <w:t>10</w:t>
      </w:r>
      <w:r w:rsidR="002E0086">
        <w:fldChar w:fldCharType="end"/>
      </w:r>
      <w:r>
        <w:t>) were tested and compared in Trombetti et al. (2020). The shares of cropland which fall below the threshold 1 are 0.1%. 0.5% and 11.1% in the Mediterranean, Atlantic and Continental climatic zones, respectively.</w:t>
      </w:r>
      <w:r w:rsidRPr="00933A06">
        <w:t xml:space="preserve"> </w:t>
      </w:r>
      <w:r>
        <w:t xml:space="preserve">When applying the vulnerability index for soil structure degradation from </w:t>
      </w:r>
      <w:r w:rsidRPr="00156853">
        <w:t>SOC loss, Prout et al. (2020) found</w:t>
      </w:r>
      <w:r>
        <w:t xml:space="preserve"> that 38.2</w:t>
      </w:r>
      <w:r w:rsidR="002E0086">
        <w:t>%</w:t>
      </w:r>
      <w:r>
        <w:t>, 6.6</w:t>
      </w:r>
      <w:r w:rsidR="002E0086">
        <w:t>%</w:t>
      </w:r>
      <w:r>
        <w:t xml:space="preserve">, and 5.6% of arable, grassland and woodland sites in England and Wales, respectively, were degraded. </w:t>
      </w:r>
    </w:p>
    <w:p w14:paraId="0F45B081" w14:textId="77777777" w:rsidR="002C7353" w:rsidRDefault="002C7353" w:rsidP="002C7353"/>
    <w:p w14:paraId="7F910034" w14:textId="58EF9561" w:rsidR="002C7353" w:rsidRDefault="002C7353" w:rsidP="002C7353">
      <w:r>
        <w:t xml:space="preserve">Applying the farmer’s perception of SOC depletion as threshold, there is very little “degraded” cropland area in most of the intensively managed agricultural areas in Europe. This threshold largely considers SOC important for yield dynamics. It is obvious that the initial SOC content of uncultivated soils under permanent vegetation cover has been much higher (see </w:t>
      </w:r>
      <w:r w:rsidR="00616A32">
        <w:fldChar w:fldCharType="begin"/>
      </w:r>
      <w:r w:rsidR="00616A32">
        <w:instrText xml:space="preserve"> REF _Ref64555874 \h </w:instrText>
      </w:r>
      <w:r w:rsidR="00616A32">
        <w:fldChar w:fldCharType="separate"/>
      </w:r>
      <w:r w:rsidR="0067767C" w:rsidRPr="004712E0">
        <w:t xml:space="preserve">Table </w:t>
      </w:r>
      <w:r w:rsidR="0067767C">
        <w:rPr>
          <w:noProof/>
        </w:rPr>
        <w:t>2</w:t>
      </w:r>
      <w:r w:rsidR="0067767C">
        <w:noBreakHyphen/>
      </w:r>
      <w:r w:rsidR="0067767C">
        <w:rPr>
          <w:noProof/>
        </w:rPr>
        <w:t>10</w:t>
      </w:r>
      <w:r w:rsidR="00616A32">
        <w:fldChar w:fldCharType="end"/>
      </w:r>
      <w:r>
        <w:t xml:space="preserve">). Soils – through cultivation – have lost more than 50% of their initial carbon stock. This indicates that cropland soils have already lost a significant amount of their potential to deliver soil functions so that in theory, many cropland soils could be perceived as SOC-degraded. On the other hand, this loss of soil functions, and the re-gain of soil functioning with increasing SOC, is yet difficult to quantify (see also Wiesmeier et al. </w:t>
      </w:r>
      <w:r w:rsidR="00716341">
        <w:t>2019</w:t>
      </w:r>
      <w:r>
        <w:t xml:space="preserve">). </w:t>
      </w:r>
    </w:p>
    <w:p w14:paraId="78C1C5B2" w14:textId="77777777" w:rsidR="002C7353" w:rsidRDefault="002C7353" w:rsidP="002C7353"/>
    <w:p w14:paraId="3CCA32C7" w14:textId="77777777" w:rsidR="002C7353" w:rsidRDefault="002C7353" w:rsidP="002C7353">
      <w:r>
        <w:t xml:space="preserve">When determining and applying SOC thresholds, not only the production function counts. The role of SOC in relation to the various soil functions needs to be considered, for which SOC is an important controlling and enabling </w:t>
      </w:r>
      <w:r w:rsidRPr="00156853">
        <w:t>factor (Wessolek et al. 2008).</w:t>
      </w:r>
      <w:r>
        <w:t xml:space="preserve"> </w:t>
      </w:r>
    </w:p>
    <w:p w14:paraId="08AE748A" w14:textId="214DB16B" w:rsidR="0022597B" w:rsidRPr="006C4C8E" w:rsidRDefault="0022597B">
      <w:pPr>
        <w:suppressAutoHyphens w:val="0"/>
        <w:jc w:val="left"/>
        <w:rPr>
          <w:strike/>
        </w:rPr>
      </w:pPr>
      <w:r w:rsidRPr="006C4C8E">
        <w:rPr>
          <w:strike/>
        </w:rPr>
        <w:br w:type="page"/>
      </w:r>
    </w:p>
    <w:p w14:paraId="5E6486C6" w14:textId="688A4D27" w:rsidR="00FF1E4F" w:rsidRDefault="00FF1E4F" w:rsidP="00D03A96">
      <w:pPr>
        <w:pStyle w:val="berschrift1"/>
        <w:tabs>
          <w:tab w:val="clear" w:pos="567"/>
        </w:tabs>
        <w:ind w:left="426" w:hanging="426"/>
      </w:pPr>
      <w:bookmarkStart w:id="103" w:name="_Toc83997337"/>
      <w:r w:rsidRPr="0022597B">
        <w:lastRenderedPageBreak/>
        <w:t>Soil nutrient status</w:t>
      </w:r>
      <w:r>
        <w:t xml:space="preserve"> – N and P</w:t>
      </w:r>
      <w:bookmarkEnd w:id="103"/>
    </w:p>
    <w:p w14:paraId="5193314C" w14:textId="77777777" w:rsidR="00FF1E4F" w:rsidRDefault="00FF1E4F" w:rsidP="00FF1E4F"/>
    <w:tbl>
      <w:tblPr>
        <w:tblW w:w="0" w:type="auto"/>
        <w:shd w:val="clear" w:color="auto" w:fill="D9D9D9" w:themeFill="background1" w:themeFillShade="D9"/>
        <w:tblLook w:val="04A0" w:firstRow="1" w:lastRow="0" w:firstColumn="1" w:lastColumn="0" w:noHBand="0" w:noVBand="1"/>
      </w:tblPr>
      <w:tblGrid>
        <w:gridCol w:w="9406"/>
      </w:tblGrid>
      <w:tr w:rsidR="00A13FA7" w14:paraId="3F87CFB8" w14:textId="77777777" w:rsidTr="00DD6E4F">
        <w:tc>
          <w:tcPr>
            <w:tcW w:w="9406" w:type="dxa"/>
            <w:shd w:val="clear" w:color="auto" w:fill="D9D9D9" w:themeFill="background1" w:themeFillShade="D9"/>
          </w:tcPr>
          <w:p w14:paraId="2132C7C0" w14:textId="77777777" w:rsidR="00A13FA7" w:rsidRDefault="00A13FA7" w:rsidP="00A13FA7">
            <w:pPr>
              <w:pStyle w:val="EEAspacesm"/>
            </w:pPr>
          </w:p>
          <w:p w14:paraId="0B405EF7" w14:textId="44F072E5" w:rsidR="00A13FA7" w:rsidRDefault="00A13FA7" w:rsidP="00A13FA7">
            <w:r w:rsidRPr="00B10020">
              <w:t xml:space="preserve">Soil nutrient status affects </w:t>
            </w:r>
            <w:r>
              <w:t xml:space="preserve">biomass production in natural soils and </w:t>
            </w:r>
            <w:r w:rsidRPr="00B10020">
              <w:t>crop yields</w:t>
            </w:r>
            <w:r>
              <w:t xml:space="preserve"> in agricultural soils, although the impact is less in fertilized soils</w:t>
            </w:r>
            <w:r w:rsidRPr="00B10020">
              <w:t xml:space="preserve">. </w:t>
            </w:r>
            <w:r w:rsidR="006C63C4" w:rsidRPr="00B10020">
              <w:t>A</w:t>
            </w:r>
            <w:r w:rsidR="006C63C4">
              <w:t xml:space="preserve">n appropriate </w:t>
            </w:r>
            <w:r w:rsidR="006C63C4" w:rsidRPr="00B10020">
              <w:t>nutrient status</w:t>
            </w:r>
            <w:r>
              <w:t xml:space="preserve"> </w:t>
            </w:r>
            <w:r w:rsidRPr="00B10020">
              <w:t xml:space="preserve">has positive impacts on biomass production </w:t>
            </w:r>
            <w:r>
              <w:t xml:space="preserve">and crop yield. </w:t>
            </w:r>
            <w:proofErr w:type="gramStart"/>
            <w:r w:rsidR="007A7E6A">
              <w:t>it</w:t>
            </w:r>
            <w:proofErr w:type="gramEnd"/>
            <w:r w:rsidR="007A7E6A">
              <w:t xml:space="preserve"> is defined by appropriate levels of available macronutrients i.e.</w:t>
            </w:r>
            <w:r w:rsidR="007A7E6A" w:rsidRPr="00B10020">
              <w:t xml:space="preserve"> nitrogen (N)</w:t>
            </w:r>
            <w:r w:rsidR="007A7E6A">
              <w:t xml:space="preserve">, </w:t>
            </w:r>
            <w:r w:rsidR="007A7E6A" w:rsidRPr="00B10020">
              <w:t>phosphorous (P</w:t>
            </w:r>
            <w:r w:rsidR="007A7E6A">
              <w:t xml:space="preserve">), calcium (Ca), magnesium (Mg), potassium (K) and sulphur (S) and micronutrients, i.e. </w:t>
            </w:r>
            <w:r w:rsidR="007A7E6A" w:rsidRPr="00224BF4">
              <w:t>boron (B), zinc (Zn), manganese (Mn), iron (Fe), copper (Cu), molybdenum (M</w:t>
            </w:r>
            <w:r w:rsidR="007A7E6A">
              <w:t xml:space="preserve">o). </w:t>
            </w:r>
            <w:r>
              <w:t>In addition</w:t>
            </w:r>
            <w:r w:rsidR="00254E11">
              <w:t>,</w:t>
            </w:r>
            <w:r>
              <w:t xml:space="preserve"> it affects </w:t>
            </w:r>
            <w:r w:rsidRPr="00B10020">
              <w:t xml:space="preserve">the diversity of </w:t>
            </w:r>
            <w:r>
              <w:t xml:space="preserve">soil </w:t>
            </w:r>
            <w:r w:rsidR="00CA0350">
              <w:t xml:space="preserve">microorganisms, soil animals </w:t>
            </w:r>
            <w:r w:rsidRPr="00B10020">
              <w:t xml:space="preserve">and </w:t>
            </w:r>
            <w:r>
              <w:t>plant species</w:t>
            </w:r>
            <w:r w:rsidR="00FE4BD6">
              <w:t xml:space="preserve">, as well as </w:t>
            </w:r>
            <w:r>
              <w:t>water quality</w:t>
            </w:r>
            <w:r w:rsidRPr="00B10020">
              <w:t xml:space="preserve">. </w:t>
            </w:r>
          </w:p>
        </w:tc>
      </w:tr>
    </w:tbl>
    <w:p w14:paraId="5838A334" w14:textId="77777777" w:rsidR="00A13FA7" w:rsidRDefault="00A13FA7" w:rsidP="00A13FA7"/>
    <w:p w14:paraId="0FD9E82C" w14:textId="77777777" w:rsidR="00A13FA7" w:rsidRPr="00776F43" w:rsidRDefault="00A13FA7" w:rsidP="00A13FA7"/>
    <w:p w14:paraId="35AC9123" w14:textId="7AB8C51E" w:rsidR="00A13FA7" w:rsidRPr="00776F43" w:rsidRDefault="00A13FA7" w:rsidP="00A13FA7">
      <w:pPr>
        <w:pStyle w:val="EEALabel"/>
        <w:rPr>
          <w:rFonts w:eastAsia="Calibri"/>
        </w:rPr>
      </w:pPr>
      <w:bookmarkStart w:id="104" w:name="_Toc55206021"/>
      <w:bookmarkStart w:id="105" w:name="_Toc83997511"/>
      <w:r w:rsidRPr="00776F43">
        <w:t xml:space="preserve">Table </w:t>
      </w:r>
      <w:r w:rsidR="00C76C23">
        <w:fldChar w:fldCharType="begin"/>
      </w:r>
      <w:r w:rsidR="00C76C23">
        <w:instrText xml:space="preserve"> STYLEREF 1 \s </w:instrText>
      </w:r>
      <w:r w:rsidR="00C76C23">
        <w:fldChar w:fldCharType="separate"/>
      </w:r>
      <w:r w:rsidR="0067767C">
        <w:rPr>
          <w:noProof/>
        </w:rPr>
        <w:t>3</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r w:rsidRPr="00776F43">
        <w:t>:</w:t>
      </w:r>
      <w:r w:rsidRPr="00776F43">
        <w:rPr>
          <w:rFonts w:eastAsia="Calibri"/>
        </w:rPr>
        <w:tab/>
      </w:r>
      <w:bookmarkEnd w:id="104"/>
      <w:r w:rsidR="007A7E6A" w:rsidRPr="007A7E6A">
        <w:rPr>
          <w:rFonts w:eastAsia="Calibri"/>
        </w:rPr>
        <w:t xml:space="preserve">Relationship of </w:t>
      </w:r>
      <w:r w:rsidR="00305F7C">
        <w:rPr>
          <w:rFonts w:eastAsia="Calibri"/>
        </w:rPr>
        <w:t>s</w:t>
      </w:r>
      <w:r w:rsidR="007A7E6A" w:rsidRPr="007A7E6A">
        <w:rPr>
          <w:rFonts w:eastAsia="Calibri"/>
        </w:rPr>
        <w:t xml:space="preserve">oil </w:t>
      </w:r>
      <w:r w:rsidR="00305F7C">
        <w:rPr>
          <w:rFonts w:eastAsia="Calibri"/>
        </w:rPr>
        <w:t>n</w:t>
      </w:r>
      <w:r w:rsidR="007A7E6A" w:rsidRPr="007A7E6A">
        <w:rPr>
          <w:rFonts w:eastAsia="Calibri"/>
        </w:rPr>
        <w:t xml:space="preserve">utrient </w:t>
      </w:r>
      <w:r w:rsidR="00305F7C">
        <w:rPr>
          <w:rFonts w:eastAsia="Calibri"/>
        </w:rPr>
        <w:t>s</w:t>
      </w:r>
      <w:r w:rsidR="007A7E6A" w:rsidRPr="007A7E6A">
        <w:rPr>
          <w:rFonts w:eastAsia="Calibri"/>
        </w:rPr>
        <w:t>tatus to key societal needs and soil functions</w:t>
      </w:r>
      <w:bookmarkEnd w:id="105"/>
    </w:p>
    <w:p w14:paraId="3EDE2152" w14:textId="1A9B8061" w:rsidR="00DD6E4F" w:rsidRDefault="00DD6E4F"/>
    <w:tbl>
      <w:tblPr>
        <w:tblW w:w="9214" w:type="dxa"/>
        <w:tblCellMar>
          <w:left w:w="70" w:type="dxa"/>
          <w:right w:w="70" w:type="dxa"/>
        </w:tblCellMar>
        <w:tblLook w:val="04A0" w:firstRow="1" w:lastRow="0" w:firstColumn="1" w:lastColumn="0" w:noHBand="0" w:noVBand="1"/>
      </w:tblPr>
      <w:tblGrid>
        <w:gridCol w:w="1776"/>
        <w:gridCol w:w="5879"/>
        <w:gridCol w:w="1559"/>
      </w:tblGrid>
      <w:tr w:rsidR="007A7E6A" w:rsidRPr="001455B4" w14:paraId="37DC7F63" w14:textId="77777777" w:rsidTr="00AC4033">
        <w:trPr>
          <w:trHeight w:val="239"/>
        </w:trPr>
        <w:tc>
          <w:tcPr>
            <w:tcW w:w="7655" w:type="dxa"/>
            <w:gridSpan w:val="2"/>
            <w:tcBorders>
              <w:top w:val="single" w:sz="4" w:space="0" w:color="auto"/>
              <w:left w:val="nil"/>
              <w:bottom w:val="nil"/>
              <w:right w:val="nil"/>
            </w:tcBorders>
            <w:shd w:val="pct10" w:color="auto" w:fill="auto"/>
            <w:noWrap/>
            <w:vAlign w:val="bottom"/>
            <w:hideMark/>
          </w:tcPr>
          <w:p w14:paraId="6E2EDE32" w14:textId="77777777" w:rsidR="007A7E6A" w:rsidRPr="00AC4033" w:rsidRDefault="007A7E6A" w:rsidP="00AC4033">
            <w:pPr>
              <w:suppressAutoHyphens w:val="0"/>
              <w:jc w:val="left"/>
              <w:rPr>
                <w:b/>
                <w:bCs/>
                <w:color w:val="000000"/>
                <w:szCs w:val="22"/>
                <w:lang w:eastAsia="de-AT"/>
              </w:rPr>
            </w:pPr>
            <w:r w:rsidRPr="00AC4033">
              <w:rPr>
                <w:b/>
                <w:bCs/>
                <w:color w:val="000000"/>
                <w:szCs w:val="22"/>
                <w:lang w:eastAsia="de-AT"/>
              </w:rPr>
              <w:t>Soil nutrient status</w:t>
            </w:r>
          </w:p>
        </w:tc>
        <w:tc>
          <w:tcPr>
            <w:tcW w:w="1559" w:type="dxa"/>
            <w:tcBorders>
              <w:top w:val="single" w:sz="4" w:space="0" w:color="auto"/>
              <w:left w:val="nil"/>
              <w:bottom w:val="nil"/>
              <w:right w:val="nil"/>
            </w:tcBorders>
            <w:shd w:val="pct10" w:color="auto" w:fill="auto"/>
            <w:noWrap/>
            <w:vAlign w:val="bottom"/>
            <w:hideMark/>
          </w:tcPr>
          <w:p w14:paraId="170F0FC4" w14:textId="77777777" w:rsidR="007A7E6A" w:rsidRPr="001455B4" w:rsidRDefault="007A7E6A" w:rsidP="003E7E6E">
            <w:pPr>
              <w:suppressAutoHyphens w:val="0"/>
              <w:jc w:val="left"/>
              <w:rPr>
                <w:b/>
                <w:bCs/>
                <w:color w:val="000000"/>
                <w:szCs w:val="22"/>
                <w:lang w:eastAsia="de-AT"/>
              </w:rPr>
            </w:pPr>
          </w:p>
        </w:tc>
      </w:tr>
      <w:tr w:rsidR="007A7E6A" w:rsidRPr="001455B4" w14:paraId="251FC8C2" w14:textId="77777777" w:rsidTr="00AC4033">
        <w:trPr>
          <w:trHeight w:val="70"/>
        </w:trPr>
        <w:tc>
          <w:tcPr>
            <w:tcW w:w="1776" w:type="dxa"/>
            <w:tcBorders>
              <w:top w:val="nil"/>
              <w:left w:val="nil"/>
              <w:bottom w:val="single" w:sz="4" w:space="0" w:color="auto"/>
              <w:right w:val="nil"/>
            </w:tcBorders>
            <w:shd w:val="pct10" w:color="auto" w:fill="auto"/>
            <w:noWrap/>
            <w:vAlign w:val="bottom"/>
            <w:hideMark/>
          </w:tcPr>
          <w:p w14:paraId="210FC0C0" w14:textId="77777777" w:rsidR="007A7E6A" w:rsidRPr="001455B4" w:rsidRDefault="007A7E6A" w:rsidP="003E7E6E">
            <w:pPr>
              <w:suppressAutoHyphens w:val="0"/>
              <w:jc w:val="left"/>
              <w:rPr>
                <w:rFonts w:ascii="Times New Roman" w:hAnsi="Times New Roman" w:cs="Times New Roman"/>
                <w:sz w:val="20"/>
                <w:lang w:eastAsia="de-AT"/>
              </w:rPr>
            </w:pPr>
          </w:p>
        </w:tc>
        <w:tc>
          <w:tcPr>
            <w:tcW w:w="5879" w:type="dxa"/>
            <w:tcBorders>
              <w:top w:val="nil"/>
              <w:left w:val="nil"/>
              <w:bottom w:val="single" w:sz="4" w:space="0" w:color="auto"/>
              <w:right w:val="nil"/>
            </w:tcBorders>
            <w:shd w:val="pct10" w:color="auto" w:fill="auto"/>
            <w:noWrap/>
            <w:vAlign w:val="bottom"/>
            <w:hideMark/>
          </w:tcPr>
          <w:p w14:paraId="746239AC" w14:textId="77777777" w:rsidR="007A7E6A" w:rsidRPr="001455B4" w:rsidRDefault="007A7E6A" w:rsidP="003E7E6E">
            <w:pPr>
              <w:suppressAutoHyphens w:val="0"/>
              <w:jc w:val="left"/>
              <w:rPr>
                <w:rFonts w:ascii="Times New Roman" w:hAnsi="Times New Roman" w:cs="Times New Roman"/>
                <w:sz w:val="20"/>
                <w:lang w:eastAsia="de-AT"/>
              </w:rPr>
            </w:pPr>
          </w:p>
        </w:tc>
        <w:tc>
          <w:tcPr>
            <w:tcW w:w="1559" w:type="dxa"/>
            <w:tcBorders>
              <w:top w:val="nil"/>
              <w:left w:val="nil"/>
              <w:bottom w:val="single" w:sz="4" w:space="0" w:color="auto"/>
              <w:right w:val="nil"/>
            </w:tcBorders>
            <w:shd w:val="pct10" w:color="auto" w:fill="auto"/>
            <w:noWrap/>
            <w:vAlign w:val="bottom"/>
            <w:hideMark/>
          </w:tcPr>
          <w:p w14:paraId="774B76F7" w14:textId="77777777" w:rsidR="007A7E6A" w:rsidRPr="001455B4" w:rsidRDefault="007A7E6A" w:rsidP="003E7E6E">
            <w:pPr>
              <w:suppressAutoHyphens w:val="0"/>
              <w:jc w:val="left"/>
              <w:rPr>
                <w:rFonts w:ascii="Times New Roman" w:hAnsi="Times New Roman" w:cs="Times New Roman"/>
                <w:sz w:val="20"/>
                <w:lang w:eastAsia="de-AT"/>
              </w:rPr>
            </w:pPr>
          </w:p>
        </w:tc>
      </w:tr>
      <w:tr w:rsidR="007A7E6A" w:rsidRPr="001455B4" w14:paraId="30D4900A" w14:textId="77777777" w:rsidTr="00AC4033">
        <w:trPr>
          <w:trHeight w:val="300"/>
        </w:trPr>
        <w:tc>
          <w:tcPr>
            <w:tcW w:w="1776" w:type="dxa"/>
            <w:tcBorders>
              <w:top w:val="single" w:sz="4" w:space="0" w:color="auto"/>
              <w:bottom w:val="single" w:sz="4" w:space="0" w:color="auto"/>
            </w:tcBorders>
            <w:shd w:val="pct10" w:color="auto" w:fill="auto"/>
            <w:noWrap/>
            <w:vAlign w:val="bottom"/>
            <w:hideMark/>
          </w:tcPr>
          <w:p w14:paraId="4F658B06" w14:textId="77777777" w:rsidR="007A7E6A" w:rsidRPr="001455B4" w:rsidRDefault="007A7E6A" w:rsidP="003E7E6E">
            <w:pPr>
              <w:suppressAutoHyphens w:val="0"/>
              <w:jc w:val="left"/>
              <w:rPr>
                <w:b/>
                <w:bCs/>
                <w:color w:val="000000"/>
                <w:sz w:val="20"/>
                <w:lang w:eastAsia="de-AT"/>
              </w:rPr>
            </w:pPr>
            <w:r w:rsidRPr="001455B4">
              <w:rPr>
                <w:b/>
                <w:bCs/>
                <w:color w:val="000000"/>
                <w:sz w:val="20"/>
                <w:lang w:eastAsia="de-AT"/>
              </w:rPr>
              <w:t>Societal need</w:t>
            </w:r>
          </w:p>
        </w:tc>
        <w:tc>
          <w:tcPr>
            <w:tcW w:w="5879" w:type="dxa"/>
            <w:tcBorders>
              <w:top w:val="single" w:sz="4" w:space="0" w:color="auto"/>
              <w:bottom w:val="single" w:sz="4" w:space="0" w:color="auto"/>
            </w:tcBorders>
            <w:shd w:val="pct10" w:color="auto" w:fill="auto"/>
            <w:noWrap/>
            <w:vAlign w:val="bottom"/>
            <w:hideMark/>
          </w:tcPr>
          <w:p w14:paraId="05934923" w14:textId="77777777" w:rsidR="007A7E6A" w:rsidRPr="001455B4" w:rsidRDefault="007A7E6A" w:rsidP="003E7E6E">
            <w:pPr>
              <w:suppressAutoHyphens w:val="0"/>
              <w:jc w:val="left"/>
              <w:rPr>
                <w:b/>
                <w:bCs/>
                <w:color w:val="000000"/>
                <w:sz w:val="20"/>
                <w:lang w:eastAsia="de-AT"/>
              </w:rPr>
            </w:pPr>
            <w:r w:rsidRPr="001455B4">
              <w:rPr>
                <w:b/>
                <w:bCs/>
                <w:color w:val="000000"/>
                <w:sz w:val="20"/>
                <w:lang w:eastAsia="de-AT"/>
              </w:rPr>
              <w:t>Soil service</w:t>
            </w:r>
          </w:p>
        </w:tc>
        <w:tc>
          <w:tcPr>
            <w:tcW w:w="1559" w:type="dxa"/>
            <w:tcBorders>
              <w:top w:val="single" w:sz="4" w:space="0" w:color="auto"/>
              <w:bottom w:val="single" w:sz="4" w:space="0" w:color="auto"/>
            </w:tcBorders>
            <w:shd w:val="pct10" w:color="auto" w:fill="auto"/>
            <w:noWrap/>
            <w:vAlign w:val="bottom"/>
            <w:hideMark/>
          </w:tcPr>
          <w:p w14:paraId="7E698307" w14:textId="77777777" w:rsidR="007A7E6A" w:rsidRPr="001455B4" w:rsidRDefault="007A7E6A" w:rsidP="003E7E6E">
            <w:pPr>
              <w:suppressAutoHyphens w:val="0"/>
              <w:jc w:val="center"/>
              <w:rPr>
                <w:b/>
                <w:bCs/>
                <w:color w:val="000000"/>
                <w:sz w:val="20"/>
                <w:lang w:eastAsia="de-AT"/>
              </w:rPr>
            </w:pPr>
            <w:r w:rsidRPr="001455B4">
              <w:rPr>
                <w:b/>
                <w:bCs/>
                <w:color w:val="000000"/>
                <w:sz w:val="20"/>
                <w:lang w:eastAsia="de-AT"/>
              </w:rPr>
              <w:t>impact</w:t>
            </w:r>
          </w:p>
        </w:tc>
      </w:tr>
      <w:tr w:rsidR="007A7E6A" w:rsidRPr="001455B4" w14:paraId="7BF29495" w14:textId="77777777" w:rsidTr="00AC4033">
        <w:trPr>
          <w:trHeight w:val="300"/>
        </w:trPr>
        <w:tc>
          <w:tcPr>
            <w:tcW w:w="1776" w:type="dxa"/>
            <w:vMerge w:val="restart"/>
            <w:tcBorders>
              <w:top w:val="single" w:sz="4" w:space="0" w:color="auto"/>
              <w:bottom w:val="single" w:sz="4" w:space="0" w:color="auto"/>
            </w:tcBorders>
            <w:shd w:val="clear" w:color="000000" w:fill="FFFFFF"/>
            <w:noWrap/>
            <w:vAlign w:val="center"/>
            <w:hideMark/>
          </w:tcPr>
          <w:p w14:paraId="65A6AA12" w14:textId="77777777" w:rsidR="007A7E6A" w:rsidRPr="001455B4" w:rsidRDefault="007A7E6A" w:rsidP="003E7E6E">
            <w:pPr>
              <w:suppressAutoHyphens w:val="0"/>
              <w:jc w:val="left"/>
              <w:rPr>
                <w:b/>
                <w:bCs/>
                <w:sz w:val="20"/>
                <w:lang w:eastAsia="de-AT"/>
              </w:rPr>
            </w:pPr>
            <w:r w:rsidRPr="001455B4">
              <w:rPr>
                <w:b/>
                <w:bCs/>
                <w:sz w:val="20"/>
                <w:lang w:eastAsia="de-AT"/>
              </w:rPr>
              <w:t>Biomass</w:t>
            </w:r>
          </w:p>
        </w:tc>
        <w:tc>
          <w:tcPr>
            <w:tcW w:w="5879" w:type="dxa"/>
            <w:tcBorders>
              <w:top w:val="single" w:sz="4" w:space="0" w:color="auto"/>
              <w:bottom w:val="single" w:sz="4" w:space="0" w:color="auto"/>
            </w:tcBorders>
            <w:shd w:val="clear" w:color="auto" w:fill="auto"/>
            <w:vAlign w:val="center"/>
            <w:hideMark/>
          </w:tcPr>
          <w:p w14:paraId="45D75798" w14:textId="77777777" w:rsidR="007A7E6A" w:rsidRPr="001455B4" w:rsidRDefault="007A7E6A" w:rsidP="003E7E6E">
            <w:pPr>
              <w:pStyle w:val="EEAtableleft"/>
              <w:rPr>
                <w:lang w:eastAsia="de-AT"/>
              </w:rPr>
            </w:pPr>
            <w:r w:rsidRPr="001455B4">
              <w:rPr>
                <w:lang w:eastAsia="de-AT"/>
              </w:rPr>
              <w:t>Wood &amp; fibre production</w:t>
            </w:r>
          </w:p>
        </w:tc>
        <w:tc>
          <w:tcPr>
            <w:tcW w:w="1559" w:type="dxa"/>
            <w:tcBorders>
              <w:top w:val="single" w:sz="4" w:space="0" w:color="auto"/>
              <w:bottom w:val="single" w:sz="4" w:space="0" w:color="auto"/>
            </w:tcBorders>
            <w:shd w:val="clear" w:color="000000" w:fill="92D050"/>
            <w:noWrap/>
            <w:vAlign w:val="bottom"/>
            <w:hideMark/>
          </w:tcPr>
          <w:p w14:paraId="71484100" w14:textId="77777777" w:rsidR="007A7E6A" w:rsidRPr="001455B4" w:rsidRDefault="007A7E6A" w:rsidP="00DC7B4A">
            <w:pPr>
              <w:pStyle w:val="EEATabcenter"/>
              <w:rPr>
                <w:lang w:eastAsia="de-AT"/>
              </w:rPr>
            </w:pPr>
            <w:r w:rsidRPr="001455B4">
              <w:rPr>
                <w:lang w:eastAsia="de-AT"/>
              </w:rPr>
              <w:t xml:space="preserve">+ </w:t>
            </w:r>
          </w:p>
        </w:tc>
      </w:tr>
      <w:tr w:rsidR="007A7E6A" w:rsidRPr="001455B4" w14:paraId="032C3C9C" w14:textId="77777777" w:rsidTr="00AC4033">
        <w:trPr>
          <w:trHeight w:val="300"/>
        </w:trPr>
        <w:tc>
          <w:tcPr>
            <w:tcW w:w="1776" w:type="dxa"/>
            <w:vMerge/>
            <w:tcBorders>
              <w:top w:val="single" w:sz="4" w:space="0" w:color="auto"/>
              <w:bottom w:val="single" w:sz="4" w:space="0" w:color="auto"/>
            </w:tcBorders>
            <w:vAlign w:val="center"/>
            <w:hideMark/>
          </w:tcPr>
          <w:p w14:paraId="243B1470" w14:textId="77777777" w:rsidR="007A7E6A" w:rsidRPr="001455B4" w:rsidRDefault="007A7E6A" w:rsidP="003E7E6E">
            <w:pPr>
              <w:suppressAutoHyphens w:val="0"/>
              <w:jc w:val="left"/>
              <w:rPr>
                <w:b/>
                <w:bCs/>
                <w:sz w:val="20"/>
                <w:lang w:eastAsia="de-AT"/>
              </w:rPr>
            </w:pPr>
          </w:p>
        </w:tc>
        <w:tc>
          <w:tcPr>
            <w:tcW w:w="5879" w:type="dxa"/>
            <w:tcBorders>
              <w:top w:val="single" w:sz="4" w:space="0" w:color="auto"/>
              <w:bottom w:val="single" w:sz="4" w:space="0" w:color="auto"/>
            </w:tcBorders>
            <w:shd w:val="clear" w:color="auto" w:fill="auto"/>
            <w:vAlign w:val="center"/>
            <w:hideMark/>
          </w:tcPr>
          <w:p w14:paraId="098BCD5B" w14:textId="77777777" w:rsidR="007A7E6A" w:rsidRPr="001455B4" w:rsidRDefault="007A7E6A" w:rsidP="003E7E6E">
            <w:pPr>
              <w:pStyle w:val="EEAtableleft"/>
              <w:rPr>
                <w:lang w:eastAsia="de-AT"/>
              </w:rPr>
            </w:pPr>
            <w:r w:rsidRPr="001455B4">
              <w:rPr>
                <w:lang w:eastAsia="de-AT"/>
              </w:rPr>
              <w:t>Growth of crops</w:t>
            </w:r>
          </w:p>
        </w:tc>
        <w:tc>
          <w:tcPr>
            <w:tcW w:w="1559" w:type="dxa"/>
            <w:tcBorders>
              <w:top w:val="single" w:sz="4" w:space="0" w:color="auto"/>
              <w:bottom w:val="single" w:sz="4" w:space="0" w:color="auto"/>
            </w:tcBorders>
            <w:shd w:val="clear" w:color="000000" w:fill="92D050"/>
            <w:noWrap/>
            <w:vAlign w:val="bottom"/>
            <w:hideMark/>
          </w:tcPr>
          <w:p w14:paraId="5351C62B" w14:textId="77777777" w:rsidR="007A7E6A" w:rsidRPr="001455B4" w:rsidRDefault="007A7E6A" w:rsidP="00DC7B4A">
            <w:pPr>
              <w:pStyle w:val="EEATabcenter"/>
              <w:rPr>
                <w:lang w:eastAsia="de-AT"/>
              </w:rPr>
            </w:pPr>
            <w:r w:rsidRPr="001455B4">
              <w:rPr>
                <w:lang w:eastAsia="de-AT"/>
              </w:rPr>
              <w:t>+</w:t>
            </w:r>
          </w:p>
        </w:tc>
      </w:tr>
      <w:tr w:rsidR="007A7E6A" w:rsidRPr="001455B4" w14:paraId="16237FD5" w14:textId="77777777" w:rsidTr="00AC4033">
        <w:trPr>
          <w:trHeight w:val="300"/>
        </w:trPr>
        <w:tc>
          <w:tcPr>
            <w:tcW w:w="1776" w:type="dxa"/>
            <w:vMerge w:val="restart"/>
            <w:tcBorders>
              <w:top w:val="single" w:sz="4" w:space="0" w:color="auto"/>
              <w:bottom w:val="single" w:sz="4" w:space="0" w:color="auto"/>
            </w:tcBorders>
            <w:shd w:val="clear" w:color="000000" w:fill="FFFFFF"/>
            <w:noWrap/>
            <w:vAlign w:val="center"/>
            <w:hideMark/>
          </w:tcPr>
          <w:p w14:paraId="531DF01B" w14:textId="77777777" w:rsidR="007A7E6A" w:rsidRPr="001455B4" w:rsidRDefault="007A7E6A" w:rsidP="003E7E6E">
            <w:pPr>
              <w:suppressAutoHyphens w:val="0"/>
              <w:jc w:val="left"/>
              <w:rPr>
                <w:b/>
                <w:bCs/>
                <w:sz w:val="20"/>
                <w:lang w:eastAsia="de-AT"/>
              </w:rPr>
            </w:pPr>
            <w:r w:rsidRPr="001455B4">
              <w:rPr>
                <w:b/>
                <w:bCs/>
                <w:sz w:val="20"/>
                <w:lang w:eastAsia="de-AT"/>
              </w:rPr>
              <w:t>Water</w:t>
            </w:r>
          </w:p>
        </w:tc>
        <w:tc>
          <w:tcPr>
            <w:tcW w:w="5879" w:type="dxa"/>
            <w:tcBorders>
              <w:top w:val="single" w:sz="4" w:space="0" w:color="auto"/>
              <w:bottom w:val="single" w:sz="4" w:space="0" w:color="auto"/>
            </w:tcBorders>
            <w:shd w:val="clear" w:color="auto" w:fill="auto"/>
            <w:vAlign w:val="center"/>
            <w:hideMark/>
          </w:tcPr>
          <w:p w14:paraId="3E9127EF" w14:textId="77777777" w:rsidR="007A7E6A" w:rsidRPr="001455B4" w:rsidRDefault="007A7E6A" w:rsidP="003E7E6E">
            <w:pPr>
              <w:pStyle w:val="EEAtableleft"/>
              <w:rPr>
                <w:lang w:eastAsia="de-AT"/>
              </w:rPr>
            </w:pPr>
            <w:r w:rsidRPr="001455B4">
              <w:rPr>
                <w:lang w:eastAsia="de-AT"/>
              </w:rPr>
              <w:t>Filtering of contaminants</w:t>
            </w:r>
          </w:p>
        </w:tc>
        <w:tc>
          <w:tcPr>
            <w:tcW w:w="1559" w:type="dxa"/>
            <w:tcBorders>
              <w:top w:val="single" w:sz="4" w:space="0" w:color="auto"/>
              <w:bottom w:val="single" w:sz="4" w:space="0" w:color="auto"/>
            </w:tcBorders>
            <w:shd w:val="clear" w:color="000000" w:fill="FFFFFF"/>
            <w:noWrap/>
            <w:vAlign w:val="bottom"/>
            <w:hideMark/>
          </w:tcPr>
          <w:p w14:paraId="61B5CA6C" w14:textId="77777777" w:rsidR="007A7E6A" w:rsidRPr="001455B4" w:rsidRDefault="007A7E6A" w:rsidP="00DC7B4A">
            <w:pPr>
              <w:pStyle w:val="EEATabcenter"/>
              <w:rPr>
                <w:lang w:eastAsia="de-AT"/>
              </w:rPr>
            </w:pPr>
            <w:r w:rsidRPr="001455B4">
              <w:rPr>
                <w:lang w:eastAsia="de-AT"/>
              </w:rPr>
              <w:t>indiff</w:t>
            </w:r>
          </w:p>
        </w:tc>
      </w:tr>
      <w:tr w:rsidR="007A7E6A" w:rsidRPr="001455B4" w14:paraId="5342273D" w14:textId="77777777" w:rsidTr="00AC4033">
        <w:trPr>
          <w:trHeight w:val="300"/>
        </w:trPr>
        <w:tc>
          <w:tcPr>
            <w:tcW w:w="1776" w:type="dxa"/>
            <w:vMerge/>
            <w:tcBorders>
              <w:top w:val="single" w:sz="4" w:space="0" w:color="auto"/>
              <w:bottom w:val="single" w:sz="4" w:space="0" w:color="auto"/>
            </w:tcBorders>
            <w:vAlign w:val="center"/>
            <w:hideMark/>
          </w:tcPr>
          <w:p w14:paraId="6AEBC5C0" w14:textId="77777777" w:rsidR="007A7E6A" w:rsidRPr="001455B4" w:rsidRDefault="007A7E6A" w:rsidP="003E7E6E">
            <w:pPr>
              <w:suppressAutoHyphens w:val="0"/>
              <w:jc w:val="left"/>
              <w:rPr>
                <w:b/>
                <w:bCs/>
                <w:sz w:val="20"/>
                <w:lang w:eastAsia="de-AT"/>
              </w:rPr>
            </w:pPr>
          </w:p>
        </w:tc>
        <w:tc>
          <w:tcPr>
            <w:tcW w:w="5879" w:type="dxa"/>
            <w:tcBorders>
              <w:top w:val="single" w:sz="4" w:space="0" w:color="auto"/>
              <w:bottom w:val="single" w:sz="4" w:space="0" w:color="auto"/>
            </w:tcBorders>
            <w:shd w:val="clear" w:color="auto" w:fill="auto"/>
            <w:vAlign w:val="center"/>
            <w:hideMark/>
          </w:tcPr>
          <w:p w14:paraId="720E3981" w14:textId="77777777" w:rsidR="007A7E6A" w:rsidRPr="001455B4" w:rsidRDefault="007A7E6A" w:rsidP="003E7E6E">
            <w:pPr>
              <w:pStyle w:val="EEAtableleft"/>
              <w:rPr>
                <w:lang w:eastAsia="de-AT"/>
              </w:rPr>
            </w:pPr>
            <w:r w:rsidRPr="001455B4">
              <w:rPr>
                <w:lang w:eastAsia="de-AT"/>
              </w:rPr>
              <w:t>Water storage</w:t>
            </w:r>
          </w:p>
        </w:tc>
        <w:tc>
          <w:tcPr>
            <w:tcW w:w="1559" w:type="dxa"/>
            <w:tcBorders>
              <w:top w:val="single" w:sz="4" w:space="0" w:color="auto"/>
              <w:bottom w:val="single" w:sz="4" w:space="0" w:color="auto"/>
            </w:tcBorders>
            <w:shd w:val="clear" w:color="000000" w:fill="FFFFFF"/>
            <w:noWrap/>
            <w:vAlign w:val="bottom"/>
            <w:hideMark/>
          </w:tcPr>
          <w:p w14:paraId="26C0F34A" w14:textId="77777777" w:rsidR="007A7E6A" w:rsidRPr="001455B4" w:rsidRDefault="007A7E6A" w:rsidP="00DC7B4A">
            <w:pPr>
              <w:pStyle w:val="EEATabcenter"/>
              <w:rPr>
                <w:lang w:eastAsia="de-AT"/>
              </w:rPr>
            </w:pPr>
            <w:r w:rsidRPr="001455B4">
              <w:rPr>
                <w:lang w:eastAsia="de-AT"/>
              </w:rPr>
              <w:t>indiff</w:t>
            </w:r>
          </w:p>
        </w:tc>
      </w:tr>
      <w:tr w:rsidR="007A7E6A" w:rsidRPr="001455B4" w14:paraId="3736268E" w14:textId="77777777" w:rsidTr="00AC4033">
        <w:trPr>
          <w:trHeight w:val="300"/>
        </w:trPr>
        <w:tc>
          <w:tcPr>
            <w:tcW w:w="1776" w:type="dxa"/>
            <w:tcBorders>
              <w:top w:val="single" w:sz="4" w:space="0" w:color="auto"/>
              <w:bottom w:val="single" w:sz="4" w:space="0" w:color="auto"/>
            </w:tcBorders>
            <w:shd w:val="clear" w:color="000000" w:fill="FFFFFF"/>
            <w:noWrap/>
            <w:vAlign w:val="center"/>
            <w:hideMark/>
          </w:tcPr>
          <w:p w14:paraId="2BE82255" w14:textId="77777777" w:rsidR="007A7E6A" w:rsidRPr="00050704" w:rsidRDefault="007A7E6A" w:rsidP="003E7E6E">
            <w:pPr>
              <w:suppressAutoHyphens w:val="0"/>
              <w:jc w:val="left"/>
              <w:rPr>
                <w:b/>
                <w:bCs/>
                <w:sz w:val="20"/>
                <w:lang w:eastAsia="de-AT"/>
              </w:rPr>
            </w:pPr>
            <w:r w:rsidRPr="00050704">
              <w:rPr>
                <w:b/>
                <w:bCs/>
                <w:sz w:val="20"/>
                <w:lang w:eastAsia="de-AT"/>
              </w:rPr>
              <w:t>Climate</w:t>
            </w:r>
          </w:p>
        </w:tc>
        <w:tc>
          <w:tcPr>
            <w:tcW w:w="5879" w:type="dxa"/>
            <w:tcBorders>
              <w:top w:val="single" w:sz="4" w:space="0" w:color="auto"/>
              <w:bottom w:val="single" w:sz="4" w:space="0" w:color="auto"/>
            </w:tcBorders>
            <w:shd w:val="clear" w:color="auto" w:fill="auto"/>
            <w:vAlign w:val="center"/>
            <w:hideMark/>
          </w:tcPr>
          <w:p w14:paraId="0379E230" w14:textId="77777777" w:rsidR="007A7E6A" w:rsidRPr="00050704" w:rsidRDefault="007A7E6A" w:rsidP="003E7E6E">
            <w:pPr>
              <w:pStyle w:val="EEAtableleft"/>
              <w:rPr>
                <w:lang w:eastAsia="de-AT"/>
              </w:rPr>
            </w:pPr>
            <w:r w:rsidRPr="00050704">
              <w:rPr>
                <w:lang w:eastAsia="de-AT"/>
              </w:rPr>
              <w:t>Carbon storage</w:t>
            </w:r>
          </w:p>
        </w:tc>
        <w:tc>
          <w:tcPr>
            <w:tcW w:w="1559" w:type="dxa"/>
            <w:tcBorders>
              <w:top w:val="single" w:sz="4" w:space="0" w:color="auto"/>
              <w:bottom w:val="single" w:sz="4" w:space="0" w:color="auto"/>
            </w:tcBorders>
            <w:shd w:val="clear" w:color="000000" w:fill="FFFFFF"/>
            <w:noWrap/>
            <w:vAlign w:val="bottom"/>
          </w:tcPr>
          <w:p w14:paraId="75E6ED9A" w14:textId="77777777" w:rsidR="007A7E6A" w:rsidRPr="001455B4" w:rsidRDefault="007A7E6A" w:rsidP="00DC7B4A">
            <w:pPr>
              <w:pStyle w:val="EEATabcenter"/>
              <w:rPr>
                <w:lang w:eastAsia="de-AT"/>
              </w:rPr>
            </w:pPr>
            <w:r>
              <w:rPr>
                <w:lang w:eastAsia="de-AT"/>
              </w:rPr>
              <w:t>+/-</w:t>
            </w:r>
          </w:p>
        </w:tc>
      </w:tr>
      <w:tr w:rsidR="007A7E6A" w:rsidRPr="001455B4" w14:paraId="037BBC75" w14:textId="77777777" w:rsidTr="00AC4033">
        <w:trPr>
          <w:trHeight w:val="300"/>
        </w:trPr>
        <w:tc>
          <w:tcPr>
            <w:tcW w:w="1776" w:type="dxa"/>
            <w:tcBorders>
              <w:top w:val="single" w:sz="4" w:space="0" w:color="auto"/>
              <w:bottom w:val="single" w:sz="4" w:space="0" w:color="auto"/>
            </w:tcBorders>
            <w:shd w:val="clear" w:color="000000" w:fill="FFFFFF"/>
            <w:noWrap/>
            <w:vAlign w:val="center"/>
            <w:hideMark/>
          </w:tcPr>
          <w:p w14:paraId="3371E7EF" w14:textId="77777777" w:rsidR="007A7E6A" w:rsidRPr="001455B4" w:rsidRDefault="007A7E6A" w:rsidP="003E7E6E">
            <w:pPr>
              <w:suppressAutoHyphens w:val="0"/>
              <w:jc w:val="left"/>
              <w:rPr>
                <w:b/>
                <w:bCs/>
                <w:sz w:val="20"/>
                <w:lang w:eastAsia="de-AT"/>
              </w:rPr>
            </w:pPr>
            <w:r w:rsidRPr="001455B4">
              <w:rPr>
                <w:b/>
                <w:bCs/>
                <w:sz w:val="20"/>
                <w:lang w:eastAsia="de-AT"/>
              </w:rPr>
              <w:t>Biodiversity</w:t>
            </w:r>
          </w:p>
        </w:tc>
        <w:tc>
          <w:tcPr>
            <w:tcW w:w="5879" w:type="dxa"/>
            <w:tcBorders>
              <w:top w:val="single" w:sz="4" w:space="0" w:color="auto"/>
              <w:bottom w:val="single" w:sz="4" w:space="0" w:color="auto"/>
            </w:tcBorders>
            <w:shd w:val="clear" w:color="auto" w:fill="auto"/>
            <w:vAlign w:val="center"/>
            <w:hideMark/>
          </w:tcPr>
          <w:p w14:paraId="33DB8734" w14:textId="77777777" w:rsidR="007A7E6A" w:rsidRPr="001455B4" w:rsidRDefault="007A7E6A" w:rsidP="003E7E6E">
            <w:pPr>
              <w:pStyle w:val="EEAtableleft"/>
              <w:rPr>
                <w:lang w:eastAsia="de-AT"/>
              </w:rPr>
            </w:pPr>
            <w:r w:rsidRPr="001455B4">
              <w:rPr>
                <w:lang w:eastAsia="de-AT"/>
              </w:rPr>
              <w:t>Habitat for plants, insects, microbes, fungi</w:t>
            </w:r>
          </w:p>
        </w:tc>
        <w:tc>
          <w:tcPr>
            <w:tcW w:w="1559" w:type="dxa"/>
            <w:tcBorders>
              <w:top w:val="single" w:sz="4" w:space="0" w:color="auto"/>
              <w:bottom w:val="single" w:sz="4" w:space="0" w:color="auto"/>
            </w:tcBorders>
            <w:shd w:val="clear" w:color="000000" w:fill="92D050"/>
            <w:noWrap/>
            <w:vAlign w:val="bottom"/>
            <w:hideMark/>
          </w:tcPr>
          <w:p w14:paraId="07DEA565" w14:textId="77777777" w:rsidR="007A7E6A" w:rsidRPr="001455B4" w:rsidRDefault="007A7E6A" w:rsidP="00DC7B4A">
            <w:pPr>
              <w:pStyle w:val="EEATabcenter"/>
              <w:rPr>
                <w:lang w:eastAsia="de-AT"/>
              </w:rPr>
            </w:pPr>
            <w:r w:rsidRPr="001455B4">
              <w:rPr>
                <w:lang w:eastAsia="de-AT"/>
              </w:rPr>
              <w:t>+</w:t>
            </w:r>
          </w:p>
        </w:tc>
      </w:tr>
      <w:tr w:rsidR="007A7E6A" w:rsidRPr="001455B4" w14:paraId="148BE80A" w14:textId="77777777" w:rsidTr="00AC4033">
        <w:trPr>
          <w:trHeight w:val="300"/>
        </w:trPr>
        <w:tc>
          <w:tcPr>
            <w:tcW w:w="1776" w:type="dxa"/>
            <w:vMerge w:val="restart"/>
            <w:tcBorders>
              <w:top w:val="single" w:sz="4" w:space="0" w:color="auto"/>
              <w:bottom w:val="single" w:sz="4" w:space="0" w:color="auto"/>
            </w:tcBorders>
            <w:shd w:val="clear" w:color="auto" w:fill="auto"/>
            <w:noWrap/>
            <w:vAlign w:val="center"/>
            <w:hideMark/>
          </w:tcPr>
          <w:p w14:paraId="3CF980C9" w14:textId="77777777" w:rsidR="007A7E6A" w:rsidRPr="001455B4" w:rsidRDefault="007A7E6A" w:rsidP="003E7E6E">
            <w:pPr>
              <w:suppressAutoHyphens w:val="0"/>
              <w:jc w:val="left"/>
              <w:rPr>
                <w:b/>
                <w:bCs/>
                <w:sz w:val="20"/>
                <w:lang w:eastAsia="de-AT"/>
              </w:rPr>
            </w:pPr>
            <w:r w:rsidRPr="001455B4">
              <w:rPr>
                <w:b/>
                <w:bCs/>
                <w:sz w:val="20"/>
                <w:lang w:eastAsia="de-AT"/>
              </w:rPr>
              <w:t>Infrastructure</w:t>
            </w:r>
          </w:p>
        </w:tc>
        <w:tc>
          <w:tcPr>
            <w:tcW w:w="5879" w:type="dxa"/>
            <w:tcBorders>
              <w:top w:val="single" w:sz="4" w:space="0" w:color="auto"/>
              <w:bottom w:val="single" w:sz="4" w:space="0" w:color="auto"/>
            </w:tcBorders>
            <w:shd w:val="clear" w:color="auto" w:fill="auto"/>
            <w:vAlign w:val="center"/>
            <w:hideMark/>
          </w:tcPr>
          <w:p w14:paraId="4ACE8645" w14:textId="77777777" w:rsidR="007A7E6A" w:rsidRPr="001455B4" w:rsidRDefault="007A7E6A" w:rsidP="003E7E6E">
            <w:pPr>
              <w:pStyle w:val="EEAtableleft"/>
              <w:rPr>
                <w:lang w:eastAsia="de-AT"/>
              </w:rPr>
            </w:pPr>
            <w:r w:rsidRPr="001455B4">
              <w:rPr>
                <w:lang w:eastAsia="de-AT"/>
              </w:rPr>
              <w:t>Platform for infrastructure</w:t>
            </w:r>
          </w:p>
        </w:tc>
        <w:tc>
          <w:tcPr>
            <w:tcW w:w="1559" w:type="dxa"/>
            <w:tcBorders>
              <w:top w:val="single" w:sz="4" w:space="0" w:color="auto"/>
              <w:bottom w:val="single" w:sz="4" w:space="0" w:color="auto"/>
            </w:tcBorders>
            <w:shd w:val="clear" w:color="000000" w:fill="FFFFFF"/>
            <w:noWrap/>
            <w:vAlign w:val="bottom"/>
            <w:hideMark/>
          </w:tcPr>
          <w:p w14:paraId="7001EA71" w14:textId="77777777" w:rsidR="007A7E6A" w:rsidRPr="001455B4" w:rsidRDefault="007A7E6A" w:rsidP="00DC7B4A">
            <w:pPr>
              <w:pStyle w:val="EEATabcenter"/>
              <w:rPr>
                <w:lang w:eastAsia="de-AT"/>
              </w:rPr>
            </w:pPr>
            <w:r w:rsidRPr="001455B4">
              <w:rPr>
                <w:lang w:eastAsia="de-AT"/>
              </w:rPr>
              <w:t>indiff</w:t>
            </w:r>
          </w:p>
        </w:tc>
      </w:tr>
      <w:tr w:rsidR="007A7E6A" w:rsidRPr="001455B4" w14:paraId="65FDF160" w14:textId="77777777" w:rsidTr="00AC4033">
        <w:trPr>
          <w:trHeight w:val="300"/>
        </w:trPr>
        <w:tc>
          <w:tcPr>
            <w:tcW w:w="1776" w:type="dxa"/>
            <w:vMerge/>
            <w:tcBorders>
              <w:top w:val="single" w:sz="4" w:space="0" w:color="auto"/>
              <w:bottom w:val="single" w:sz="4" w:space="0" w:color="auto"/>
            </w:tcBorders>
            <w:vAlign w:val="center"/>
            <w:hideMark/>
          </w:tcPr>
          <w:p w14:paraId="56518C31" w14:textId="77777777" w:rsidR="007A7E6A" w:rsidRPr="001455B4" w:rsidRDefault="007A7E6A" w:rsidP="003E7E6E">
            <w:pPr>
              <w:suppressAutoHyphens w:val="0"/>
              <w:jc w:val="left"/>
              <w:rPr>
                <w:b/>
                <w:bCs/>
                <w:sz w:val="20"/>
                <w:lang w:eastAsia="de-AT"/>
              </w:rPr>
            </w:pPr>
          </w:p>
        </w:tc>
        <w:tc>
          <w:tcPr>
            <w:tcW w:w="5879" w:type="dxa"/>
            <w:tcBorders>
              <w:top w:val="single" w:sz="4" w:space="0" w:color="auto"/>
              <w:bottom w:val="single" w:sz="4" w:space="0" w:color="auto"/>
            </w:tcBorders>
            <w:shd w:val="clear" w:color="auto" w:fill="auto"/>
            <w:vAlign w:val="center"/>
            <w:hideMark/>
          </w:tcPr>
          <w:p w14:paraId="117C155C" w14:textId="77777777" w:rsidR="007A7E6A" w:rsidRPr="001455B4" w:rsidRDefault="007A7E6A" w:rsidP="003E7E6E">
            <w:pPr>
              <w:pStyle w:val="EEAtableleft"/>
              <w:rPr>
                <w:lang w:eastAsia="de-AT"/>
              </w:rPr>
            </w:pPr>
            <w:r w:rsidRPr="001455B4">
              <w:rPr>
                <w:lang w:eastAsia="de-AT"/>
              </w:rPr>
              <w:t>Storage of geological material</w:t>
            </w:r>
          </w:p>
        </w:tc>
        <w:tc>
          <w:tcPr>
            <w:tcW w:w="1559" w:type="dxa"/>
            <w:tcBorders>
              <w:top w:val="single" w:sz="4" w:space="0" w:color="auto"/>
              <w:bottom w:val="single" w:sz="4" w:space="0" w:color="auto"/>
            </w:tcBorders>
            <w:shd w:val="clear" w:color="000000" w:fill="FFFFFF"/>
            <w:noWrap/>
            <w:vAlign w:val="bottom"/>
            <w:hideMark/>
          </w:tcPr>
          <w:p w14:paraId="604C30EE" w14:textId="77777777" w:rsidR="007A7E6A" w:rsidRPr="001455B4" w:rsidRDefault="007A7E6A" w:rsidP="00DC7B4A">
            <w:pPr>
              <w:pStyle w:val="EEATabcenter"/>
              <w:rPr>
                <w:lang w:eastAsia="de-AT"/>
              </w:rPr>
            </w:pPr>
            <w:r w:rsidRPr="001455B4">
              <w:rPr>
                <w:lang w:eastAsia="de-AT"/>
              </w:rPr>
              <w:t>indiff</w:t>
            </w:r>
          </w:p>
        </w:tc>
      </w:tr>
    </w:tbl>
    <w:p w14:paraId="6C513330" w14:textId="0F89A985" w:rsidR="007A7E6A" w:rsidRDefault="007A7E6A"/>
    <w:p w14:paraId="69E6D5B0" w14:textId="7063433C" w:rsidR="00F556FE" w:rsidRDefault="00FE4BD6" w:rsidP="00A13FA7">
      <w:r w:rsidRPr="00FE4BD6">
        <w:t xml:space="preserve">The most important soil nutrients are N and P. Together with soil pH, which is strongly related to the availability of the base cations Ca, Mg and K but also to the availability of micronutrients (especially Fe, Zn and Mn) and of toxic aluminium (Al), </w:t>
      </w:r>
      <w:r w:rsidR="00980000">
        <w:t xml:space="preserve">they </w:t>
      </w:r>
      <w:r w:rsidRPr="00FE4BD6">
        <w:t xml:space="preserve">are the main determinants of soil fertility. These </w:t>
      </w:r>
      <w:r w:rsidR="00980000">
        <w:t>soil parameters</w:t>
      </w:r>
      <w:r w:rsidRPr="00FE4BD6">
        <w:t xml:space="preserve">, i.e. N, P and pH with related impact on other elements, are affected in agriculture by inputs from fertiliser and manure application and atmospheric deposition - the latter being the main source of input in non-agricultural soil. </w:t>
      </w:r>
    </w:p>
    <w:p w14:paraId="4927A167" w14:textId="77777777" w:rsidR="00F556FE" w:rsidRDefault="00F556FE" w:rsidP="00A13FA7"/>
    <w:p w14:paraId="60E6133F" w14:textId="32ACDD7F" w:rsidR="00FE4BD6" w:rsidRDefault="00FE4BD6" w:rsidP="00A13FA7">
      <w:r w:rsidRPr="00FE4BD6">
        <w:t>This section focuses on the Importance of N and P monitoring</w:t>
      </w:r>
      <w:r w:rsidR="00DC7C8E">
        <w:t>. F</w:t>
      </w:r>
      <w:r w:rsidRPr="00FE4BD6">
        <w:t>irst</w:t>
      </w:r>
      <w:r w:rsidR="00DC7C8E">
        <w:t>,</w:t>
      </w:r>
      <w:r w:rsidRPr="00FE4BD6">
        <w:t xml:space="preserve"> the impact of soil N and P input </w:t>
      </w:r>
      <w:r w:rsidR="006F36D9">
        <w:t xml:space="preserve">is described, considering </w:t>
      </w:r>
      <w:r w:rsidRPr="00FE4BD6">
        <w:t>biomass production and crop growth, soil and plant biodiversity and water quality</w:t>
      </w:r>
      <w:r w:rsidR="006F36D9">
        <w:t>. This is</w:t>
      </w:r>
      <w:r w:rsidRPr="00FE4BD6">
        <w:t xml:space="preserve"> followed by an overview of indicators for those impacts</w:t>
      </w:r>
      <w:r w:rsidR="006F36D9">
        <w:t xml:space="preserve">. Finally, </w:t>
      </w:r>
      <w:r w:rsidRPr="00FE4BD6">
        <w:t xml:space="preserve">thresholds </w:t>
      </w:r>
      <w:r w:rsidR="007A1B01">
        <w:t xml:space="preserve">are described, </w:t>
      </w:r>
      <w:r w:rsidRPr="00FE4BD6">
        <w:t xml:space="preserve">below (target levels) or above (critical levels) which the nutrient status should preferably not come. In </w:t>
      </w:r>
      <w:r w:rsidR="007A1B01">
        <w:t>C</w:t>
      </w:r>
      <w:r w:rsidRPr="00FE4BD6">
        <w:t>hapter 4, the same is done for soil acidity</w:t>
      </w:r>
      <w:r w:rsidR="007A1B01">
        <w:t>.</w:t>
      </w:r>
    </w:p>
    <w:p w14:paraId="77A689B9" w14:textId="77777777" w:rsidR="00F556FE" w:rsidRDefault="00F556FE" w:rsidP="00A13FA7"/>
    <w:p w14:paraId="46504790" w14:textId="7E9E80C0" w:rsidR="00A13FA7" w:rsidRDefault="00A13FA7" w:rsidP="00A13FA7">
      <w:pPr>
        <w:pStyle w:val="berschrift2"/>
      </w:pPr>
      <w:bookmarkStart w:id="106" w:name="_Toc54100686"/>
      <w:bookmarkStart w:id="107" w:name="_Toc58973201"/>
      <w:r>
        <w:t xml:space="preserve"> </w:t>
      </w:r>
      <w:bookmarkStart w:id="108" w:name="_Ref64620264"/>
      <w:bookmarkStart w:id="109" w:name="_Toc83997338"/>
      <w:r>
        <w:t xml:space="preserve">Rationale: </w:t>
      </w:r>
      <w:r w:rsidRPr="000B5ACF">
        <w:t xml:space="preserve">impacts of soil </w:t>
      </w:r>
      <w:r>
        <w:t xml:space="preserve">N and P </w:t>
      </w:r>
      <w:r w:rsidRPr="000B5ACF">
        <w:t xml:space="preserve">levels </w:t>
      </w:r>
      <w:r>
        <w:t xml:space="preserve">on biomass production and </w:t>
      </w:r>
      <w:r w:rsidRPr="000B5ACF">
        <w:t>crop growth</w:t>
      </w:r>
      <w:r>
        <w:t xml:space="preserve">, soil and plant diversity and </w:t>
      </w:r>
      <w:r w:rsidRPr="000B5ACF">
        <w:t>water quality</w:t>
      </w:r>
      <w:bookmarkEnd w:id="106"/>
      <w:bookmarkEnd w:id="108"/>
      <w:bookmarkEnd w:id="109"/>
      <w:r>
        <w:t xml:space="preserve"> </w:t>
      </w:r>
      <w:bookmarkEnd w:id="107"/>
      <w:r w:rsidDel="0064308A">
        <w:t xml:space="preserve"> </w:t>
      </w:r>
    </w:p>
    <w:p w14:paraId="10D64418" w14:textId="77777777" w:rsidR="00A13FA7" w:rsidRDefault="00A13FA7" w:rsidP="00A13FA7"/>
    <w:p w14:paraId="06FF0BF6" w14:textId="7C163F1C" w:rsidR="00A13FA7" w:rsidRPr="009D5972" w:rsidDel="002C000D" w:rsidRDefault="009066DB" w:rsidP="002C488D">
      <w:pPr>
        <w:pStyle w:val="berschrift2"/>
        <w:numPr>
          <w:ilvl w:val="2"/>
          <w:numId w:val="3"/>
        </w:numPr>
        <w:tabs>
          <w:tab w:val="num" w:pos="360"/>
        </w:tabs>
        <w:rPr>
          <w:rStyle w:val="FormatvorlageFormatvorlageberschrift3Zchn1"/>
        </w:rPr>
      </w:pPr>
      <w:bookmarkStart w:id="110" w:name="_Toc58964261"/>
      <w:bookmarkStart w:id="111" w:name="_Toc58973202"/>
      <w:bookmarkStart w:id="112" w:name="_Toc83997339"/>
      <w:bookmarkStart w:id="113" w:name="_Hlk57469889"/>
      <w:r>
        <w:rPr>
          <w:rStyle w:val="FormatvorlageFormatvorlageberschrift3Zchn1"/>
        </w:rPr>
        <w:t>The fate</w:t>
      </w:r>
      <w:r w:rsidR="00A13FA7" w:rsidRPr="009D5972">
        <w:rPr>
          <w:rStyle w:val="FormatvorlageFormatvorlageberschrift3Zchn1"/>
        </w:rPr>
        <w:t xml:space="preserve"> </w:t>
      </w:r>
      <w:r w:rsidR="00A13FA7" w:rsidRPr="009D5972" w:rsidDel="002C000D">
        <w:rPr>
          <w:rStyle w:val="FormatvorlageFormatvorlageberschrift3Zchn1"/>
        </w:rPr>
        <w:t xml:space="preserve">of N and P </w:t>
      </w:r>
      <w:r w:rsidR="00A13FA7" w:rsidRPr="009D5972">
        <w:rPr>
          <w:rStyle w:val="FormatvorlageFormatvorlageberschrift3Zchn1"/>
        </w:rPr>
        <w:t xml:space="preserve">in </w:t>
      </w:r>
      <w:r w:rsidR="00EF7CD3">
        <w:rPr>
          <w:rStyle w:val="FormatvorlageFormatvorlageberschrift3Zchn1"/>
        </w:rPr>
        <w:t>soil, in</w:t>
      </w:r>
      <w:r w:rsidR="002A425F">
        <w:rPr>
          <w:rStyle w:val="FormatvorlageFormatvorlageberschrift3Zchn1"/>
        </w:rPr>
        <w:t xml:space="preserve"> </w:t>
      </w:r>
      <w:r w:rsidR="00A13FA7" w:rsidRPr="009D5972">
        <w:rPr>
          <w:rStyle w:val="FormatvorlageFormatvorlageberschrift3Zchn1"/>
        </w:rPr>
        <w:t>response to N and P inputs</w:t>
      </w:r>
      <w:bookmarkEnd w:id="110"/>
      <w:bookmarkEnd w:id="111"/>
      <w:bookmarkEnd w:id="112"/>
    </w:p>
    <w:bookmarkEnd w:id="113"/>
    <w:p w14:paraId="017A9B89" w14:textId="77777777" w:rsidR="00A13FA7" w:rsidRDefault="00A13FA7" w:rsidP="00A13FA7"/>
    <w:p w14:paraId="57AD8EF7" w14:textId="0C93A73D" w:rsidR="00A13FA7" w:rsidRDefault="00A13FA7" w:rsidP="00A13FA7">
      <w:r w:rsidRPr="0097191E">
        <w:t>Nutrient inputs to soils affect the soil nutrient status (content sand pools) which in turn affects the output of nutrients in vegetation (nutrient uptake due to biomass production, such as tree growth and crop growth) to air and water</w:t>
      </w:r>
      <w:r w:rsidR="00EF7CD3" w:rsidRPr="0097191E">
        <w:t xml:space="preserve"> </w:t>
      </w:r>
      <w:r w:rsidRPr="0097191E">
        <w:t>(</w:t>
      </w:r>
      <w:r w:rsidR="00616A32">
        <w:fldChar w:fldCharType="begin"/>
      </w:r>
      <w:r w:rsidR="00616A32">
        <w:instrText xml:space="preserve"> REF _Ref82784752 \h </w:instrText>
      </w:r>
      <w:r w:rsidR="00616A32">
        <w:fldChar w:fldCharType="separate"/>
      </w:r>
      <w:r w:rsidR="0067767C" w:rsidRPr="00960DD7">
        <w:t xml:space="preserve">Figure </w:t>
      </w:r>
      <w:r w:rsidR="0067767C">
        <w:rPr>
          <w:noProof/>
        </w:rPr>
        <w:t>3</w:t>
      </w:r>
      <w:r w:rsidR="0067767C">
        <w:noBreakHyphen/>
      </w:r>
      <w:r w:rsidR="0067767C">
        <w:rPr>
          <w:noProof/>
        </w:rPr>
        <w:t>1</w:t>
      </w:r>
      <w:r w:rsidR="00616A32">
        <w:fldChar w:fldCharType="end"/>
      </w:r>
      <w:r w:rsidRPr="0097191E">
        <w:t xml:space="preserve">). </w:t>
      </w:r>
      <w:r w:rsidRPr="0097191E">
        <w:rPr>
          <w:rFonts w:hint="eastAsia"/>
        </w:rPr>
        <w:t>Nitrogen (N)</w:t>
      </w:r>
      <w:r w:rsidRPr="0097191E">
        <w:t xml:space="preserve"> and phosphor</w:t>
      </w:r>
      <w:r w:rsidRPr="0097191E">
        <w:rPr>
          <w:rFonts w:hint="eastAsia"/>
        </w:rPr>
        <w:t>u</w:t>
      </w:r>
      <w:r w:rsidRPr="0097191E">
        <w:t>s</w:t>
      </w:r>
      <w:r w:rsidRPr="0097191E">
        <w:rPr>
          <w:rFonts w:hint="eastAsia"/>
        </w:rPr>
        <w:t xml:space="preserve"> (P)</w:t>
      </w:r>
      <w:r w:rsidRPr="0097191E">
        <w:t xml:space="preserve"> are essential </w:t>
      </w:r>
      <w:r w:rsidRPr="0097191E">
        <w:rPr>
          <w:rFonts w:hint="eastAsia"/>
        </w:rPr>
        <w:t>macro</w:t>
      </w:r>
      <w:r w:rsidRPr="0097191E">
        <w:t>nutrients</w:t>
      </w:r>
      <w:r w:rsidRPr="0097191E">
        <w:rPr>
          <w:rFonts w:hint="eastAsia"/>
        </w:rPr>
        <w:t>,</w:t>
      </w:r>
      <w:r w:rsidRPr="0097191E">
        <w:t xml:space="preserve"> both </w:t>
      </w:r>
      <w:r w:rsidRPr="0097191E">
        <w:rPr>
          <w:rFonts w:hint="eastAsia"/>
        </w:rPr>
        <w:t xml:space="preserve">of </w:t>
      </w:r>
      <w:r w:rsidRPr="0097191E">
        <w:t xml:space="preserve">which </w:t>
      </w:r>
      <w:r w:rsidRPr="0097191E">
        <w:rPr>
          <w:rFonts w:hint="eastAsia"/>
        </w:rPr>
        <w:t xml:space="preserve">widely </w:t>
      </w:r>
      <w:r w:rsidRPr="0097191E">
        <w:t xml:space="preserve">limit </w:t>
      </w:r>
      <w:r w:rsidRPr="0097191E">
        <w:rPr>
          <w:rFonts w:hint="eastAsia"/>
        </w:rPr>
        <w:t>primary productivity</w:t>
      </w:r>
      <w:r w:rsidRPr="0097191E">
        <w:t xml:space="preserve"> </w:t>
      </w:r>
      <w:r w:rsidRPr="0097191E">
        <w:rPr>
          <w:rFonts w:hint="eastAsia"/>
        </w:rPr>
        <w:t>across</w:t>
      </w:r>
      <w:r w:rsidRPr="0097191E">
        <w:t xml:space="preserve"> terrestrial ecosystems</w:t>
      </w:r>
      <w:r w:rsidRPr="0097191E">
        <w:rPr>
          <w:rFonts w:hint="eastAsia"/>
        </w:rPr>
        <w:t xml:space="preserve"> (Elser et al., 2007; Vitousek et al., 2010). </w:t>
      </w:r>
      <w:r w:rsidRPr="0097191E">
        <w:t>In non-agricultural systems</w:t>
      </w:r>
      <w:r w:rsidR="007A7E6A" w:rsidRPr="0097191E">
        <w:t xml:space="preserve"> (i.e. forestry)</w:t>
      </w:r>
      <w:r w:rsidRPr="0097191E">
        <w:t>, biomass growth is thus enhanced by additional inputs. At</w:t>
      </w:r>
      <w:r>
        <w:t xml:space="preserve"> a certain level, however this production increase will also adversely affect plant species diversity and it </w:t>
      </w:r>
      <w:r>
        <w:lastRenderedPageBreak/>
        <w:t xml:space="preserve">may cause losses of N and P to water where it may cause eutrophication (see </w:t>
      </w:r>
      <w:r w:rsidR="00DD11E2">
        <w:fldChar w:fldCharType="begin"/>
      </w:r>
      <w:r w:rsidR="00DD11E2">
        <w:instrText xml:space="preserve"> REF _Ref64620492 \r \h </w:instrText>
      </w:r>
      <w:r w:rsidR="00DD11E2">
        <w:fldChar w:fldCharType="separate"/>
      </w:r>
      <w:r w:rsidR="0067767C">
        <w:t>3.1.3</w:t>
      </w:r>
      <w:r w:rsidR="00DD11E2">
        <w:fldChar w:fldCharType="end"/>
      </w:r>
      <w:r>
        <w:t xml:space="preserve">) and it even may reduce growth at very high levels (see </w:t>
      </w:r>
      <w:r w:rsidR="00DD11E2">
        <w:fldChar w:fldCharType="begin"/>
      </w:r>
      <w:r w:rsidR="00DD11E2">
        <w:instrText xml:space="preserve"> REF _Ref64620499 \r \h </w:instrText>
      </w:r>
      <w:r w:rsidR="00DD11E2">
        <w:fldChar w:fldCharType="separate"/>
      </w:r>
      <w:r w:rsidR="0067767C">
        <w:t>3.1.2</w:t>
      </w:r>
      <w:r w:rsidR="00DD11E2">
        <w:fldChar w:fldCharType="end"/>
      </w:r>
      <w:r>
        <w:t xml:space="preserve">). In agricultural sols, crop growth is strongly stimulated by N and P fertilizer and manure inputs, since plant species diversity is aimed for in agricultural production, but here the risk for N and P losses to water and related eutrophication impacts is even much higher. The losses of </w:t>
      </w:r>
      <w:r w:rsidR="007A7E6A">
        <w:t>N</w:t>
      </w:r>
      <w:r>
        <w:t xml:space="preserve"> a</w:t>
      </w:r>
      <w:r w:rsidR="007A7E6A">
        <w:t>n</w:t>
      </w:r>
      <w:r>
        <w:t>d P to air (N only) and water (N and P) in response to N and P inputs, however strongly differ in view of differences in  N and P dynamics in soils as explained  below.</w:t>
      </w:r>
    </w:p>
    <w:p w14:paraId="7B1B6F61" w14:textId="354B89CB" w:rsidR="007A1B01" w:rsidRDefault="007A1B01" w:rsidP="00A13FA7"/>
    <w:p w14:paraId="2DF203D8" w14:textId="257A658C" w:rsidR="00960DD7" w:rsidRPr="00960DD7" w:rsidRDefault="00960DD7" w:rsidP="008F3498">
      <w:pPr>
        <w:pStyle w:val="FormatvorlageBeschriftung"/>
      </w:pPr>
      <w:bookmarkStart w:id="114" w:name="_Ref82784752"/>
      <w:bookmarkStart w:id="115" w:name="_Toc83997432"/>
      <w:r w:rsidRPr="00960DD7">
        <w:t xml:space="preserve">Figure </w:t>
      </w:r>
      <w:r w:rsidR="00CA7716">
        <w:fldChar w:fldCharType="begin"/>
      </w:r>
      <w:r w:rsidR="00CA7716">
        <w:instrText xml:space="preserve"> STYLEREF 1 \s </w:instrText>
      </w:r>
      <w:r w:rsidR="00CA7716">
        <w:fldChar w:fldCharType="separate"/>
      </w:r>
      <w:r w:rsidR="0067767C">
        <w:rPr>
          <w:noProof/>
        </w:rPr>
        <w:t>3</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114"/>
      <w:r w:rsidRPr="00960DD7">
        <w:t>:</w:t>
      </w:r>
      <w:r w:rsidRPr="00960DD7">
        <w:tab/>
        <w:t>Link between nutrient inputs and soil nutrient pools and nutrient outputs to air, vegetation and water</w:t>
      </w:r>
      <w:bookmarkEnd w:id="115"/>
    </w:p>
    <w:p w14:paraId="03108F77" w14:textId="7410AB55" w:rsidR="006859BE" w:rsidRDefault="006859BE" w:rsidP="00DC7B4A"/>
    <w:p w14:paraId="60ABCEA6" w14:textId="7004A6D2" w:rsidR="00A13FA7" w:rsidRDefault="00E40DF8" w:rsidP="00DC7B4A">
      <w:r>
        <w:rPr>
          <w:noProof/>
          <w:lang w:eastAsia="en-GB"/>
        </w:rPr>
        <w:drawing>
          <wp:anchor distT="0" distB="0" distL="114300" distR="114300" simplePos="0" relativeHeight="251719168" behindDoc="0" locked="0" layoutInCell="1" allowOverlap="1" wp14:anchorId="7D80C5E3" wp14:editId="330C502F">
            <wp:simplePos x="0" y="0"/>
            <wp:positionH relativeFrom="column">
              <wp:posOffset>634184</wp:posOffset>
            </wp:positionH>
            <wp:positionV relativeFrom="paragraph">
              <wp:posOffset>-635</wp:posOffset>
            </wp:positionV>
            <wp:extent cx="4709349" cy="30861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09349" cy="3086100"/>
                    </a:xfrm>
                    <a:prstGeom prst="rect">
                      <a:avLst/>
                    </a:prstGeom>
                    <a:noFill/>
                  </pic:spPr>
                </pic:pic>
              </a:graphicData>
            </a:graphic>
          </wp:anchor>
        </w:drawing>
      </w:r>
    </w:p>
    <w:p w14:paraId="42624A49" w14:textId="77777777" w:rsidR="007A1B01" w:rsidRDefault="007A1B01" w:rsidP="00DC7B4A"/>
    <w:p w14:paraId="3A239B75" w14:textId="5B30E761" w:rsidR="00A13FA7" w:rsidRPr="00FB2468" w:rsidRDefault="00DD6E4F" w:rsidP="00DD6E4F">
      <w:pPr>
        <w:pStyle w:val="EEAStandardbold"/>
      </w:pPr>
      <w:r>
        <w:t>Nitrogen</w:t>
      </w:r>
    </w:p>
    <w:p w14:paraId="54F21DD0" w14:textId="77777777" w:rsidR="00D24035" w:rsidRDefault="00D24035" w:rsidP="00A13FA7"/>
    <w:p w14:paraId="030FB997" w14:textId="2DD81032" w:rsidR="00A13FA7" w:rsidRDefault="00A13FA7" w:rsidP="00A13FA7">
      <w:r>
        <w:t>U</w:t>
      </w:r>
      <w:r w:rsidRPr="0002651B">
        <w:t xml:space="preserve">nlike other </w:t>
      </w:r>
      <w:r>
        <w:t>nutrients</w:t>
      </w:r>
      <w:r w:rsidRPr="0002651B">
        <w:t>, such as P, Ca, Mg, K</w:t>
      </w:r>
      <w:r>
        <w:t xml:space="preserve"> and </w:t>
      </w:r>
      <w:r w:rsidRPr="0002651B">
        <w:t xml:space="preserve">S, there </w:t>
      </w:r>
      <w:r>
        <w:t xml:space="preserve">are </w:t>
      </w:r>
      <w:r w:rsidRPr="0002651B">
        <w:t>no N minerals in (agricultural) soils that can be formed via precipitation</w:t>
      </w:r>
      <w:r>
        <w:t xml:space="preserve"> or secondary mineral formation; there is also no </w:t>
      </w:r>
      <w:r w:rsidRPr="0002651B">
        <w:t>N sorption to either clay or organic matter</w:t>
      </w:r>
      <w:r>
        <w:t xml:space="preserve">. While there is usually a chemical equilibrium between available and reactive ions and those in the soil solution (a prerequisite for deriving thresholds based on simple nutrient concentration analysis), </w:t>
      </w:r>
      <w:r w:rsidRPr="0002651B">
        <w:t xml:space="preserve">no </w:t>
      </w:r>
      <w:r>
        <w:t xml:space="preserve">such </w:t>
      </w:r>
      <w:r w:rsidRPr="0002651B">
        <w:t>equilibrium</w:t>
      </w:r>
      <w:r>
        <w:t xml:space="preserve"> exists for N</w:t>
      </w:r>
      <w:r w:rsidRPr="0002651B">
        <w:t xml:space="preserve">. </w:t>
      </w:r>
      <w:r>
        <w:t>Instead, b</w:t>
      </w:r>
      <w:r w:rsidRPr="0002651B">
        <w:t>iologically mediated processes affect the N availability to crops</w:t>
      </w:r>
      <w:r>
        <w:t xml:space="preserve"> and the </w:t>
      </w:r>
      <w:r w:rsidRPr="0002651B">
        <w:t xml:space="preserve">N surplus </w:t>
      </w:r>
      <w:r>
        <w:t xml:space="preserve">in agricultural soil. This N surplus is </w:t>
      </w:r>
      <w:r w:rsidRPr="0002651B">
        <w:t>either emitted to air</w:t>
      </w:r>
      <w:r>
        <w:t xml:space="preserve">, </w:t>
      </w:r>
      <w:r w:rsidRPr="0002651B">
        <w:t>as ammonia (NH</w:t>
      </w:r>
      <w:r w:rsidRPr="007A7E6A">
        <w:rPr>
          <w:vertAlign w:val="subscript"/>
        </w:rPr>
        <w:t>3</w:t>
      </w:r>
      <w:r w:rsidRPr="0002651B">
        <w:t>), nitrogen oxides (NO</w:t>
      </w:r>
      <w:r w:rsidRPr="00FE144A">
        <w:rPr>
          <w:vertAlign w:val="subscript"/>
        </w:rPr>
        <w:t>x</w:t>
      </w:r>
      <w:r w:rsidRPr="0002651B">
        <w:t>), nitrous oxide (N</w:t>
      </w:r>
      <w:r w:rsidRPr="00FE144A">
        <w:rPr>
          <w:vertAlign w:val="subscript"/>
        </w:rPr>
        <w:t>2</w:t>
      </w:r>
      <w:r w:rsidRPr="0002651B">
        <w:t>O) or dinitrogen (N</w:t>
      </w:r>
      <w:r w:rsidRPr="00935370">
        <w:rPr>
          <w:vertAlign w:val="subscript"/>
        </w:rPr>
        <w:t>2</w:t>
      </w:r>
      <w:r w:rsidRPr="0002651B">
        <w:t>)</w:t>
      </w:r>
      <w:r>
        <w:t>,</w:t>
      </w:r>
      <w:r w:rsidRPr="0002651B">
        <w:t xml:space="preserve"> or to ground</w:t>
      </w:r>
      <w:r>
        <w:t>-</w:t>
      </w:r>
      <w:r w:rsidRPr="0002651B">
        <w:t xml:space="preserve"> and surface</w:t>
      </w:r>
      <w:r>
        <w:t>-</w:t>
      </w:r>
      <w:r w:rsidRPr="0002651B">
        <w:t>water, mainly as nitrate (NO</w:t>
      </w:r>
      <w:r w:rsidRPr="00FE144A">
        <w:rPr>
          <w:vertAlign w:val="subscript"/>
        </w:rPr>
        <w:t>3</w:t>
      </w:r>
      <w:r w:rsidRPr="0002651B">
        <w:t>)</w:t>
      </w:r>
      <w:r>
        <w:t xml:space="preserve">, or it accumulates in soil, but the </w:t>
      </w:r>
      <w:r w:rsidRPr="00016540">
        <w:rPr>
          <w:iCs/>
        </w:rPr>
        <w:t>long-term change in organic soil N stock is very limited</w:t>
      </w:r>
      <w:r w:rsidRPr="0002651B">
        <w:t>.</w:t>
      </w:r>
      <w:r>
        <w:t xml:space="preserve"> Due to this behaviour, changes in N inputs by fertilizer and manure directly affect crop yields, even in soils with a high soil N status </w:t>
      </w:r>
    </w:p>
    <w:p w14:paraId="0D4F806B" w14:textId="77777777" w:rsidR="00A13FA7" w:rsidRDefault="00A13FA7" w:rsidP="00A13FA7"/>
    <w:p w14:paraId="3DFE42F1" w14:textId="315D5411" w:rsidR="00A13FA7" w:rsidRPr="00FB2468" w:rsidRDefault="00A13FA7" w:rsidP="00DD6E4F">
      <w:pPr>
        <w:pStyle w:val="EEAStandardbold"/>
      </w:pPr>
      <w:r>
        <w:t>Phosphorous</w:t>
      </w:r>
    </w:p>
    <w:p w14:paraId="71B58B6A" w14:textId="77777777" w:rsidR="00D24035" w:rsidRDefault="00D24035" w:rsidP="00A13FA7">
      <w:pPr>
        <w:rPr>
          <w:bCs/>
        </w:rPr>
      </w:pPr>
    </w:p>
    <w:p w14:paraId="5E5AFF9E" w14:textId="60BA9A12" w:rsidR="00A13FA7" w:rsidRDefault="00A13FA7" w:rsidP="00A13FA7">
      <w:pPr>
        <w:rPr>
          <w:bCs/>
        </w:rPr>
      </w:pPr>
      <w:r w:rsidRPr="0002651B">
        <w:rPr>
          <w:bCs/>
        </w:rPr>
        <w:t>Unlike</w:t>
      </w:r>
      <w:r>
        <w:rPr>
          <w:bCs/>
        </w:rPr>
        <w:t xml:space="preserve"> N, </w:t>
      </w:r>
      <w:r w:rsidRPr="00B92130">
        <w:rPr>
          <w:bCs/>
        </w:rPr>
        <w:t xml:space="preserve">the concentration </w:t>
      </w:r>
      <w:r>
        <w:rPr>
          <w:bCs/>
        </w:rPr>
        <w:t xml:space="preserve">of P </w:t>
      </w:r>
      <w:r w:rsidRPr="00B92130">
        <w:rPr>
          <w:bCs/>
        </w:rPr>
        <w:t xml:space="preserve">in </w:t>
      </w:r>
      <w:r>
        <w:rPr>
          <w:bCs/>
        </w:rPr>
        <w:t xml:space="preserve">soil </w:t>
      </w:r>
      <w:r w:rsidRPr="00B92130">
        <w:rPr>
          <w:bCs/>
        </w:rPr>
        <w:t xml:space="preserve">solution is buffered by the stock of reactive or readily available </w:t>
      </w:r>
      <w:r>
        <w:rPr>
          <w:bCs/>
        </w:rPr>
        <w:t>P. Consequently, p</w:t>
      </w:r>
      <w:r w:rsidRPr="00B92130">
        <w:rPr>
          <w:bCs/>
        </w:rPr>
        <w:t xml:space="preserve">lant </w:t>
      </w:r>
      <w:r>
        <w:rPr>
          <w:bCs/>
        </w:rPr>
        <w:t>P up</w:t>
      </w:r>
      <w:r w:rsidRPr="00B92130">
        <w:rPr>
          <w:bCs/>
        </w:rPr>
        <w:t xml:space="preserve">take </w:t>
      </w:r>
      <w:r>
        <w:rPr>
          <w:bCs/>
        </w:rPr>
        <w:t xml:space="preserve">is strongly governed by the soil </w:t>
      </w:r>
      <w:r w:rsidRPr="00B92130">
        <w:rPr>
          <w:bCs/>
        </w:rPr>
        <w:t>P</w:t>
      </w:r>
      <w:r>
        <w:rPr>
          <w:bCs/>
        </w:rPr>
        <w:t xml:space="preserve"> status and this holds also for l</w:t>
      </w:r>
      <w:r w:rsidRPr="00B92130">
        <w:rPr>
          <w:bCs/>
        </w:rPr>
        <w:t xml:space="preserve">osses of </w:t>
      </w:r>
      <w:r>
        <w:rPr>
          <w:bCs/>
        </w:rPr>
        <w:t>P</w:t>
      </w:r>
      <w:r w:rsidRPr="00B92130">
        <w:rPr>
          <w:bCs/>
        </w:rPr>
        <w:t xml:space="preserve"> to ground water and surface water.</w:t>
      </w:r>
      <w:r>
        <w:rPr>
          <w:bCs/>
        </w:rPr>
        <w:t xml:space="preserve"> </w:t>
      </w:r>
      <w:r>
        <w:t xml:space="preserve">Due to this behaviour, changes in P inputs by fertilizer and manure has smaller impacts on crop yields in soils with a high soil P content. </w:t>
      </w:r>
      <w:r w:rsidRPr="0046500D">
        <w:rPr>
          <w:bCs/>
        </w:rPr>
        <w:t>Jungk et al. (1993) found that 14 years of different fertilizer P application rates varying between 0 and 180 kg P</w:t>
      </w:r>
      <w:r w:rsidRPr="0046500D">
        <w:rPr>
          <w:bCs/>
          <w:vertAlign w:val="subscript"/>
        </w:rPr>
        <w:t>2</w:t>
      </w:r>
      <w:r w:rsidRPr="0046500D">
        <w:rPr>
          <w:bCs/>
        </w:rPr>
        <w:t>O</w:t>
      </w:r>
      <w:r w:rsidRPr="0046500D">
        <w:rPr>
          <w:bCs/>
          <w:vertAlign w:val="subscript"/>
        </w:rPr>
        <w:t>5</w:t>
      </w:r>
      <w:r w:rsidRPr="0046500D">
        <w:rPr>
          <w:bCs/>
        </w:rPr>
        <w:t xml:space="preserve"> yr</w:t>
      </w:r>
      <w:r w:rsidRPr="0046500D">
        <w:rPr>
          <w:bCs/>
          <w:vertAlign w:val="superscript"/>
        </w:rPr>
        <w:t>-1</w:t>
      </w:r>
      <w:r w:rsidRPr="0046500D">
        <w:rPr>
          <w:bCs/>
        </w:rPr>
        <w:t xml:space="preserve"> at 4 equal intervals hardly affected the yield and plant P concentrations of winter wheat and sugar beet planted in rotation. They </w:t>
      </w:r>
      <w:r w:rsidRPr="0046500D">
        <w:rPr>
          <w:bCs/>
        </w:rPr>
        <w:lastRenderedPageBreak/>
        <w:t xml:space="preserve">concluded that plant P demand was fully satisfied by </w:t>
      </w:r>
      <w:r>
        <w:rPr>
          <w:bCs/>
        </w:rPr>
        <w:t xml:space="preserve">uptake from </w:t>
      </w:r>
      <w:r w:rsidRPr="0046500D">
        <w:rPr>
          <w:bCs/>
        </w:rPr>
        <w:t xml:space="preserve">soil P reserves </w:t>
      </w:r>
      <w:r>
        <w:rPr>
          <w:bCs/>
        </w:rPr>
        <w:t xml:space="preserve">that was </w:t>
      </w:r>
      <w:r w:rsidRPr="0046500D">
        <w:rPr>
          <w:bCs/>
        </w:rPr>
        <w:t xml:space="preserve">accumulated </w:t>
      </w:r>
      <w:r>
        <w:rPr>
          <w:bCs/>
        </w:rPr>
        <w:t>during</w:t>
      </w:r>
      <w:r w:rsidRPr="0046500D">
        <w:rPr>
          <w:bCs/>
        </w:rPr>
        <w:t xml:space="preserve"> previous soil P applications</w:t>
      </w:r>
      <w:r>
        <w:rPr>
          <w:bCs/>
        </w:rPr>
        <w:t xml:space="preserve"> in excess of plant demand</w:t>
      </w:r>
      <w:r w:rsidRPr="0046500D">
        <w:rPr>
          <w:bCs/>
        </w:rPr>
        <w:t xml:space="preserve">. </w:t>
      </w:r>
    </w:p>
    <w:p w14:paraId="640D266A" w14:textId="77777777" w:rsidR="00A13FA7" w:rsidRDefault="00A13FA7" w:rsidP="00A13FA7"/>
    <w:p w14:paraId="67879E6D" w14:textId="2DAD3496" w:rsidR="00A13FA7" w:rsidRPr="009D5972" w:rsidRDefault="00A13FA7" w:rsidP="002C488D">
      <w:pPr>
        <w:pStyle w:val="berschrift2"/>
        <w:numPr>
          <w:ilvl w:val="2"/>
          <w:numId w:val="3"/>
        </w:numPr>
        <w:tabs>
          <w:tab w:val="num" w:pos="360"/>
        </w:tabs>
        <w:rPr>
          <w:rStyle w:val="FormatvorlageFormatvorlageberschrift3Zchn1"/>
        </w:rPr>
      </w:pPr>
      <w:bookmarkStart w:id="116" w:name="_Ref64620499"/>
      <w:bookmarkStart w:id="117" w:name="_Toc83997340"/>
      <w:bookmarkStart w:id="118" w:name="_Toc58973203"/>
      <w:r w:rsidRPr="009D5972">
        <w:rPr>
          <w:rStyle w:val="FormatvorlageFormatvorlageberschrift3Zchn1"/>
        </w:rPr>
        <w:t>Impact of N and P on biomass production</w:t>
      </w:r>
      <w:bookmarkEnd w:id="116"/>
      <w:bookmarkEnd w:id="117"/>
      <w:r w:rsidRPr="009D5972">
        <w:rPr>
          <w:rStyle w:val="FormatvorlageFormatvorlageberschrift3Zchn1"/>
        </w:rPr>
        <w:t xml:space="preserve"> </w:t>
      </w:r>
      <w:bookmarkEnd w:id="118"/>
    </w:p>
    <w:p w14:paraId="58D5A758" w14:textId="77777777" w:rsidR="00A13FA7" w:rsidRDefault="00A13FA7" w:rsidP="00A13FA7"/>
    <w:p w14:paraId="1781BC74" w14:textId="1A8A542D" w:rsidR="00A13FA7" w:rsidRPr="0097191E" w:rsidRDefault="00A13FA7" w:rsidP="00A13FA7">
      <w:pPr>
        <w:rPr>
          <w:szCs w:val="22"/>
        </w:rPr>
      </w:pPr>
      <w:r w:rsidRPr="0097191E">
        <w:rPr>
          <w:szCs w:val="22"/>
        </w:rPr>
        <w:t xml:space="preserve">Enhanced N deposition often </w:t>
      </w:r>
      <w:r w:rsidRPr="0097191E">
        <w:rPr>
          <w:rFonts w:hint="eastAsia"/>
          <w:szCs w:val="22"/>
        </w:rPr>
        <w:t>stimulates</w:t>
      </w:r>
      <w:r w:rsidRPr="0097191E">
        <w:rPr>
          <w:szCs w:val="22"/>
        </w:rPr>
        <w:t xml:space="preserve"> forest growth and </w:t>
      </w:r>
      <w:r w:rsidRPr="0097191E">
        <w:rPr>
          <w:rFonts w:hint="eastAsia"/>
          <w:szCs w:val="22"/>
        </w:rPr>
        <w:t xml:space="preserve">hence </w:t>
      </w:r>
      <w:r w:rsidRPr="0097191E">
        <w:rPr>
          <w:szCs w:val="22"/>
        </w:rPr>
        <w:t xml:space="preserve">carbon sequestration (Högberg, 2007; De Vries et al., 2009; Thomas et al., 2010), but </w:t>
      </w:r>
      <w:r w:rsidRPr="0097191E">
        <w:rPr>
          <w:rFonts w:hint="eastAsia"/>
          <w:szCs w:val="22"/>
        </w:rPr>
        <w:t xml:space="preserve">the expected growth </w:t>
      </w:r>
      <w:r w:rsidRPr="0097191E">
        <w:rPr>
          <w:szCs w:val="22"/>
        </w:rPr>
        <w:t>acceleration</w:t>
      </w:r>
      <w:r w:rsidRPr="0097191E">
        <w:rPr>
          <w:rFonts w:hint="eastAsia"/>
          <w:szCs w:val="22"/>
        </w:rPr>
        <w:t xml:space="preserve"> might be </w:t>
      </w:r>
      <w:r w:rsidRPr="0097191E">
        <w:rPr>
          <w:szCs w:val="22"/>
        </w:rPr>
        <w:t>diminished</w:t>
      </w:r>
      <w:r w:rsidRPr="0097191E">
        <w:rPr>
          <w:rFonts w:hint="eastAsia"/>
          <w:szCs w:val="22"/>
        </w:rPr>
        <w:t xml:space="preserve"> when the accompanied P supply is deficient (</w:t>
      </w:r>
      <w:r w:rsidRPr="0097191E">
        <w:rPr>
          <w:szCs w:val="22"/>
        </w:rPr>
        <w:t>Braun</w:t>
      </w:r>
      <w:r w:rsidRPr="0097191E">
        <w:rPr>
          <w:rFonts w:hint="eastAsia"/>
          <w:szCs w:val="22"/>
        </w:rPr>
        <w:t xml:space="preserve"> et al., 2010; Li et al., 2015</w:t>
      </w:r>
      <w:r w:rsidR="009A6333" w:rsidRPr="0097191E">
        <w:rPr>
          <w:szCs w:val="22"/>
        </w:rPr>
        <w:t>; Lang et al., 2016</w:t>
      </w:r>
      <w:r w:rsidRPr="0097191E">
        <w:rPr>
          <w:rFonts w:hint="eastAsia"/>
          <w:szCs w:val="22"/>
        </w:rPr>
        <w:t xml:space="preserve">). Soil </w:t>
      </w:r>
      <w:r w:rsidRPr="0097191E">
        <w:rPr>
          <w:szCs w:val="22"/>
        </w:rPr>
        <w:t xml:space="preserve">P </w:t>
      </w:r>
      <w:r w:rsidRPr="0097191E">
        <w:rPr>
          <w:rFonts w:hint="eastAsia"/>
          <w:szCs w:val="22"/>
        </w:rPr>
        <w:t xml:space="preserve">availability in terrestrial ecosystems </w:t>
      </w:r>
      <w:r w:rsidRPr="0097191E">
        <w:rPr>
          <w:szCs w:val="22"/>
        </w:rPr>
        <w:t xml:space="preserve">is </w:t>
      </w:r>
      <w:r w:rsidRPr="0097191E">
        <w:rPr>
          <w:rFonts w:hint="eastAsia"/>
          <w:szCs w:val="22"/>
        </w:rPr>
        <w:t xml:space="preserve">primarily driven by </w:t>
      </w:r>
      <w:r w:rsidRPr="0097191E">
        <w:rPr>
          <w:szCs w:val="22"/>
        </w:rPr>
        <w:t>mineral weathering</w:t>
      </w:r>
      <w:r w:rsidRPr="0097191E">
        <w:rPr>
          <w:rFonts w:hint="eastAsia"/>
          <w:szCs w:val="22"/>
        </w:rPr>
        <w:t xml:space="preserve"> and atmospheric deposition (Vitousek et al., 2010). </w:t>
      </w:r>
      <w:r w:rsidRPr="0097191E">
        <w:t xml:space="preserve">P input from atmospheric deposition is low and this also holds for weathering is also generally low. </w:t>
      </w:r>
      <w:r w:rsidRPr="0097191E">
        <w:rPr>
          <w:szCs w:val="22"/>
        </w:rPr>
        <w:t xml:space="preserve">Newman (1995) </w:t>
      </w:r>
      <w:r w:rsidRPr="0097191E">
        <w:rPr>
          <w:rFonts w:hint="eastAsia"/>
          <w:szCs w:val="22"/>
        </w:rPr>
        <w:t>reviewed</w:t>
      </w:r>
      <w:r w:rsidRPr="0097191E">
        <w:rPr>
          <w:szCs w:val="22"/>
        </w:rPr>
        <w:t xml:space="preserve"> P deposition and weathering </w:t>
      </w:r>
      <w:r w:rsidRPr="0097191E">
        <w:rPr>
          <w:rFonts w:hint="eastAsia"/>
          <w:szCs w:val="22"/>
        </w:rPr>
        <w:t xml:space="preserve">in </w:t>
      </w:r>
      <w:r w:rsidRPr="0097191E">
        <w:rPr>
          <w:szCs w:val="22"/>
        </w:rPr>
        <w:t>global</w:t>
      </w:r>
      <w:r w:rsidRPr="0097191E">
        <w:rPr>
          <w:rFonts w:hint="eastAsia"/>
          <w:szCs w:val="22"/>
        </w:rPr>
        <w:t xml:space="preserve"> terrestrial ecosystems </w:t>
      </w:r>
      <w:r w:rsidRPr="0097191E">
        <w:rPr>
          <w:szCs w:val="22"/>
        </w:rPr>
        <w:t xml:space="preserve">and </w:t>
      </w:r>
      <w:r w:rsidRPr="0097191E">
        <w:rPr>
          <w:rFonts w:hint="eastAsia"/>
          <w:szCs w:val="22"/>
        </w:rPr>
        <w:t>estimated</w:t>
      </w:r>
      <w:r w:rsidRPr="0097191E">
        <w:rPr>
          <w:szCs w:val="22"/>
        </w:rPr>
        <w:t xml:space="preserve"> a range of 0.07</w:t>
      </w:r>
      <w:r w:rsidRPr="0097191E">
        <w:rPr>
          <w:rFonts w:hint="eastAsia"/>
          <w:szCs w:val="22"/>
        </w:rPr>
        <w:t xml:space="preserve"> </w:t>
      </w:r>
      <w:r w:rsidRPr="0097191E">
        <w:rPr>
          <w:szCs w:val="22"/>
        </w:rPr>
        <w:t>–</w:t>
      </w:r>
      <w:r w:rsidRPr="0097191E">
        <w:rPr>
          <w:rFonts w:hint="eastAsia"/>
          <w:szCs w:val="22"/>
        </w:rPr>
        <w:t xml:space="preserve"> </w:t>
      </w:r>
      <w:r w:rsidRPr="0097191E">
        <w:rPr>
          <w:szCs w:val="22"/>
        </w:rPr>
        <w:t xml:space="preserve">1.7 kg </w:t>
      </w:r>
      <w:r w:rsidRPr="0097191E">
        <w:rPr>
          <w:rFonts w:hint="eastAsia"/>
          <w:szCs w:val="22"/>
        </w:rPr>
        <w:t xml:space="preserve">P </w:t>
      </w:r>
      <w:r w:rsidRPr="0097191E">
        <w:rPr>
          <w:szCs w:val="22"/>
        </w:rPr>
        <w:t>ha</w:t>
      </w:r>
      <w:r w:rsidRPr="0097191E">
        <w:rPr>
          <w:rFonts w:hint="eastAsia"/>
          <w:szCs w:val="22"/>
          <w:vertAlign w:val="superscript"/>
        </w:rPr>
        <w:t>-</w:t>
      </w:r>
      <w:r w:rsidRPr="0097191E">
        <w:rPr>
          <w:szCs w:val="22"/>
          <w:vertAlign w:val="superscript"/>
        </w:rPr>
        <w:t>1</w:t>
      </w:r>
      <w:r w:rsidRPr="0097191E">
        <w:rPr>
          <w:rFonts w:hint="eastAsia"/>
          <w:szCs w:val="22"/>
          <w:vertAlign w:val="superscript"/>
        </w:rPr>
        <w:t xml:space="preserve"> </w:t>
      </w:r>
      <w:r w:rsidRPr="0097191E">
        <w:rPr>
          <w:szCs w:val="22"/>
        </w:rPr>
        <w:t>yr</w:t>
      </w:r>
      <w:r w:rsidRPr="0097191E">
        <w:rPr>
          <w:rFonts w:hint="eastAsia"/>
          <w:szCs w:val="22"/>
          <w:vertAlign w:val="superscript"/>
        </w:rPr>
        <w:t>-</w:t>
      </w:r>
      <w:r w:rsidRPr="0097191E">
        <w:rPr>
          <w:szCs w:val="22"/>
          <w:vertAlign w:val="superscript"/>
        </w:rPr>
        <w:t>1</w:t>
      </w:r>
      <w:r w:rsidRPr="0097191E">
        <w:rPr>
          <w:szCs w:val="22"/>
        </w:rPr>
        <w:t xml:space="preserve"> for P deposition and 0.01–1.0 kg </w:t>
      </w:r>
      <w:r w:rsidRPr="0097191E">
        <w:rPr>
          <w:rFonts w:hint="eastAsia"/>
          <w:szCs w:val="22"/>
        </w:rPr>
        <w:t xml:space="preserve">P </w:t>
      </w:r>
      <w:r w:rsidRPr="0097191E">
        <w:rPr>
          <w:szCs w:val="22"/>
        </w:rPr>
        <w:t>ha</w:t>
      </w:r>
      <w:r w:rsidRPr="0097191E">
        <w:rPr>
          <w:rFonts w:hint="eastAsia"/>
          <w:szCs w:val="22"/>
          <w:vertAlign w:val="superscript"/>
        </w:rPr>
        <w:t>-</w:t>
      </w:r>
      <w:r w:rsidRPr="0097191E">
        <w:rPr>
          <w:szCs w:val="22"/>
          <w:vertAlign w:val="superscript"/>
        </w:rPr>
        <w:t>1</w:t>
      </w:r>
      <w:r w:rsidRPr="0097191E">
        <w:rPr>
          <w:rFonts w:hint="eastAsia"/>
          <w:szCs w:val="22"/>
          <w:vertAlign w:val="superscript"/>
        </w:rPr>
        <w:t xml:space="preserve"> </w:t>
      </w:r>
      <w:r w:rsidRPr="0097191E">
        <w:rPr>
          <w:szCs w:val="22"/>
        </w:rPr>
        <w:t>yr</w:t>
      </w:r>
      <w:r w:rsidRPr="0097191E">
        <w:rPr>
          <w:rFonts w:hint="eastAsia"/>
          <w:szCs w:val="22"/>
          <w:vertAlign w:val="superscript"/>
        </w:rPr>
        <w:t>-</w:t>
      </w:r>
      <w:r w:rsidRPr="0097191E">
        <w:rPr>
          <w:szCs w:val="22"/>
          <w:vertAlign w:val="superscript"/>
        </w:rPr>
        <w:t>1</w:t>
      </w:r>
      <w:r w:rsidRPr="0097191E">
        <w:rPr>
          <w:szCs w:val="22"/>
        </w:rPr>
        <w:t xml:space="preserve"> for P weathering, </w:t>
      </w:r>
      <w:r w:rsidRPr="0097191E">
        <w:rPr>
          <w:rFonts w:hint="eastAsia"/>
          <w:szCs w:val="22"/>
        </w:rPr>
        <w:t>indicating</w:t>
      </w:r>
      <w:r w:rsidRPr="0097191E">
        <w:rPr>
          <w:szCs w:val="22"/>
        </w:rPr>
        <w:t xml:space="preserve"> that both fluxes are in the same order of magnitude. </w:t>
      </w:r>
    </w:p>
    <w:p w14:paraId="67276DAE" w14:textId="77777777" w:rsidR="00A13FA7" w:rsidRPr="0097191E" w:rsidRDefault="00A13FA7" w:rsidP="00A13FA7">
      <w:pPr>
        <w:rPr>
          <w:szCs w:val="22"/>
        </w:rPr>
      </w:pPr>
    </w:p>
    <w:p w14:paraId="6EA7873F" w14:textId="0BDADE86" w:rsidR="00A13FA7" w:rsidRDefault="00A13FA7" w:rsidP="00A13FA7">
      <w:r w:rsidRPr="0097191E">
        <w:rPr>
          <w:szCs w:val="22"/>
        </w:rPr>
        <w:t xml:space="preserve">The unbalanced atmospheric deposition of N and P </w:t>
      </w:r>
      <w:r w:rsidRPr="0097191E">
        <w:rPr>
          <w:rFonts w:hint="eastAsia"/>
          <w:szCs w:val="22"/>
        </w:rPr>
        <w:t>(</w:t>
      </w:r>
      <w:r w:rsidRPr="0097191E">
        <w:rPr>
          <w:szCs w:val="22"/>
        </w:rPr>
        <w:t>Peñuelas</w:t>
      </w:r>
      <w:r w:rsidRPr="0097191E">
        <w:rPr>
          <w:rFonts w:hint="eastAsia"/>
          <w:szCs w:val="22"/>
        </w:rPr>
        <w:t xml:space="preserve"> et al., 2013</w:t>
      </w:r>
      <w:r w:rsidRPr="0097191E">
        <w:rPr>
          <w:szCs w:val="22"/>
        </w:rPr>
        <w:t>, Du et al., 2016</w:t>
      </w:r>
      <w:r w:rsidRPr="0097191E">
        <w:rPr>
          <w:rFonts w:hint="eastAsia"/>
          <w:szCs w:val="22"/>
        </w:rPr>
        <w:t>)</w:t>
      </w:r>
      <w:r w:rsidRPr="0097191E">
        <w:rPr>
          <w:szCs w:val="22"/>
        </w:rPr>
        <w:t xml:space="preserve"> implies an increase in the area with P-limited ecosystems.</w:t>
      </w:r>
      <w:r w:rsidRPr="0097191E">
        <w:rPr>
          <w:rFonts w:hint="eastAsia"/>
          <w:szCs w:val="22"/>
        </w:rPr>
        <w:t xml:space="preserve"> </w:t>
      </w:r>
      <w:r w:rsidRPr="0097191E">
        <w:rPr>
          <w:szCs w:val="22"/>
        </w:rPr>
        <w:t>Using the leaf N</w:t>
      </w:r>
      <w:proofErr w:type="gramStart"/>
      <w:r w:rsidRPr="0097191E">
        <w:rPr>
          <w:szCs w:val="22"/>
        </w:rPr>
        <w:t>:P</w:t>
      </w:r>
      <w:proofErr w:type="gramEnd"/>
      <w:r w:rsidRPr="0097191E">
        <w:rPr>
          <w:szCs w:val="22"/>
        </w:rPr>
        <w:t xml:space="preserve"> ratio of 15 dominant tree species as an indicator, through which the spatial variation of plot-level shift towards N or P limitation across 163 European forest plots during 1995-2017 has been demonstrated. In total, 38% of the studied plots showed</w:t>
      </w:r>
      <w:r w:rsidRPr="00ED51D3">
        <w:rPr>
          <w:szCs w:val="22"/>
        </w:rPr>
        <w:t xml:space="preserve"> a shift towards P limitation, while only 6% of the plots showed a shift towards N limitation, as indicated by a significant increase and decrease of leaf N</w:t>
      </w:r>
      <w:proofErr w:type="gramStart"/>
      <w:r w:rsidRPr="00ED51D3">
        <w:rPr>
          <w:szCs w:val="22"/>
        </w:rPr>
        <w:t>:P</w:t>
      </w:r>
      <w:proofErr w:type="gramEnd"/>
      <w:r w:rsidRPr="00ED51D3">
        <w:rPr>
          <w:szCs w:val="22"/>
        </w:rPr>
        <w:t xml:space="preserve"> ratio, respectively.</w:t>
      </w:r>
      <w:r>
        <w:rPr>
          <w:szCs w:val="22"/>
        </w:rPr>
        <w:t xml:space="preserve"> </w:t>
      </w:r>
      <w:r w:rsidRPr="00ED51D3">
        <w:rPr>
          <w:szCs w:val="22"/>
        </w:rPr>
        <w:t xml:space="preserve">Forests are </w:t>
      </w:r>
      <w:r>
        <w:rPr>
          <w:szCs w:val="22"/>
        </w:rPr>
        <w:t xml:space="preserve">thus </w:t>
      </w:r>
      <w:r w:rsidRPr="00ED51D3">
        <w:rPr>
          <w:szCs w:val="22"/>
        </w:rPr>
        <w:t>increasingly suffering from P deficiency in forest nutrition (Talkner et al. 2020).</w:t>
      </w:r>
      <w:r>
        <w:rPr>
          <w:szCs w:val="22"/>
        </w:rPr>
        <w:t xml:space="preserve"> </w:t>
      </w:r>
      <w:r>
        <w:t xml:space="preserve">Especially beech forests are affected by P deficiency (Lang et al., 2019). The increasing use of wood will lead to further nutrient deprivation. Liming also increases this effect. </w:t>
      </w:r>
    </w:p>
    <w:p w14:paraId="66977293" w14:textId="490CDD25" w:rsidR="00023D0E" w:rsidRDefault="00023D0E" w:rsidP="00A13FA7"/>
    <w:p w14:paraId="0E6E047C" w14:textId="2675F94E" w:rsidR="00A13FA7" w:rsidRPr="009D5972" w:rsidRDefault="00A13FA7" w:rsidP="002C488D">
      <w:pPr>
        <w:pStyle w:val="berschrift2"/>
        <w:numPr>
          <w:ilvl w:val="2"/>
          <w:numId w:val="3"/>
        </w:numPr>
        <w:tabs>
          <w:tab w:val="num" w:pos="360"/>
        </w:tabs>
        <w:rPr>
          <w:rStyle w:val="FormatvorlageFormatvorlageberschrift3Zchn1"/>
        </w:rPr>
      </w:pPr>
      <w:bookmarkStart w:id="119" w:name="_Toc58973205"/>
      <w:bookmarkStart w:id="120" w:name="_Ref64620492"/>
      <w:bookmarkStart w:id="121" w:name="_Toc83997341"/>
      <w:bookmarkStart w:id="122" w:name="_Hlk57470136"/>
      <w:r w:rsidRPr="009D5972">
        <w:rPr>
          <w:rStyle w:val="FormatvorlageFormatvorlageberschrift3Zchn1"/>
        </w:rPr>
        <w:t>Impact of N and P on biodiversity and water quality</w:t>
      </w:r>
      <w:bookmarkEnd w:id="119"/>
      <w:bookmarkEnd w:id="120"/>
      <w:bookmarkEnd w:id="121"/>
    </w:p>
    <w:bookmarkEnd w:id="122"/>
    <w:p w14:paraId="2DAEC4D7" w14:textId="77777777" w:rsidR="00A13FA7" w:rsidRDefault="00A13FA7" w:rsidP="00A13FA7"/>
    <w:p w14:paraId="24C24400" w14:textId="77777777" w:rsidR="00A13FA7" w:rsidRDefault="00A13FA7" w:rsidP="00A13FA7">
      <w:pPr>
        <w:rPr>
          <w:szCs w:val="22"/>
        </w:rPr>
      </w:pPr>
      <w:r w:rsidRPr="00B41ED2">
        <w:rPr>
          <w:szCs w:val="22"/>
        </w:rPr>
        <w:t xml:space="preserve">Soil nutrient </w:t>
      </w:r>
      <w:r>
        <w:rPr>
          <w:szCs w:val="22"/>
        </w:rPr>
        <w:t xml:space="preserve">(N and P) </w:t>
      </w:r>
      <w:r w:rsidRPr="00B41ED2">
        <w:rPr>
          <w:szCs w:val="22"/>
        </w:rPr>
        <w:t>status affects crop yields, but i</w:t>
      </w:r>
      <w:r>
        <w:rPr>
          <w:szCs w:val="22"/>
        </w:rPr>
        <w:t>n case of N i</w:t>
      </w:r>
      <w:r w:rsidRPr="00B41ED2">
        <w:rPr>
          <w:szCs w:val="22"/>
        </w:rPr>
        <w:t xml:space="preserve">t also influences </w:t>
      </w:r>
      <w:r>
        <w:rPr>
          <w:szCs w:val="22"/>
        </w:rPr>
        <w:t xml:space="preserve">soil biodiversity and in case of P it affects </w:t>
      </w:r>
      <w:r w:rsidRPr="00B41ED2">
        <w:rPr>
          <w:szCs w:val="22"/>
        </w:rPr>
        <w:t xml:space="preserve">the </w:t>
      </w:r>
      <w:r>
        <w:rPr>
          <w:szCs w:val="22"/>
        </w:rPr>
        <w:t xml:space="preserve">P </w:t>
      </w:r>
      <w:r w:rsidRPr="00B41ED2">
        <w:rPr>
          <w:szCs w:val="22"/>
        </w:rPr>
        <w:t xml:space="preserve">accumulation and </w:t>
      </w:r>
      <w:r>
        <w:rPr>
          <w:szCs w:val="22"/>
        </w:rPr>
        <w:t xml:space="preserve">P </w:t>
      </w:r>
      <w:r w:rsidRPr="00B41ED2">
        <w:rPr>
          <w:szCs w:val="22"/>
        </w:rPr>
        <w:t xml:space="preserve">losses </w:t>
      </w:r>
      <w:r>
        <w:rPr>
          <w:szCs w:val="22"/>
        </w:rPr>
        <w:t xml:space="preserve">to surface </w:t>
      </w:r>
      <w:r w:rsidRPr="00B41ED2">
        <w:rPr>
          <w:szCs w:val="22"/>
        </w:rPr>
        <w:t>water</w:t>
      </w:r>
      <w:r>
        <w:rPr>
          <w:szCs w:val="22"/>
        </w:rPr>
        <w:t>, as discussed below</w:t>
      </w:r>
      <w:r w:rsidRPr="00B41ED2">
        <w:rPr>
          <w:szCs w:val="22"/>
        </w:rPr>
        <w:t xml:space="preserve">. Important soil parameters affecting the </w:t>
      </w:r>
      <w:r w:rsidRPr="00FA0766">
        <w:rPr>
          <w:szCs w:val="22"/>
        </w:rPr>
        <w:t>availability of nutrients</w:t>
      </w:r>
      <w:r w:rsidRPr="00B41ED2">
        <w:rPr>
          <w:szCs w:val="22"/>
        </w:rPr>
        <w:t xml:space="preserve"> soil nutrients status include the </w:t>
      </w:r>
      <w:r w:rsidRPr="00FA0766">
        <w:rPr>
          <w:szCs w:val="22"/>
        </w:rPr>
        <w:t xml:space="preserve">content </w:t>
      </w:r>
      <w:r>
        <w:rPr>
          <w:szCs w:val="22"/>
        </w:rPr>
        <w:t xml:space="preserve">of aluminium and iron </w:t>
      </w:r>
      <w:r w:rsidRPr="00FA0766">
        <w:rPr>
          <w:szCs w:val="22"/>
        </w:rPr>
        <w:t>oxide</w:t>
      </w:r>
      <w:r>
        <w:rPr>
          <w:szCs w:val="22"/>
        </w:rPr>
        <w:t>s</w:t>
      </w:r>
      <w:r w:rsidRPr="00FA0766">
        <w:rPr>
          <w:szCs w:val="22"/>
        </w:rPr>
        <w:t xml:space="preserve"> (for P) and the combination of pH, organic matter</w:t>
      </w:r>
      <w:r>
        <w:rPr>
          <w:szCs w:val="22"/>
        </w:rPr>
        <w:t>,</w:t>
      </w:r>
      <w:r w:rsidRPr="00FA0766">
        <w:rPr>
          <w:szCs w:val="22"/>
        </w:rPr>
        <w:t xml:space="preserve"> and clay content </w:t>
      </w:r>
      <w:r>
        <w:rPr>
          <w:szCs w:val="22"/>
        </w:rPr>
        <w:t xml:space="preserve">(N and P). </w:t>
      </w:r>
      <w:r w:rsidRPr="00FA0766">
        <w:rPr>
          <w:szCs w:val="22"/>
        </w:rPr>
        <w:t xml:space="preserve">Nitrogen </w:t>
      </w:r>
      <w:r>
        <w:rPr>
          <w:szCs w:val="22"/>
        </w:rPr>
        <w:t xml:space="preserve">in soil </w:t>
      </w:r>
      <w:r w:rsidRPr="00FA0766">
        <w:rPr>
          <w:szCs w:val="22"/>
        </w:rPr>
        <w:t>also affects the biodiversity of soil organisms</w:t>
      </w:r>
      <w:r>
        <w:rPr>
          <w:szCs w:val="22"/>
        </w:rPr>
        <w:t>, whereas the soil P content has an impact on surface water quality, while both N and P affects biodiversity, especially the plant species diversity, in non-agricultural ecosystems, as discussed below</w:t>
      </w:r>
      <w:r w:rsidRPr="00FA0766">
        <w:rPr>
          <w:szCs w:val="22"/>
        </w:rPr>
        <w:t xml:space="preserve">. </w:t>
      </w:r>
    </w:p>
    <w:p w14:paraId="4BB769F3" w14:textId="77777777" w:rsidR="00A13FA7" w:rsidRDefault="00A13FA7" w:rsidP="00A13FA7">
      <w:pPr>
        <w:rPr>
          <w:szCs w:val="22"/>
        </w:rPr>
      </w:pPr>
    </w:p>
    <w:p w14:paraId="75839EEE" w14:textId="77777777" w:rsidR="00DD6E4F" w:rsidRDefault="00A13FA7" w:rsidP="00DD6E4F">
      <w:pPr>
        <w:pStyle w:val="EEAStandardbold"/>
      </w:pPr>
      <w:r w:rsidRPr="005E56C3">
        <w:t>Nitrogen and soil biodiversity.</w:t>
      </w:r>
    </w:p>
    <w:p w14:paraId="2C9A4472" w14:textId="77777777" w:rsidR="00D24035" w:rsidRDefault="00D24035" w:rsidP="00A13FA7">
      <w:pPr>
        <w:rPr>
          <w:szCs w:val="22"/>
        </w:rPr>
      </w:pPr>
    </w:p>
    <w:p w14:paraId="566860B9" w14:textId="4F2E4BE3" w:rsidR="00A13FA7" w:rsidRDefault="00A13FA7" w:rsidP="00A13FA7">
      <w:pPr>
        <w:rPr>
          <w:szCs w:val="22"/>
        </w:rPr>
      </w:pPr>
      <w:r>
        <w:rPr>
          <w:szCs w:val="22"/>
        </w:rPr>
        <w:t xml:space="preserve">Fertilization and affluent available N reduce the abundance, activity and composition of soil </w:t>
      </w:r>
      <w:r w:rsidRPr="00FA0766">
        <w:rPr>
          <w:szCs w:val="22"/>
        </w:rPr>
        <w:t>fungi, saprotrophic decomposers as well as mycorrhizal fungi, and N fixing bacteria (Streeter, 1988</w:t>
      </w:r>
      <w:r w:rsidRPr="002D7F87">
        <w:rPr>
          <w:szCs w:val="22"/>
        </w:rPr>
        <w:t>; Johansson et al., 2004; De Vries et al., 2006). Both plant litter and microorganisms form the basis for d</w:t>
      </w:r>
      <w:r w:rsidRPr="00FA0766">
        <w:rPr>
          <w:szCs w:val="22"/>
        </w:rPr>
        <w:t>etri</w:t>
      </w:r>
      <w:r>
        <w:rPr>
          <w:szCs w:val="22"/>
        </w:rPr>
        <w:t>ti</w:t>
      </w:r>
      <w:r w:rsidRPr="00FA0766">
        <w:rPr>
          <w:szCs w:val="22"/>
        </w:rPr>
        <w:t>vore</w:t>
      </w:r>
      <w:r>
        <w:rPr>
          <w:szCs w:val="22"/>
        </w:rPr>
        <w:t>s</w:t>
      </w:r>
      <w:r w:rsidRPr="00FA0766">
        <w:rPr>
          <w:szCs w:val="22"/>
        </w:rPr>
        <w:t xml:space="preserve"> </w:t>
      </w:r>
      <w:r>
        <w:rPr>
          <w:szCs w:val="22"/>
        </w:rPr>
        <w:t xml:space="preserve">in the </w:t>
      </w:r>
      <w:r w:rsidRPr="00FA0766">
        <w:rPr>
          <w:szCs w:val="22"/>
        </w:rPr>
        <w:t>food web</w:t>
      </w:r>
      <w:r>
        <w:rPr>
          <w:szCs w:val="22"/>
        </w:rPr>
        <w:t xml:space="preserve"> of </w:t>
      </w:r>
      <w:r w:rsidRPr="00FA0766">
        <w:rPr>
          <w:szCs w:val="22"/>
        </w:rPr>
        <w:t>s</w:t>
      </w:r>
      <w:r>
        <w:rPr>
          <w:szCs w:val="22"/>
        </w:rPr>
        <w:t xml:space="preserve">oils: thus, excess N leads to </w:t>
      </w:r>
      <w:r w:rsidRPr="00FA0766">
        <w:rPr>
          <w:szCs w:val="22"/>
        </w:rPr>
        <w:t xml:space="preserve">bottom-up effects on the whole belowground food web, on plants and </w:t>
      </w:r>
      <w:r>
        <w:rPr>
          <w:szCs w:val="22"/>
        </w:rPr>
        <w:t xml:space="preserve">eventually also </w:t>
      </w:r>
      <w:r w:rsidRPr="00FA0766">
        <w:rPr>
          <w:szCs w:val="22"/>
        </w:rPr>
        <w:t xml:space="preserve">the aboveground food web (Wardle et al., 2004). </w:t>
      </w:r>
      <w:r>
        <w:rPr>
          <w:szCs w:val="22"/>
        </w:rPr>
        <w:t>I</w:t>
      </w:r>
      <w:r w:rsidRPr="00016540">
        <w:rPr>
          <w:szCs w:val="22"/>
        </w:rPr>
        <w:t>mpacts</w:t>
      </w:r>
      <w:r>
        <w:rPr>
          <w:szCs w:val="22"/>
        </w:rPr>
        <w:t xml:space="preserve"> of N on soil biodiversity</w:t>
      </w:r>
      <w:r w:rsidRPr="00016540">
        <w:rPr>
          <w:szCs w:val="22"/>
        </w:rPr>
        <w:t xml:space="preserve"> mostly come from studies where organic farming systems were compared with conventional intensive farming systems, </w:t>
      </w:r>
      <w:r>
        <w:rPr>
          <w:szCs w:val="22"/>
        </w:rPr>
        <w:t xml:space="preserve">but interpretation is partly hampered due to </w:t>
      </w:r>
      <w:r w:rsidRPr="00016540">
        <w:rPr>
          <w:szCs w:val="22"/>
        </w:rPr>
        <w:t>other differences</w:t>
      </w:r>
      <w:r>
        <w:rPr>
          <w:szCs w:val="22"/>
        </w:rPr>
        <w:t>,</w:t>
      </w:r>
      <w:r w:rsidRPr="00016540">
        <w:rPr>
          <w:szCs w:val="22"/>
        </w:rPr>
        <w:t xml:space="preserve"> such as the avoidance of pesticides in organic farming systems (</w:t>
      </w:r>
      <w:r>
        <w:rPr>
          <w:szCs w:val="22"/>
        </w:rPr>
        <w:t>s</w:t>
      </w:r>
      <w:r w:rsidRPr="00016540">
        <w:rPr>
          <w:szCs w:val="22"/>
        </w:rPr>
        <w:t>ee Velthof et al., 2011).</w:t>
      </w:r>
      <w:r>
        <w:rPr>
          <w:szCs w:val="22"/>
        </w:rPr>
        <w:t xml:space="preserve"> </w:t>
      </w:r>
      <w:r w:rsidRPr="00FA0766">
        <w:rPr>
          <w:szCs w:val="22"/>
        </w:rPr>
        <w:t xml:space="preserve">An overview of impacts of N on soil biodiversity indicators such as soil microbial biomass, activity, N mineralization, and </w:t>
      </w:r>
      <w:r w:rsidRPr="005E56C3">
        <w:t>microbial</w:t>
      </w:r>
      <w:r w:rsidRPr="00FA0766">
        <w:rPr>
          <w:szCs w:val="22"/>
        </w:rPr>
        <w:t xml:space="preserve"> diversity (genetic diversity, number of genotypes or species of bacteria) is given in Velthof et al</w:t>
      </w:r>
      <w:r>
        <w:rPr>
          <w:szCs w:val="22"/>
        </w:rPr>
        <w:t>.</w:t>
      </w:r>
      <w:r w:rsidRPr="00FA0766">
        <w:rPr>
          <w:szCs w:val="22"/>
        </w:rPr>
        <w:t xml:space="preserve"> (2011)</w:t>
      </w:r>
      <w:r>
        <w:rPr>
          <w:szCs w:val="22"/>
        </w:rPr>
        <w:t xml:space="preserve"> </w:t>
      </w:r>
      <w:r w:rsidRPr="00DD11E2">
        <w:rPr>
          <w:szCs w:val="22"/>
        </w:rPr>
        <w:t xml:space="preserve">(see also Chapter </w:t>
      </w:r>
      <w:r w:rsidR="00DD11E2" w:rsidRPr="00DD11E2">
        <w:rPr>
          <w:szCs w:val="22"/>
        </w:rPr>
        <w:fldChar w:fldCharType="begin"/>
      </w:r>
      <w:r w:rsidR="00DD11E2" w:rsidRPr="00DD11E2">
        <w:rPr>
          <w:szCs w:val="22"/>
        </w:rPr>
        <w:instrText xml:space="preserve"> REF _Ref64620410 \r \h </w:instrText>
      </w:r>
      <w:r w:rsidR="00DD11E2">
        <w:rPr>
          <w:szCs w:val="22"/>
        </w:rPr>
        <w:instrText xml:space="preserve"> \* MERGEFORMAT </w:instrText>
      </w:r>
      <w:r w:rsidR="00DD11E2" w:rsidRPr="00DD11E2">
        <w:rPr>
          <w:szCs w:val="22"/>
        </w:rPr>
      </w:r>
      <w:r w:rsidR="00DD11E2" w:rsidRPr="00DD11E2">
        <w:rPr>
          <w:szCs w:val="22"/>
        </w:rPr>
        <w:fldChar w:fldCharType="separate"/>
      </w:r>
      <w:r w:rsidR="0067767C">
        <w:rPr>
          <w:szCs w:val="22"/>
        </w:rPr>
        <w:t>6</w:t>
      </w:r>
      <w:r w:rsidR="00DD11E2" w:rsidRPr="00DD11E2">
        <w:rPr>
          <w:szCs w:val="22"/>
        </w:rPr>
        <w:fldChar w:fldCharType="end"/>
      </w:r>
      <w:r w:rsidRPr="00DD11E2">
        <w:rPr>
          <w:szCs w:val="22"/>
        </w:rPr>
        <w:t>).</w:t>
      </w:r>
      <w:r w:rsidRPr="00FA0766">
        <w:rPr>
          <w:szCs w:val="22"/>
        </w:rPr>
        <w:t xml:space="preserve"> </w:t>
      </w:r>
    </w:p>
    <w:p w14:paraId="7D53840D" w14:textId="77777777" w:rsidR="00A13FA7" w:rsidRDefault="00A13FA7" w:rsidP="00A13FA7">
      <w:pPr>
        <w:rPr>
          <w:szCs w:val="22"/>
        </w:rPr>
      </w:pPr>
    </w:p>
    <w:p w14:paraId="272C78CC" w14:textId="77777777" w:rsidR="00DD6E4F" w:rsidRDefault="00A13FA7" w:rsidP="00DD6E4F">
      <w:pPr>
        <w:pStyle w:val="EEAStandardbold"/>
      </w:pPr>
      <w:r w:rsidRPr="009A1E58">
        <w:t xml:space="preserve">Nitrogen </w:t>
      </w:r>
      <w:r>
        <w:t>(</w:t>
      </w:r>
      <w:r w:rsidRPr="009A1E58">
        <w:t>and phosphorus</w:t>
      </w:r>
      <w:r>
        <w:t>)</w:t>
      </w:r>
      <w:r w:rsidRPr="009A1E58">
        <w:t xml:space="preserve"> and </w:t>
      </w:r>
      <w:r>
        <w:t>plant species diversity.</w:t>
      </w:r>
    </w:p>
    <w:p w14:paraId="5FF1418F" w14:textId="77777777" w:rsidR="00D24035" w:rsidRDefault="00D24035" w:rsidP="00A13FA7">
      <w:pPr>
        <w:rPr>
          <w:szCs w:val="22"/>
        </w:rPr>
      </w:pPr>
    </w:p>
    <w:p w14:paraId="07FDE7AE" w14:textId="54872708" w:rsidR="00A13FA7" w:rsidRDefault="00A13FA7" w:rsidP="00A13FA7">
      <w:r>
        <w:rPr>
          <w:szCs w:val="22"/>
        </w:rPr>
        <w:lastRenderedPageBreak/>
        <w:t xml:space="preserve">Both N and, to a lesser extent P, affect the biodiversity, especially the plant species diversity, in non-agricultural ecosystems. In this context, forest ecosystems is the largest non-agricultural form of land use. </w:t>
      </w:r>
      <w:r w:rsidRPr="001B2DA2">
        <w:rPr>
          <w:szCs w:val="22"/>
        </w:rPr>
        <w:t xml:space="preserve">In forests, N </w:t>
      </w:r>
      <w:r>
        <w:rPr>
          <w:szCs w:val="22"/>
        </w:rPr>
        <w:t xml:space="preserve">is generally a limiting nutrient and </w:t>
      </w:r>
      <w:r w:rsidRPr="001B2DA2">
        <w:rPr>
          <w:szCs w:val="22"/>
        </w:rPr>
        <w:t xml:space="preserve">deposition may first enhance growth and productivity through enhanced N availability, but in a later stage it may cause eutrophication and acidification, negatively affecting </w:t>
      </w:r>
      <w:r w:rsidRPr="0097191E">
        <w:rPr>
          <w:szCs w:val="22"/>
        </w:rPr>
        <w:t xml:space="preserve">nutrient balances and leading to an increased susceptibility to drought, diseases and pests (for a review of impacts, see </w:t>
      </w:r>
      <w:r w:rsidRPr="0097191E">
        <w:t>Erisman and De Vries, 2000 and for an overview of effects in European forests, see de Vries et al., 2014a)</w:t>
      </w:r>
      <w:r w:rsidRPr="0097191E">
        <w:rPr>
          <w:szCs w:val="22"/>
        </w:rPr>
        <w:t xml:space="preserve">. In other ecosystems, growth enhancement is not a benefit but a threat, as it causes a decrease in plant species diversity, also being the trade-off in forest ecosystems. </w:t>
      </w:r>
      <w:r w:rsidRPr="0097191E">
        <w:t>Atmospheric N deposition thus affects various ecosystem services, by its impacts on the fertility (quality) of forest soils and thereby being the forests’ capacity to provide services</w:t>
      </w:r>
      <w:r w:rsidRPr="007820DB">
        <w:t xml:space="preserve"> such as wood production (provision service), carbon sequestration (climate reg</w:t>
      </w:r>
      <w:r>
        <w:t>u</w:t>
      </w:r>
      <w:r w:rsidRPr="007820DB">
        <w:t>lation service), bu</w:t>
      </w:r>
      <w:r>
        <w:t>f</w:t>
      </w:r>
      <w:r w:rsidRPr="007820DB">
        <w:t>fer capacity (water quality regulation service) and pest/disease regulation (</w:t>
      </w:r>
      <w:r>
        <w:t xml:space="preserve">see </w:t>
      </w:r>
      <w:r w:rsidRPr="00202491">
        <w:t>Erisman et al. 2014</w:t>
      </w:r>
      <w:r>
        <w:t xml:space="preserve"> and </w:t>
      </w:r>
      <w:r w:rsidRPr="00202491">
        <w:t>De Vries et al. 2014</w:t>
      </w:r>
      <w:r>
        <w:t>b for overviews</w:t>
      </w:r>
      <w:r w:rsidRPr="00202491">
        <w:t>)</w:t>
      </w:r>
      <w:r>
        <w:t>. In this context, the soil P status is also important as it affects the impacts of N in situations where P is limiting growth and thereby also impacts on plant species diversity.</w:t>
      </w:r>
    </w:p>
    <w:p w14:paraId="32ADA28D" w14:textId="77777777" w:rsidR="00A13FA7" w:rsidRDefault="00A13FA7" w:rsidP="00A13FA7">
      <w:pPr>
        <w:rPr>
          <w:szCs w:val="22"/>
        </w:rPr>
      </w:pPr>
    </w:p>
    <w:p w14:paraId="62BA03CF" w14:textId="77777777" w:rsidR="00DD6E4F" w:rsidRDefault="00A13FA7" w:rsidP="00DD6E4F">
      <w:pPr>
        <w:pStyle w:val="EEAStandardbold"/>
      </w:pPr>
      <w:r w:rsidRPr="009A1E58">
        <w:t>Nitrogen and phosphorus and water quality</w:t>
      </w:r>
      <w:r w:rsidR="00DD6E4F">
        <w:t>.</w:t>
      </w:r>
    </w:p>
    <w:p w14:paraId="49CB8546" w14:textId="77777777" w:rsidR="00D24035" w:rsidRDefault="00D24035" w:rsidP="00A13FA7"/>
    <w:p w14:paraId="4A41D8BC" w14:textId="15005BB9" w:rsidR="00A13FA7" w:rsidRDefault="00A13FA7" w:rsidP="00A13FA7">
      <w:r w:rsidRPr="007820DB">
        <w:t xml:space="preserve">Elevated N </w:t>
      </w:r>
      <w:r>
        <w:t xml:space="preserve">and P </w:t>
      </w:r>
      <w:r w:rsidRPr="007820DB">
        <w:t xml:space="preserve">concentrations in surface waters and coastal/marine waters contribute to the phenomenon of eutrophication with related impacts on </w:t>
      </w:r>
      <w:r>
        <w:t>the biocoenosis</w:t>
      </w:r>
      <w:r w:rsidRPr="007820DB">
        <w:t xml:space="preserve"> of freshwater ecosystems and coastal/ marine ecosystems. The enrichment of </w:t>
      </w:r>
      <w:r>
        <w:rPr>
          <w:szCs w:val="22"/>
        </w:rPr>
        <w:t xml:space="preserve">N and P </w:t>
      </w:r>
      <w:r w:rsidRPr="007820DB">
        <w:t xml:space="preserve">in freshwater is </w:t>
      </w:r>
      <w:r>
        <w:t xml:space="preserve">largely </w:t>
      </w:r>
      <w:r w:rsidRPr="007820DB">
        <w:t xml:space="preserve">due to </w:t>
      </w:r>
      <w:r>
        <w:t xml:space="preserve">surface </w:t>
      </w:r>
      <w:r w:rsidRPr="007820DB">
        <w:t>runoff</w:t>
      </w:r>
      <w:r w:rsidR="00935370">
        <w:t xml:space="preserve"> f</w:t>
      </w:r>
      <w:r w:rsidRPr="007820DB">
        <w:t xml:space="preserve">rom </w:t>
      </w:r>
      <w:r>
        <w:t>(agricultural land)</w:t>
      </w:r>
      <w:r w:rsidRPr="007820DB">
        <w:t>. Specifically, in marine ecosystems, where N is considered to be the most important element in limiting phytoplankton growth, effects can be considerable and include many negative effects</w:t>
      </w:r>
      <w:r>
        <w:t xml:space="preserve">. </w:t>
      </w:r>
    </w:p>
    <w:p w14:paraId="5B247225" w14:textId="77777777" w:rsidR="00A13FA7" w:rsidRPr="00FA0766" w:rsidRDefault="00A13FA7" w:rsidP="00A13FA7">
      <w:pPr>
        <w:rPr>
          <w:szCs w:val="22"/>
        </w:rPr>
      </w:pPr>
    </w:p>
    <w:p w14:paraId="203BEB15" w14:textId="3B329BD5" w:rsidR="00A13FA7" w:rsidRDefault="00D63E15" w:rsidP="00A13FA7">
      <w:pPr>
        <w:pStyle w:val="berschrift2"/>
      </w:pPr>
      <w:r w:rsidRPr="00D63E15">
        <w:tab/>
      </w:r>
      <w:bookmarkStart w:id="123" w:name="_Toc83997342"/>
      <w:r w:rsidRPr="00D63E15">
        <w:t>Indicators for N and P status of soils</w:t>
      </w:r>
      <w:bookmarkEnd w:id="123"/>
    </w:p>
    <w:p w14:paraId="142F5629" w14:textId="77777777" w:rsidR="00E40DF8" w:rsidRDefault="00E40DF8" w:rsidP="00A13FA7">
      <w:bookmarkStart w:id="124" w:name="_Toc57473964"/>
      <w:bookmarkStart w:id="125" w:name="_Toc57473996"/>
      <w:bookmarkStart w:id="126" w:name="_Toc57474152"/>
      <w:bookmarkStart w:id="127" w:name="_Toc57625059"/>
      <w:bookmarkEnd w:id="124"/>
      <w:bookmarkEnd w:id="125"/>
      <w:bookmarkEnd w:id="126"/>
      <w:bookmarkEnd w:id="127"/>
    </w:p>
    <w:p w14:paraId="35B63ED9" w14:textId="4624CF69" w:rsidR="00A13FA7" w:rsidRDefault="00A13FA7" w:rsidP="00A13FA7">
      <w:r>
        <w:t xml:space="preserve">Indicators for the soil N and P status can be given in terms of total values (total N and P content) and (plant) available N and P contents. These indicators are specifically used to gain insight in the soil fertility status and the need for N and P fertilization in view of crop growth. </w:t>
      </w:r>
    </w:p>
    <w:p w14:paraId="0D35CB59" w14:textId="77777777" w:rsidR="00E40DF8" w:rsidRDefault="00E40DF8" w:rsidP="00A13FA7"/>
    <w:p w14:paraId="2B95E9D8" w14:textId="3D58102E" w:rsidR="00A13FA7" w:rsidRDefault="00A13FA7" w:rsidP="00E40DF8">
      <w:pPr>
        <w:pStyle w:val="EEAbullet0"/>
      </w:pPr>
      <w:r>
        <w:t xml:space="preserve">For </w:t>
      </w:r>
      <w:r w:rsidRPr="00E15E9D">
        <w:rPr>
          <w:b/>
          <w:bCs/>
        </w:rPr>
        <w:t xml:space="preserve">N in </w:t>
      </w:r>
      <w:r>
        <w:rPr>
          <w:b/>
          <w:bCs/>
        </w:rPr>
        <w:t xml:space="preserve">agricultural </w:t>
      </w:r>
      <w:r w:rsidRPr="00E15E9D">
        <w:rPr>
          <w:b/>
          <w:bCs/>
        </w:rPr>
        <w:t>soil</w:t>
      </w:r>
      <w:r>
        <w:rPr>
          <w:b/>
          <w:bCs/>
        </w:rPr>
        <w:t>s</w:t>
      </w:r>
      <w:r w:rsidRPr="00E15E9D">
        <w:rPr>
          <w:b/>
          <w:bCs/>
        </w:rPr>
        <w:t>, target levels or critical levels</w:t>
      </w:r>
      <w:r>
        <w:t xml:space="preserve"> are </w:t>
      </w:r>
      <w:r w:rsidRPr="00E15E9D">
        <w:rPr>
          <w:u w:val="single"/>
        </w:rPr>
        <w:t>not</w:t>
      </w:r>
      <w:r>
        <w:t xml:space="preserve"> defined, but there are indicators for </w:t>
      </w:r>
      <w:r w:rsidRPr="00E15E9D">
        <w:rPr>
          <w:b/>
          <w:bCs/>
        </w:rPr>
        <w:t>forest soils</w:t>
      </w:r>
      <w:r>
        <w:t xml:space="preserve"> </w:t>
      </w:r>
      <w:r w:rsidRPr="00393735">
        <w:t xml:space="preserve">(see also section </w:t>
      </w:r>
      <w:r w:rsidR="00393735" w:rsidRPr="00393735">
        <w:fldChar w:fldCharType="begin"/>
      </w:r>
      <w:r w:rsidR="00393735" w:rsidRPr="00393735">
        <w:instrText xml:space="preserve"> REF _Ref64620152 \r \h </w:instrText>
      </w:r>
      <w:r w:rsidR="00393735">
        <w:instrText xml:space="preserve"> \* MERGEFORMAT </w:instrText>
      </w:r>
      <w:r w:rsidR="00393735" w:rsidRPr="00393735">
        <w:fldChar w:fldCharType="separate"/>
      </w:r>
      <w:r w:rsidR="0067767C">
        <w:t>3.3</w:t>
      </w:r>
      <w:r w:rsidR="00393735" w:rsidRPr="00393735">
        <w:fldChar w:fldCharType="end"/>
      </w:r>
      <w:r w:rsidRPr="00393735">
        <w:t>)</w:t>
      </w:r>
      <w:r>
        <w:t xml:space="preserve">. </w:t>
      </w:r>
    </w:p>
    <w:p w14:paraId="16855F72" w14:textId="77777777" w:rsidR="00E40DF8" w:rsidRDefault="00E40DF8" w:rsidP="00E40DF8">
      <w:pPr>
        <w:pStyle w:val="EEAbullet0"/>
        <w:numPr>
          <w:ilvl w:val="0"/>
          <w:numId w:val="0"/>
        </w:numPr>
        <w:ind w:left="397"/>
      </w:pPr>
    </w:p>
    <w:p w14:paraId="3138C33C" w14:textId="77777777" w:rsidR="00A13FA7" w:rsidRDefault="00A13FA7" w:rsidP="00E40DF8">
      <w:pPr>
        <w:pStyle w:val="EEAbullet0"/>
      </w:pPr>
      <w:r>
        <w:t xml:space="preserve">For P, target and critical levels can be defined, however, a distinction needs to be made between the two: below the </w:t>
      </w:r>
      <w:r w:rsidRPr="00E15E9D">
        <w:rPr>
          <w:b/>
          <w:bCs/>
        </w:rPr>
        <w:t>target level</w:t>
      </w:r>
      <w:r>
        <w:rPr>
          <w:b/>
          <w:bCs/>
        </w:rPr>
        <w:t>,</w:t>
      </w:r>
      <w:r>
        <w:t xml:space="preserve"> the soil P status should be increased in view of P limitation for crop growth; above the </w:t>
      </w:r>
      <w:r w:rsidRPr="00E15E9D">
        <w:rPr>
          <w:b/>
          <w:bCs/>
        </w:rPr>
        <w:t>critical level</w:t>
      </w:r>
      <w:r>
        <w:rPr>
          <w:b/>
          <w:bCs/>
        </w:rPr>
        <w:t xml:space="preserve">, </w:t>
      </w:r>
      <w:r>
        <w:t>there is an enhanced risk for negative effects on water quality due to enhanced P loss to surface waters. Details on indicators are described below.</w:t>
      </w:r>
    </w:p>
    <w:p w14:paraId="69A69E60" w14:textId="77777777" w:rsidR="00A13FA7" w:rsidRPr="00583417" w:rsidRDefault="00A13FA7" w:rsidP="00A13FA7">
      <w:pPr>
        <w:rPr>
          <w:bCs/>
        </w:rPr>
      </w:pPr>
    </w:p>
    <w:p w14:paraId="3816B0F4" w14:textId="15D1003C" w:rsidR="00A13FA7" w:rsidRPr="009D5972" w:rsidRDefault="00A13FA7" w:rsidP="002C488D">
      <w:pPr>
        <w:pStyle w:val="berschrift2"/>
        <w:numPr>
          <w:ilvl w:val="2"/>
          <w:numId w:val="3"/>
        </w:numPr>
        <w:tabs>
          <w:tab w:val="num" w:pos="360"/>
        </w:tabs>
        <w:rPr>
          <w:rStyle w:val="FormatvorlageFormatvorlageberschrift3Zchn1"/>
        </w:rPr>
      </w:pPr>
      <w:bookmarkStart w:id="128" w:name="_Toc58973207"/>
      <w:bookmarkStart w:id="129" w:name="_Toc83997343"/>
      <w:r w:rsidRPr="009D5972">
        <w:rPr>
          <w:rStyle w:val="FormatvorlageFormatvorlageberschrift3Zchn1"/>
        </w:rPr>
        <w:t>Indicators about the N status in soils</w:t>
      </w:r>
      <w:bookmarkEnd w:id="128"/>
      <w:bookmarkEnd w:id="129"/>
    </w:p>
    <w:p w14:paraId="35940C82" w14:textId="77777777" w:rsidR="00DD6E4F" w:rsidRPr="00DD6E4F" w:rsidRDefault="00DD6E4F" w:rsidP="00DD6E4F"/>
    <w:p w14:paraId="598F3F94" w14:textId="77777777" w:rsidR="00A13FA7" w:rsidRDefault="00A13FA7" w:rsidP="00DD6E4F">
      <w:pPr>
        <w:pStyle w:val="EEAStandardbold"/>
      </w:pPr>
      <w:r w:rsidRPr="00B23663">
        <w:t>Mineral N in agricultural soils.</w:t>
      </w:r>
    </w:p>
    <w:p w14:paraId="678700C8" w14:textId="364601DB" w:rsidR="00A13FA7" w:rsidRDefault="00A13FA7" w:rsidP="00A13FA7">
      <w:pPr>
        <w:spacing w:before="120"/>
      </w:pPr>
      <w:r>
        <w:t>In agricultural soils, the total concentration of mineral N (N min), being the sum of available NH</w:t>
      </w:r>
      <w:r w:rsidRPr="008F64E4">
        <w:rPr>
          <w:vertAlign w:val="subscript"/>
        </w:rPr>
        <w:t>4</w:t>
      </w:r>
      <w:r>
        <w:t xml:space="preserve"> and NO</w:t>
      </w:r>
      <w:r w:rsidRPr="008F64E4">
        <w:rPr>
          <w:vertAlign w:val="subscript"/>
        </w:rPr>
        <w:t>3</w:t>
      </w:r>
      <w:r>
        <w:t xml:space="preserve"> in the soil profile, </w:t>
      </w:r>
      <w:r w:rsidRPr="00C743DE">
        <w:t xml:space="preserve">determined by for example </w:t>
      </w:r>
      <w:r>
        <w:t xml:space="preserve">an extraction of </w:t>
      </w:r>
      <w:r w:rsidRPr="00C743DE">
        <w:t>1N KCl</w:t>
      </w:r>
      <w:r>
        <w:t>, is the most relevant indicator for the N status of an agricultural soil in relation to crop yield. It is an indicator of potentially available N, due to its relationship with N mineralization, which increases the sum of dissolved NH</w:t>
      </w:r>
      <w:r w:rsidRPr="00F52C56">
        <w:rPr>
          <w:vertAlign w:val="subscript"/>
        </w:rPr>
        <w:t>4</w:t>
      </w:r>
      <w:r>
        <w:t xml:space="preserve"> and NO</w:t>
      </w:r>
      <w:r w:rsidRPr="00F52C56">
        <w:rPr>
          <w:vertAlign w:val="subscript"/>
        </w:rPr>
        <w:t>3</w:t>
      </w:r>
      <w:r>
        <w:t xml:space="preserve"> in the soil solution. Only this fraction of N is directly available to plants. The concentration of N min is assessed each year for farmers, since N min is highly variable, depending on soil and crop properties and climate and it is used to give advice for N fertilizer applications. </w:t>
      </w:r>
    </w:p>
    <w:p w14:paraId="4135E7B3" w14:textId="39C7028A" w:rsidR="00A13FA7" w:rsidRDefault="00A13FA7" w:rsidP="00A13FA7">
      <w:pPr>
        <w:spacing w:before="120"/>
      </w:pPr>
      <w:r>
        <w:t xml:space="preserve">Advice about N fertilization follows the objective of so-called balanced N fertilization. Based on a target crop yield and the N content in harvested crop, the required N uptake in plants is derived. Then the effective N input by other sources than fertilizer is derived. This includes N mineralisation related to </w:t>
      </w:r>
      <w:r>
        <w:lastRenderedPageBreak/>
        <w:t xml:space="preserve">mineral soil N, as mentioned above, and external N inputs by manure, crop residues, </w:t>
      </w:r>
      <w:r w:rsidRPr="009348A1">
        <w:t>N fixation and atmospheric N deposition</w:t>
      </w:r>
      <w:r>
        <w:t>. Effective N inputs are used since there are unavoidable losses of N to air and water, for example, due to the fact that N that is mineralized or comes in by manure and deposition comes part</w:t>
      </w:r>
      <w:r w:rsidR="00935370">
        <w:t>l</w:t>
      </w:r>
      <w:r>
        <w:t xml:space="preserve">y available outside the growing season. The gap between the required N uptake and the effective N input by other sources than fertilizer is then used to recommend a certain N fertilizer application, accounting again for unavoidable losses of N to air and water. </w:t>
      </w:r>
    </w:p>
    <w:p w14:paraId="3154B5C1" w14:textId="5A27A3AB" w:rsidR="00C32B4D" w:rsidRDefault="00C32B4D">
      <w:pPr>
        <w:suppressAutoHyphens w:val="0"/>
        <w:jc w:val="left"/>
        <w:rPr>
          <w:b/>
          <w:bCs/>
          <w:u w:val="single"/>
        </w:rPr>
      </w:pPr>
    </w:p>
    <w:p w14:paraId="3516A4A6" w14:textId="2C681E07" w:rsidR="00A13FA7" w:rsidRPr="00B23663" w:rsidRDefault="00A13FA7" w:rsidP="00DD6E4F">
      <w:pPr>
        <w:pStyle w:val="EEAStandardbold"/>
      </w:pPr>
      <w:r w:rsidRPr="00B23663">
        <w:t xml:space="preserve">Carbon to nitrogen ratio in non-agricultural (forest) soils) </w:t>
      </w:r>
    </w:p>
    <w:p w14:paraId="40B73977" w14:textId="0E09AF7C" w:rsidR="00A13FA7" w:rsidRDefault="00A13FA7" w:rsidP="00A13FA7">
      <w:pPr>
        <w:spacing w:before="120"/>
      </w:pPr>
      <w:r>
        <w:t>Aber et al. (1998) launched the theory on ecosystem N saturation: with a focus on forest ecosystems, they distinguished different stages in view of:</w:t>
      </w:r>
    </w:p>
    <w:p w14:paraId="502456CE" w14:textId="546B55B1" w:rsidR="00A13FA7" w:rsidRDefault="00A13FA7" w:rsidP="00E40DF8">
      <w:pPr>
        <w:pStyle w:val="EEAbullet0"/>
      </w:pPr>
      <w:r w:rsidRPr="000F47A7">
        <w:t>impacts on soil chemical processes such as mineralization, immobilization, nitrification, affecting N leaching, acidification</w:t>
      </w:r>
    </w:p>
    <w:p w14:paraId="1D230F1B" w14:textId="1903C431" w:rsidR="00A13FA7" w:rsidRDefault="00A13FA7" w:rsidP="00E40DF8">
      <w:pPr>
        <w:pStyle w:val="EEAbullet0"/>
      </w:pPr>
      <w:r>
        <w:t xml:space="preserve">plant nutrition and forest growth, and </w:t>
      </w:r>
    </w:p>
    <w:p w14:paraId="6507325B" w14:textId="77777777" w:rsidR="00A13FA7" w:rsidRDefault="00A13FA7" w:rsidP="00E40DF8">
      <w:pPr>
        <w:pStyle w:val="EEAbullet0"/>
      </w:pPr>
      <w:proofErr w:type="gramStart"/>
      <w:r>
        <w:t>plant</w:t>
      </w:r>
      <w:proofErr w:type="gramEnd"/>
      <w:r>
        <w:t xml:space="preserve"> species diversity. </w:t>
      </w:r>
    </w:p>
    <w:p w14:paraId="351F5918" w14:textId="77777777" w:rsidR="00DC7B4A" w:rsidRDefault="00DC7B4A" w:rsidP="00DC7B4A"/>
    <w:p w14:paraId="6023CC0F" w14:textId="7F1A3602" w:rsidR="00A13FA7" w:rsidRDefault="00A13FA7" w:rsidP="00DC7B4A">
      <w:r>
        <w:t xml:space="preserve">Below a specific threshold, terrestrial ecosystems will react to additional N inputs by an increased biomass production. Above a physiological optimum, production remains constant, or even decreases. When the ecosystem approaches "N saturation", N leaching will increase above (nearly negligible) background levels, associated with soil acidification in terms of elevated leaching of base cations as well as increased levels of aluminium at low </w:t>
      </w:r>
      <w:r w:rsidRPr="00393735">
        <w:t xml:space="preserve">pH (see chapter </w:t>
      </w:r>
      <w:r w:rsidR="00393735" w:rsidRPr="00393735">
        <w:fldChar w:fldCharType="begin"/>
      </w:r>
      <w:r w:rsidR="00393735" w:rsidRPr="00393735">
        <w:instrText xml:space="preserve"> REF _Ref64620193 \r \h </w:instrText>
      </w:r>
      <w:r w:rsidR="00393735">
        <w:instrText xml:space="preserve"> \* MERGEFORMAT </w:instrText>
      </w:r>
      <w:r w:rsidR="00393735" w:rsidRPr="00393735">
        <w:fldChar w:fldCharType="separate"/>
      </w:r>
      <w:r w:rsidR="0067767C">
        <w:t>4</w:t>
      </w:r>
      <w:r w:rsidR="00393735" w:rsidRPr="00393735">
        <w:fldChar w:fldCharType="end"/>
      </w:r>
      <w:r w:rsidRPr="00393735">
        <w:t>). At this</w:t>
      </w:r>
      <w:r>
        <w:t xml:space="preserve"> level, a decrease in plant species diversity and changes towards more nitrophilic species are also observed (e.g. Bobbink and Hettelingh 2011).</w:t>
      </w:r>
    </w:p>
    <w:p w14:paraId="58585714" w14:textId="597FEA08" w:rsidR="00A13FA7" w:rsidRDefault="00A13FA7" w:rsidP="006513ED">
      <w:pPr>
        <w:spacing w:before="120"/>
      </w:pPr>
      <w:r w:rsidRPr="00396F38">
        <w:t xml:space="preserve">One possible indicator for N eutrophication impact in forests is the C/N ratio for either the highly humified organic layer (H horizon: for moderate to nutrient poor forest soils) or for the top few centimetres of mineral soils (nutrient-rich forest soils with absent H horizons). </w:t>
      </w:r>
      <w:r>
        <w:t xml:space="preserve">There are indications that N retention is reduced with a decreasing soil C/N ratio, especially in the organic layer, as shown first by Dise et al. (1998, 2009) and Gundersen et al. (1998). This allows to derive a critical C/N ratio in these soils as discussed below </w:t>
      </w:r>
      <w:r w:rsidRPr="00393735">
        <w:t xml:space="preserve">in </w:t>
      </w:r>
      <w:r w:rsidR="00393735" w:rsidRPr="00393735">
        <w:t>s</w:t>
      </w:r>
      <w:r w:rsidRPr="00393735">
        <w:t xml:space="preserve">ection </w:t>
      </w:r>
      <w:r w:rsidR="00393735">
        <w:fldChar w:fldCharType="begin"/>
      </w:r>
      <w:r w:rsidR="00393735">
        <w:instrText xml:space="preserve"> REF _Ref64620236 \r \h </w:instrText>
      </w:r>
      <w:r w:rsidR="00DC7B4A">
        <w:instrText xml:space="preserve"> \* MERGEFORMAT </w:instrText>
      </w:r>
      <w:r w:rsidR="00393735">
        <w:fldChar w:fldCharType="separate"/>
      </w:r>
      <w:r w:rsidR="0067767C">
        <w:t>3.3</w:t>
      </w:r>
      <w:r w:rsidR="00393735">
        <w:fldChar w:fldCharType="end"/>
      </w:r>
      <w:r w:rsidRPr="00393735">
        <w:t>.</w:t>
      </w:r>
    </w:p>
    <w:p w14:paraId="50118F3A" w14:textId="77777777" w:rsidR="00A13FA7" w:rsidRDefault="00A13FA7" w:rsidP="00DC7B4A"/>
    <w:p w14:paraId="4CB092AA" w14:textId="77777777" w:rsidR="00A13FA7" w:rsidRPr="00B23663" w:rsidRDefault="00A13FA7" w:rsidP="00DD6E4F">
      <w:pPr>
        <w:pStyle w:val="EEAStandardbold"/>
      </w:pPr>
      <w:r w:rsidRPr="00B23663">
        <w:t xml:space="preserve">Output indicator: N concentrations on air and water: </w:t>
      </w:r>
    </w:p>
    <w:p w14:paraId="7336826C" w14:textId="77777777" w:rsidR="00D24035" w:rsidRDefault="00D24035" w:rsidP="00DC7B4A"/>
    <w:p w14:paraId="2CF7617F" w14:textId="4D4FD81D" w:rsidR="00A13FA7" w:rsidRDefault="00A13FA7" w:rsidP="00DC7B4A">
      <w:r>
        <w:t xml:space="preserve">At high target crop yields and/or in soils with limited possibilities for denitrification (e.g. well drained sandy soils), the </w:t>
      </w:r>
      <w:r w:rsidRPr="00393735">
        <w:t>current N inputs may cause an exceedance of critical limits for nitrate (NO</w:t>
      </w:r>
      <w:r w:rsidRPr="00393735">
        <w:rPr>
          <w:vertAlign w:val="subscript"/>
        </w:rPr>
        <w:t>3</w:t>
      </w:r>
      <w:r w:rsidRPr="00393735">
        <w:t xml:space="preserve">) in ground water or total N in surface water (see </w:t>
      </w:r>
      <w:r w:rsidR="00393735" w:rsidRPr="00393735">
        <w:fldChar w:fldCharType="begin"/>
      </w:r>
      <w:r w:rsidR="00393735" w:rsidRPr="00393735">
        <w:instrText xml:space="preserve"> REF _Ref64620310 \r \h </w:instrText>
      </w:r>
      <w:r w:rsidR="00393735">
        <w:instrText xml:space="preserve"> \* MERGEFORMAT </w:instrText>
      </w:r>
      <w:r w:rsidR="00393735" w:rsidRPr="00393735">
        <w:fldChar w:fldCharType="separate"/>
      </w:r>
      <w:r w:rsidR="0067767C">
        <w:t>3.3</w:t>
      </w:r>
      <w:r w:rsidR="00393735" w:rsidRPr="00393735">
        <w:fldChar w:fldCharType="end"/>
      </w:r>
      <w:r w:rsidRPr="00393735">
        <w:t xml:space="preserve"> for critical limits). Similarly, at high manure N inputs, typical for areas with intensive livestock husbandry, the emission of ammonia (NH</w:t>
      </w:r>
      <w:r w:rsidRPr="00393735">
        <w:rPr>
          <w:vertAlign w:val="subscript"/>
        </w:rPr>
        <w:t>3</w:t>
      </w:r>
      <w:r w:rsidRPr="00393735">
        <w:t>) may be such that it exceeds critical levels for NH</w:t>
      </w:r>
      <w:r w:rsidRPr="00393735">
        <w:rPr>
          <w:vertAlign w:val="subscript"/>
        </w:rPr>
        <w:t>3</w:t>
      </w:r>
      <w:r w:rsidRPr="00393735">
        <w:t xml:space="preserve"> in air or critical loads of N to ecosystems</w:t>
      </w:r>
      <w:r>
        <w:t xml:space="preserve">. It is thus the air </w:t>
      </w:r>
      <w:r w:rsidRPr="00393735">
        <w:t xml:space="preserve">and water quality that limits N management rather than soil quality (apart from soil acidification, as discussed in chapter </w:t>
      </w:r>
      <w:r w:rsidR="00393735" w:rsidRPr="00393735">
        <w:fldChar w:fldCharType="begin"/>
      </w:r>
      <w:r w:rsidR="00393735" w:rsidRPr="00393735">
        <w:instrText xml:space="preserve"> REF _Ref64620319 \r \h </w:instrText>
      </w:r>
      <w:r w:rsidR="00393735">
        <w:instrText xml:space="preserve"> \* MERGEFORMAT </w:instrText>
      </w:r>
      <w:r w:rsidR="00393735" w:rsidRPr="00393735">
        <w:fldChar w:fldCharType="separate"/>
      </w:r>
      <w:r w:rsidR="0067767C">
        <w:t>4</w:t>
      </w:r>
      <w:r w:rsidR="00393735" w:rsidRPr="00393735">
        <w:fldChar w:fldCharType="end"/>
      </w:r>
      <w:r w:rsidRPr="00393735">
        <w:t xml:space="preserve"> but that effect is in agricultural </w:t>
      </w:r>
      <w:r w:rsidR="006513ED" w:rsidRPr="00393735">
        <w:t>soils and</w:t>
      </w:r>
      <w:r w:rsidRPr="00393735">
        <w:t xml:space="preserve"> is generally counteracted by liming). In this context, critical N inputs to soils are calculated, being the inputs that cause concentration of NO</w:t>
      </w:r>
      <w:r w:rsidRPr="00393735">
        <w:rPr>
          <w:vertAlign w:val="subscript"/>
        </w:rPr>
        <w:t>3</w:t>
      </w:r>
      <w:r w:rsidRPr="00393735">
        <w:t xml:space="preserve"> in ground water or total N in surface water or NH3 in air which are equal to the critical levels of those N compounds (De Vries and Schulte-</w:t>
      </w:r>
      <w:r>
        <w:t xml:space="preserve">Uebbing, 2020). In Europe, there are many regions where current input exceeds those critical N </w:t>
      </w:r>
      <w:r w:rsidR="006513ED">
        <w:t>inputs,</w:t>
      </w:r>
      <w:r>
        <w:t xml:space="preserve"> but this cannot be monitored by a soil N indicator by air and water quality indicators.</w:t>
      </w:r>
    </w:p>
    <w:p w14:paraId="29640188" w14:textId="77777777" w:rsidR="00A13FA7" w:rsidRDefault="00A13FA7" w:rsidP="00DC7B4A"/>
    <w:p w14:paraId="7C9B8150" w14:textId="36C4BA29" w:rsidR="00A13FA7" w:rsidRPr="009D5972" w:rsidRDefault="00A13FA7" w:rsidP="002C488D">
      <w:pPr>
        <w:pStyle w:val="berschrift2"/>
        <w:numPr>
          <w:ilvl w:val="2"/>
          <w:numId w:val="3"/>
        </w:numPr>
        <w:tabs>
          <w:tab w:val="num" w:pos="360"/>
        </w:tabs>
        <w:rPr>
          <w:rStyle w:val="FormatvorlageFormatvorlageberschrift3Zchn1"/>
        </w:rPr>
      </w:pPr>
      <w:bookmarkStart w:id="130" w:name="_Toc58973208"/>
      <w:bookmarkStart w:id="131" w:name="_Toc83997344"/>
      <w:r w:rsidRPr="009D5972">
        <w:rPr>
          <w:rStyle w:val="FormatvorlageFormatvorlageberschrift3Zchn1"/>
        </w:rPr>
        <w:t>Indicators about the P status in soils</w:t>
      </w:r>
      <w:bookmarkEnd w:id="130"/>
      <w:bookmarkEnd w:id="131"/>
    </w:p>
    <w:p w14:paraId="41A9798D" w14:textId="77777777" w:rsidR="00DD6E4F" w:rsidRPr="00DD6E4F" w:rsidRDefault="00DD6E4F" w:rsidP="00DD6E4F"/>
    <w:p w14:paraId="74BCE221" w14:textId="77777777" w:rsidR="00A13FA7" w:rsidRPr="00C864B1" w:rsidRDefault="00A13FA7" w:rsidP="00DD6E4F">
      <w:pPr>
        <w:pStyle w:val="EEAStandardbold"/>
      </w:pPr>
      <w:r w:rsidRPr="00C864B1">
        <w:t>Crop yields and available soil P contents</w:t>
      </w:r>
    </w:p>
    <w:p w14:paraId="46BB63D1" w14:textId="77777777" w:rsidR="00D24035" w:rsidRDefault="00D24035" w:rsidP="00DC7B4A"/>
    <w:p w14:paraId="0D3C06CD" w14:textId="0D27B0EE" w:rsidR="00A13FA7" w:rsidRDefault="00A13FA7" w:rsidP="00DC7B4A">
      <w:r>
        <w:t xml:space="preserve">The P indicator used in agricultural soil is the </w:t>
      </w:r>
      <w:r w:rsidRPr="007511BB">
        <w:rPr>
          <w:b/>
          <w:bCs/>
        </w:rPr>
        <w:t>available P concentration</w:t>
      </w:r>
      <w:r>
        <w:t xml:space="preserve">. The P concentration in the rooted topsoil is derived from soil-P tests (extractants); it indicates the availability of P, and is used for P fertilizer recommendations, based on their linkage with crop yields </w:t>
      </w:r>
      <w:r w:rsidRPr="002D7F87">
        <w:t>(Jordan-Meille et al., 2012). There</w:t>
      </w:r>
      <w:r>
        <w:t xml:space="preserve"> are many extractants that are used to assess the available soil P level, and all extract a different soil P pool. Examples of available soil P parameter are P- </w:t>
      </w:r>
      <w:r w:rsidRPr="002D7F87">
        <w:t>Bray (Bray and Kurtz</w:t>
      </w:r>
      <w:proofErr w:type="gramStart"/>
      <w:r w:rsidRPr="002D7F87">
        <w:t>,1945</w:t>
      </w:r>
      <w:proofErr w:type="gramEnd"/>
      <w:r w:rsidRPr="002D7F87">
        <w:t xml:space="preserve">), P-Olsen (Olsen et al., 1954), P-ammonium </w:t>
      </w:r>
      <w:r w:rsidRPr="002D7F87">
        <w:lastRenderedPageBreak/>
        <w:t>oxalate (Joret and Hebert, 1955), P-ammonium lactate (Egner et al., 1960) and P-Mehlich (Mehlich, 1984). Each extraction method yields a varied amount of a given nutrient in a soil sample due to differences in extraction mechanism. For instance, fourteen extraction methods in Europe were evaluated by Jordan‐Meille et al. (2012), and they concluded that the test</w:t>
      </w:r>
      <w:r>
        <w:t>ed extraction methods yielded different amounts of P from different P pools. Considering the above-mentioned methods, they showed that P extracted increased in the order of the following P extraction methods:</w:t>
      </w:r>
    </w:p>
    <w:p w14:paraId="52DD8EDC" w14:textId="77777777" w:rsidR="00A13FA7" w:rsidRDefault="00A13FA7" w:rsidP="00A13FA7">
      <w:pPr>
        <w:spacing w:before="120"/>
        <w:jc w:val="center"/>
      </w:pPr>
      <w:r>
        <w:t>Olsen &lt; Ammonium lactate &lt; Mehlich3 &lt; Bray II &lt; Oxalate &lt; Total P</w:t>
      </w:r>
    </w:p>
    <w:p w14:paraId="18BE6418" w14:textId="73794EA0" w:rsidR="00A13FA7" w:rsidRPr="00ED51D3" w:rsidRDefault="00286540" w:rsidP="00286540">
      <w:pPr>
        <w:spacing w:before="240"/>
      </w:pPr>
      <w:r w:rsidRPr="00ED51D3">
        <w:t>Regarding</w:t>
      </w:r>
      <w:r w:rsidR="00A13FA7" w:rsidRPr="00ED51D3">
        <w:t xml:space="preserve"> thresholds, it would be highly advisable to apply a harmonized extraction, but unfortunately this is not the case, since many countries have related P in a given soil extraction method to crop yields and do </w:t>
      </w:r>
      <w:r w:rsidR="00935370">
        <w:t>p</w:t>
      </w:r>
      <w:r w:rsidR="00A13FA7" w:rsidRPr="00ED51D3">
        <w:t xml:space="preserve">refer to stay with their approach. Actually, it would be even more preferable if a harmonized approach was taken for both a reactive (long term available) soil P pool (e.g. ammonium lactate and a dissolved P concentration </w:t>
      </w:r>
      <w:r w:rsidR="00935370">
        <w:t xml:space="preserve">like </w:t>
      </w:r>
      <w:r w:rsidR="00A13FA7" w:rsidRPr="00ED51D3">
        <w:t xml:space="preserve">P in water or 0.01 M </w:t>
      </w:r>
      <w:r w:rsidR="00221B2A">
        <w:t>C</w:t>
      </w:r>
      <w:r w:rsidR="00A13FA7" w:rsidRPr="00ED51D3">
        <w:t>aCl</w:t>
      </w:r>
      <w:r w:rsidR="00A13FA7" w:rsidRPr="00935370">
        <w:rPr>
          <w:vertAlign w:val="subscript"/>
        </w:rPr>
        <w:t>2</w:t>
      </w:r>
      <w:r w:rsidR="00935370">
        <w:t>)</w:t>
      </w:r>
      <w:r w:rsidR="00A13FA7" w:rsidRPr="00ED51D3">
        <w:t xml:space="preserve"> as this gives information on the soil P buffer capacity, i</w:t>
      </w:r>
      <w:r w:rsidR="00A13FA7">
        <w:t>.</w:t>
      </w:r>
      <w:r w:rsidR="00A13FA7" w:rsidRPr="00ED51D3">
        <w:t>e</w:t>
      </w:r>
      <w:r w:rsidR="00A13FA7">
        <w:t>.</w:t>
      </w:r>
      <w:r w:rsidR="00A13FA7" w:rsidRPr="00ED51D3">
        <w:t xml:space="preserve"> the speed with which P in solution is replenished form the available pool after P uptake or P leaching.</w:t>
      </w:r>
    </w:p>
    <w:p w14:paraId="5B129BD9" w14:textId="77777777" w:rsidR="00A13FA7" w:rsidRDefault="00A13FA7" w:rsidP="00DC7B4A"/>
    <w:p w14:paraId="73F1B755" w14:textId="77777777" w:rsidR="00A13FA7" w:rsidRPr="00DD6E4F" w:rsidRDefault="00A13FA7" w:rsidP="00DD6E4F">
      <w:pPr>
        <w:pStyle w:val="EEAStandardbold"/>
      </w:pPr>
      <w:r w:rsidRPr="00DD6E4F">
        <w:t xml:space="preserve">Water quality and soil P saturation index </w:t>
      </w:r>
    </w:p>
    <w:p w14:paraId="1B13407A" w14:textId="046E3309" w:rsidR="00A13FA7" w:rsidRDefault="00A13FA7" w:rsidP="00286540">
      <w:pPr>
        <w:spacing w:before="120"/>
      </w:pPr>
      <w:r>
        <w:t xml:space="preserve">One indicator for the effect of P applications on water quality is </w:t>
      </w:r>
      <w:r w:rsidRPr="007511BB">
        <w:rPr>
          <w:b/>
          <w:bCs/>
        </w:rPr>
        <w:t>P-CaCl</w:t>
      </w:r>
      <w:r w:rsidRPr="007511BB">
        <w:rPr>
          <w:b/>
          <w:bCs/>
          <w:vertAlign w:val="subscript"/>
        </w:rPr>
        <w:t>2</w:t>
      </w:r>
      <w:r w:rsidRPr="007511BB">
        <w:rPr>
          <w:b/>
          <w:bCs/>
        </w:rPr>
        <w:t>, or P water (Pw)</w:t>
      </w:r>
      <w:r>
        <w:t xml:space="preserve">. Both values represent the dissolved P concentration in the soil </w:t>
      </w:r>
      <w:r w:rsidR="00286540">
        <w:t>solution.</w:t>
      </w:r>
      <w:r>
        <w:t xml:space="preserve"> Both variables can, however, be highly variable. The </w:t>
      </w:r>
      <w:r w:rsidRPr="007511BB">
        <w:rPr>
          <w:b/>
          <w:bCs/>
        </w:rPr>
        <w:t>P status in relation to leaching</w:t>
      </w:r>
      <w:r>
        <w:t xml:space="preserve"> is expressed by the so-called </w:t>
      </w:r>
      <w:r w:rsidRPr="007511BB">
        <w:rPr>
          <w:b/>
          <w:bCs/>
        </w:rPr>
        <w:t>P saturation index</w:t>
      </w:r>
      <w:r>
        <w:t>; it is defined as the ratio P</w:t>
      </w:r>
      <w:r w:rsidRPr="00C864B1">
        <w:rPr>
          <w:vertAlign w:val="subscript"/>
        </w:rPr>
        <w:t>ox</w:t>
      </w:r>
      <w:proofErr w:type="gramStart"/>
      <w:r>
        <w:t>/(</w:t>
      </w:r>
      <w:proofErr w:type="gramEnd"/>
      <w:r>
        <w:t>Fe + Al)</w:t>
      </w:r>
      <w:r w:rsidRPr="00C864B1">
        <w:rPr>
          <w:vertAlign w:val="subscript"/>
        </w:rPr>
        <w:t>ox</w:t>
      </w:r>
      <w:r>
        <w:t>, where P</w:t>
      </w:r>
      <w:r w:rsidRPr="00C864B1">
        <w:rPr>
          <w:vertAlign w:val="subscript"/>
        </w:rPr>
        <w:t>ox</w:t>
      </w:r>
      <w:r>
        <w:t xml:space="preserve"> and (Fe + Al)</w:t>
      </w:r>
      <w:r w:rsidRPr="00C864B1">
        <w:rPr>
          <w:vertAlign w:val="subscript"/>
        </w:rPr>
        <w:t>ox</w:t>
      </w:r>
      <w:r>
        <w:t xml:space="preserve"> stands for the P, Al and Fe extracted in ammonium oxalate.</w:t>
      </w:r>
    </w:p>
    <w:p w14:paraId="4C9D40E4" w14:textId="77777777" w:rsidR="00A13FA7" w:rsidRDefault="00A13FA7" w:rsidP="00DC7B4A"/>
    <w:p w14:paraId="47CF49FD" w14:textId="394134B2" w:rsidR="00A13FA7" w:rsidRDefault="00A13FA7" w:rsidP="00A13FA7">
      <w:pPr>
        <w:pStyle w:val="berschrift2"/>
      </w:pPr>
      <w:bookmarkStart w:id="132" w:name="_Toc54100688"/>
      <w:bookmarkStart w:id="133" w:name="_Toc58973209"/>
      <w:bookmarkStart w:id="134" w:name="_Ref64620152"/>
      <w:bookmarkStart w:id="135" w:name="_Ref64620236"/>
      <w:bookmarkStart w:id="136" w:name="_Ref64620277"/>
      <w:bookmarkStart w:id="137" w:name="_Ref64620310"/>
      <w:bookmarkStart w:id="138" w:name="_Toc83997345"/>
      <w:r w:rsidRPr="008F64E4">
        <w:t>Critical limits or target values</w:t>
      </w:r>
      <w:bookmarkEnd w:id="132"/>
      <w:bookmarkEnd w:id="133"/>
      <w:bookmarkEnd w:id="134"/>
      <w:bookmarkEnd w:id="135"/>
      <w:bookmarkEnd w:id="136"/>
      <w:bookmarkEnd w:id="137"/>
      <w:bookmarkEnd w:id="138"/>
    </w:p>
    <w:p w14:paraId="76563C9C" w14:textId="7A5D75FF" w:rsidR="00A13FA7" w:rsidRPr="009D5972" w:rsidRDefault="00A13FA7" w:rsidP="002C488D">
      <w:pPr>
        <w:pStyle w:val="berschrift2"/>
        <w:numPr>
          <w:ilvl w:val="2"/>
          <w:numId w:val="4"/>
        </w:numPr>
        <w:rPr>
          <w:rStyle w:val="FormatvorlageFormatvorlageberschrift3Zchn1"/>
        </w:rPr>
      </w:pPr>
      <w:bookmarkStart w:id="139" w:name="_Toc58973210"/>
      <w:bookmarkStart w:id="140" w:name="_Toc58973211"/>
      <w:bookmarkStart w:id="141" w:name="_Toc58973212"/>
      <w:bookmarkStart w:id="142" w:name="_Toc83997346"/>
      <w:bookmarkEnd w:id="139"/>
      <w:bookmarkEnd w:id="140"/>
      <w:r w:rsidRPr="009D5972">
        <w:rPr>
          <w:rStyle w:val="FormatvorlageFormatvorlageberschrift3Zchn1"/>
        </w:rPr>
        <w:t>Critical limits for N status indicators</w:t>
      </w:r>
      <w:bookmarkEnd w:id="141"/>
      <w:bookmarkEnd w:id="142"/>
    </w:p>
    <w:p w14:paraId="6560145F" w14:textId="77777777" w:rsidR="00A13FA7" w:rsidRDefault="00A13FA7" w:rsidP="00A13FA7"/>
    <w:p w14:paraId="31FA6956" w14:textId="2B54DDC0" w:rsidR="00A13FA7" w:rsidRPr="001B77A1" w:rsidRDefault="00A13FA7" w:rsidP="00DD6E4F">
      <w:pPr>
        <w:pStyle w:val="EEAStandardbold"/>
      </w:pPr>
      <w:r w:rsidRPr="001B77A1">
        <w:t>N min in agricultural soils</w:t>
      </w:r>
    </w:p>
    <w:p w14:paraId="55C64D19" w14:textId="77777777" w:rsidR="00D24035" w:rsidRDefault="00D24035" w:rsidP="00DC7B4A"/>
    <w:p w14:paraId="6EA7E680" w14:textId="4D53DAD9" w:rsidR="00A13FA7" w:rsidRDefault="00A13FA7" w:rsidP="00DC7B4A">
      <w:r>
        <w:t xml:space="preserve">In agricultural soils, critical limits for total N or available N (the mineral N content) in soil, related to specific soil functions are difficult to define. They do affect crop growth in unfertilized soils by affecting N mineralization (see </w:t>
      </w:r>
      <w:r w:rsidRPr="00393735">
        <w:t xml:space="preserve">above), but there is no critical limit for it, because N fertilization ensures affluent N supply. Furthermore, excess N does not limit crop growth when related soil acidification is properly counteracted by liming (see chapter </w:t>
      </w:r>
      <w:r w:rsidR="00393735">
        <w:fldChar w:fldCharType="begin"/>
      </w:r>
      <w:r w:rsidR="00393735">
        <w:instrText xml:space="preserve"> REF _Ref64620351 \r \h </w:instrText>
      </w:r>
      <w:r w:rsidR="00393735">
        <w:fldChar w:fldCharType="separate"/>
      </w:r>
      <w:r w:rsidR="0067767C">
        <w:t>4</w:t>
      </w:r>
      <w:r w:rsidR="00393735">
        <w:fldChar w:fldCharType="end"/>
      </w:r>
      <w:r w:rsidRPr="00393735">
        <w:t xml:space="preserve">). High N min content may negatively affect soil </w:t>
      </w:r>
      <w:r w:rsidR="00286540" w:rsidRPr="00393735">
        <w:t>biodiversity,</w:t>
      </w:r>
      <w:r w:rsidRPr="00393735">
        <w:t xml:space="preserve"> but limit values cannot be defined since impacts are not related to differences in soil N status but to effects of N addition to the soil (via fertilizer), as described in section </w:t>
      </w:r>
      <w:r w:rsidR="00393735" w:rsidRPr="00393735">
        <w:fldChar w:fldCharType="begin"/>
      </w:r>
      <w:r w:rsidR="00393735" w:rsidRPr="00393735">
        <w:instrText xml:space="preserve"> REF _Ref64620264 \r \h </w:instrText>
      </w:r>
      <w:r w:rsidR="00393735">
        <w:instrText xml:space="preserve"> \* MERGEFORMAT </w:instrText>
      </w:r>
      <w:r w:rsidR="00393735" w:rsidRPr="00393735">
        <w:fldChar w:fldCharType="separate"/>
      </w:r>
      <w:r w:rsidR="0067767C">
        <w:t>3.1</w:t>
      </w:r>
      <w:r w:rsidR="00393735" w:rsidRPr="00393735">
        <w:fldChar w:fldCharType="end"/>
      </w:r>
      <w:r w:rsidRPr="00393735">
        <w:t>. Finally, losses of N to air and water, negatively affecting air and water quality, are more related to N inputs and the soil properties</w:t>
      </w:r>
      <w:r>
        <w:t xml:space="preserve"> affecting denitrification and thus N leaching (especially clay content and ground water level) and N emissions than the actual soil N status. </w:t>
      </w:r>
    </w:p>
    <w:p w14:paraId="3A42A9AC" w14:textId="77777777" w:rsidR="00A13FA7" w:rsidRDefault="00A13FA7" w:rsidP="00A13FA7"/>
    <w:p w14:paraId="2A73F7FD" w14:textId="45ADCF92" w:rsidR="00A13FA7" w:rsidRPr="001B77A1" w:rsidRDefault="00C234B4" w:rsidP="00DD6E4F">
      <w:pPr>
        <w:pStyle w:val="EEAStandardbold"/>
      </w:pPr>
      <w:r>
        <w:t xml:space="preserve">Critical limits for the </w:t>
      </w:r>
      <w:r w:rsidR="00A13FA7" w:rsidRPr="001B77A1">
        <w:t xml:space="preserve">C/N ratio in </w:t>
      </w:r>
      <w:r w:rsidR="00A13FA7">
        <w:t xml:space="preserve">the </w:t>
      </w:r>
      <w:r w:rsidR="00A13FA7" w:rsidRPr="001B77A1">
        <w:t>organic layer of forest soils</w:t>
      </w:r>
      <w:r w:rsidR="00A13FA7">
        <w:t xml:space="preserve"> (H horizon)</w:t>
      </w:r>
      <w:r w:rsidR="00A13FA7">
        <w:rPr>
          <w:rStyle w:val="Funotenzeichen"/>
          <w:b w:val="0"/>
          <w:bCs/>
          <w:u w:val="single"/>
        </w:rPr>
        <w:footnoteReference w:id="42"/>
      </w:r>
    </w:p>
    <w:p w14:paraId="2722D9DD" w14:textId="77777777" w:rsidR="00D24035" w:rsidRDefault="00D24035" w:rsidP="00DC7B4A"/>
    <w:p w14:paraId="3DFD69D8" w14:textId="4936986E" w:rsidR="00A13FA7" w:rsidRDefault="00A13FA7" w:rsidP="00DC7B4A">
      <w:r>
        <w:t xml:space="preserve">The N retention capacity of forest soils is strongly affected by N transformation (mineralisation and immobilisation) processes in the organic layer (LF and H horizon) and to a lesser extent in the mineral topsoil. At high ratios of carbon to nitrogen (C/N ratio) in the soil, most incoming N is retained by microbial immobilisation and limited N is plant available. When more N is stored, the C/N ratio </w:t>
      </w:r>
      <w:r w:rsidR="00286540">
        <w:t>declines,</w:t>
      </w:r>
      <w:r>
        <w:t xml:space="preserve"> and more N becomes available by mineralisation for plant uptake and leaching. Based on </w:t>
      </w:r>
      <w:r w:rsidRPr="00F53574">
        <w:t xml:space="preserve">relationship between </w:t>
      </w:r>
      <w:r>
        <w:t xml:space="preserve">N leaching and the </w:t>
      </w:r>
      <w:r w:rsidRPr="00943740">
        <w:t>C/N ratio</w:t>
      </w:r>
      <w:r>
        <w:t xml:space="preserve"> in the organic layer of forests, C/N ratios varying around 25 (between 20 and </w:t>
      </w:r>
      <w:r>
        <w:lastRenderedPageBreak/>
        <w:t xml:space="preserve">30) are considered critical, with lower C/N ratios indicating an increasing risk for N leaching from forest soils, as shown in the Table below. </w:t>
      </w:r>
    </w:p>
    <w:p w14:paraId="4426668D" w14:textId="17B31BFC" w:rsidR="006859BE" w:rsidRDefault="006859BE" w:rsidP="00286540">
      <w:pPr>
        <w:spacing w:before="120"/>
      </w:pPr>
    </w:p>
    <w:p w14:paraId="02C0B0A5" w14:textId="163D59BC" w:rsidR="006859BE" w:rsidRPr="00776F43" w:rsidRDefault="006859BE" w:rsidP="006859BE">
      <w:pPr>
        <w:pStyle w:val="EEALabel"/>
        <w:rPr>
          <w:rFonts w:eastAsia="Calibri"/>
        </w:rPr>
      </w:pPr>
      <w:bookmarkStart w:id="143" w:name="_Ref64619684"/>
      <w:bookmarkStart w:id="144" w:name="_Toc83997512"/>
      <w:r w:rsidRPr="00776F43">
        <w:t xml:space="preserve">Table </w:t>
      </w:r>
      <w:r w:rsidR="00C76C23">
        <w:fldChar w:fldCharType="begin"/>
      </w:r>
      <w:r w:rsidR="00C76C23">
        <w:instrText xml:space="preserve"> STYLEREF 1 \s </w:instrText>
      </w:r>
      <w:r w:rsidR="00C76C23">
        <w:fldChar w:fldCharType="separate"/>
      </w:r>
      <w:r w:rsidR="0067767C">
        <w:rPr>
          <w:noProof/>
        </w:rPr>
        <w:t>3</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143"/>
      <w:r w:rsidRPr="00776F43">
        <w:t>:</w:t>
      </w:r>
      <w:r w:rsidRPr="00776F43">
        <w:rPr>
          <w:rFonts w:eastAsia="Calibri"/>
        </w:rPr>
        <w:tab/>
      </w:r>
      <w:r w:rsidR="00935370" w:rsidRPr="00935370">
        <w:rPr>
          <w:rFonts w:eastAsia="Calibri"/>
        </w:rPr>
        <w:t>C/N ratio in the organic layer of forest soils</w:t>
      </w:r>
      <w:bookmarkEnd w:id="144"/>
    </w:p>
    <w:p w14:paraId="4D455DB3" w14:textId="77777777" w:rsidR="006859BE" w:rsidRDefault="006859BE" w:rsidP="006859BE"/>
    <w:tbl>
      <w:tblPr>
        <w:tblStyle w:val="Tabellenraster"/>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382"/>
        <w:gridCol w:w="3974"/>
      </w:tblGrid>
      <w:tr w:rsidR="00A13FA7" w:rsidRPr="00023AFA" w14:paraId="692C61DB" w14:textId="77777777" w:rsidTr="00DD6E4F">
        <w:tc>
          <w:tcPr>
            <w:tcW w:w="5382" w:type="dxa"/>
            <w:shd w:val="pct10" w:color="auto" w:fill="auto"/>
          </w:tcPr>
          <w:p w14:paraId="773B4CC6" w14:textId="77777777" w:rsidR="00A13FA7" w:rsidRPr="00DD6E4F" w:rsidRDefault="00A13FA7" w:rsidP="00DD6E4F">
            <w:pPr>
              <w:pStyle w:val="EEAtableleft"/>
              <w:rPr>
                <w:b/>
                <w:bCs/>
              </w:rPr>
            </w:pPr>
            <w:r w:rsidRPr="00DD6E4F">
              <w:rPr>
                <w:b/>
                <w:bCs/>
              </w:rPr>
              <w:t>Indication</w:t>
            </w:r>
          </w:p>
        </w:tc>
        <w:tc>
          <w:tcPr>
            <w:tcW w:w="3974" w:type="dxa"/>
            <w:shd w:val="pct10" w:color="auto" w:fill="auto"/>
          </w:tcPr>
          <w:p w14:paraId="38FD5180" w14:textId="77777777" w:rsidR="00A13FA7" w:rsidRPr="00023AFA" w:rsidRDefault="00A13FA7" w:rsidP="00DD6E4F">
            <w:pPr>
              <w:pStyle w:val="EEATabcenterbold"/>
            </w:pPr>
            <w:r w:rsidRPr="00023AFA">
              <w:t>C/N range in organic layers</w:t>
            </w:r>
          </w:p>
        </w:tc>
      </w:tr>
      <w:tr w:rsidR="00A13FA7" w14:paraId="10EB0995" w14:textId="77777777" w:rsidTr="00DD6E4F">
        <w:tc>
          <w:tcPr>
            <w:tcW w:w="5382" w:type="dxa"/>
          </w:tcPr>
          <w:p w14:paraId="66B2FDE6" w14:textId="77777777" w:rsidR="00A13FA7" w:rsidRDefault="00A13FA7" w:rsidP="00DD6E4F">
            <w:pPr>
              <w:pStyle w:val="EEAtableleft"/>
            </w:pPr>
            <w:r>
              <w:t>High N retention and thus low N leaching potential</w:t>
            </w:r>
          </w:p>
        </w:tc>
        <w:tc>
          <w:tcPr>
            <w:tcW w:w="3974" w:type="dxa"/>
          </w:tcPr>
          <w:p w14:paraId="7BC35D9B" w14:textId="77777777" w:rsidR="00A13FA7" w:rsidRDefault="00A13FA7" w:rsidP="00DD6E4F">
            <w:pPr>
              <w:pStyle w:val="EEATabcenter"/>
            </w:pPr>
            <w:r>
              <w:t>&gt;30</w:t>
            </w:r>
          </w:p>
        </w:tc>
      </w:tr>
      <w:tr w:rsidR="00A13FA7" w14:paraId="59A10595" w14:textId="77777777" w:rsidTr="00DD6E4F">
        <w:tc>
          <w:tcPr>
            <w:tcW w:w="5382" w:type="dxa"/>
          </w:tcPr>
          <w:p w14:paraId="23DB5FCA" w14:textId="77777777" w:rsidR="00A13FA7" w:rsidRDefault="00A13FA7" w:rsidP="00DD6E4F">
            <w:pPr>
              <w:pStyle w:val="EEAtableleft"/>
            </w:pPr>
            <w:r>
              <w:t>Moderate to high N retention and thus low to moderate N leaching potential</w:t>
            </w:r>
          </w:p>
        </w:tc>
        <w:tc>
          <w:tcPr>
            <w:tcW w:w="3974" w:type="dxa"/>
          </w:tcPr>
          <w:p w14:paraId="31F686E0" w14:textId="77777777" w:rsidR="00A13FA7" w:rsidRDefault="00A13FA7" w:rsidP="00DD6E4F">
            <w:pPr>
              <w:pStyle w:val="EEATabcenter"/>
            </w:pPr>
            <w:r>
              <w:t>25-30</w:t>
            </w:r>
          </w:p>
        </w:tc>
      </w:tr>
      <w:tr w:rsidR="00A13FA7" w14:paraId="6E409C8C" w14:textId="77777777" w:rsidTr="00DD6E4F">
        <w:tc>
          <w:tcPr>
            <w:tcW w:w="5382" w:type="dxa"/>
          </w:tcPr>
          <w:p w14:paraId="1160068A" w14:textId="77777777" w:rsidR="00A13FA7" w:rsidRDefault="00A13FA7" w:rsidP="00DD6E4F">
            <w:pPr>
              <w:pStyle w:val="EEAtableleft"/>
            </w:pPr>
            <w:r>
              <w:t>Low to moderate N retention and thus moderate to high N leaching potential</w:t>
            </w:r>
          </w:p>
        </w:tc>
        <w:tc>
          <w:tcPr>
            <w:tcW w:w="3974" w:type="dxa"/>
          </w:tcPr>
          <w:p w14:paraId="2BE794B5" w14:textId="77777777" w:rsidR="00A13FA7" w:rsidRDefault="00A13FA7" w:rsidP="00DD6E4F">
            <w:pPr>
              <w:pStyle w:val="EEATabcenter"/>
            </w:pPr>
            <w:r>
              <w:t>20-25</w:t>
            </w:r>
          </w:p>
        </w:tc>
      </w:tr>
      <w:tr w:rsidR="00A13FA7" w14:paraId="47646605" w14:textId="77777777" w:rsidTr="00DD6E4F">
        <w:tc>
          <w:tcPr>
            <w:tcW w:w="5382" w:type="dxa"/>
          </w:tcPr>
          <w:p w14:paraId="3FC29AEC" w14:textId="77777777" w:rsidR="00A13FA7" w:rsidRDefault="00A13FA7" w:rsidP="00DD6E4F">
            <w:pPr>
              <w:pStyle w:val="EEAtableleft"/>
            </w:pPr>
            <w:r>
              <w:t>Low N retention and thus high N leaching potential</w:t>
            </w:r>
          </w:p>
        </w:tc>
        <w:tc>
          <w:tcPr>
            <w:tcW w:w="3974" w:type="dxa"/>
          </w:tcPr>
          <w:p w14:paraId="27BE3783" w14:textId="77777777" w:rsidR="00A13FA7" w:rsidRDefault="00A13FA7" w:rsidP="00DD6E4F">
            <w:pPr>
              <w:pStyle w:val="EEATabcenter"/>
            </w:pPr>
            <w:r>
              <w:t>&lt;20</w:t>
            </w:r>
          </w:p>
        </w:tc>
      </w:tr>
    </w:tbl>
    <w:p w14:paraId="71AAA7F4" w14:textId="77777777" w:rsidR="00A13FA7" w:rsidRDefault="00A13FA7" w:rsidP="00DC7B4A"/>
    <w:p w14:paraId="3AFA2930" w14:textId="5A293B8B" w:rsidR="00A13FA7" w:rsidRDefault="006859BE" w:rsidP="00DC7B4A">
      <w:r>
        <w:rPr>
          <w:highlight w:val="yellow"/>
        </w:rPr>
        <w:fldChar w:fldCharType="begin"/>
      </w:r>
      <w:r>
        <w:instrText xml:space="preserve"> REF _Ref64619684 \h </w:instrText>
      </w:r>
      <w:r>
        <w:rPr>
          <w:highlight w:val="yellow"/>
        </w:rPr>
      </w:r>
      <w:r>
        <w:rPr>
          <w:highlight w:val="yellow"/>
        </w:rPr>
        <w:fldChar w:fldCharType="separate"/>
      </w:r>
      <w:r w:rsidR="0067767C" w:rsidRPr="00776F43">
        <w:t xml:space="preserve">Table </w:t>
      </w:r>
      <w:r w:rsidR="0067767C">
        <w:rPr>
          <w:noProof/>
        </w:rPr>
        <w:t>3</w:t>
      </w:r>
      <w:r w:rsidR="0067767C">
        <w:noBreakHyphen/>
      </w:r>
      <w:r w:rsidR="0067767C">
        <w:rPr>
          <w:noProof/>
        </w:rPr>
        <w:t>2</w:t>
      </w:r>
      <w:r>
        <w:rPr>
          <w:highlight w:val="yellow"/>
        </w:rPr>
        <w:fldChar w:fldCharType="end"/>
      </w:r>
      <w:r w:rsidR="00A13FA7">
        <w:t xml:space="preserve"> illustrates that above 30 there is very limited leaching </w:t>
      </w:r>
      <w:r w:rsidR="00935370">
        <w:t xml:space="preserve">risk </w:t>
      </w:r>
      <w:r w:rsidR="00A13FA7">
        <w:t xml:space="preserve">while it is high below 20 and in between there is strong variation. In more detail, </w:t>
      </w:r>
      <w:r w:rsidR="00A13FA7" w:rsidRPr="00E0406C">
        <w:rPr>
          <w:lang w:val="en-US"/>
        </w:rPr>
        <w:t>De Vries et al</w:t>
      </w:r>
      <w:r w:rsidR="00A13FA7">
        <w:rPr>
          <w:lang w:val="en-US"/>
        </w:rPr>
        <w:t>.</w:t>
      </w:r>
      <w:r w:rsidR="00A13FA7" w:rsidRPr="00E0406C">
        <w:rPr>
          <w:lang w:val="en-US"/>
        </w:rPr>
        <w:t xml:space="preserve"> (2006) derived </w:t>
      </w:r>
      <w:proofErr w:type="gramStart"/>
      <w:r w:rsidR="00A13FA7" w:rsidRPr="00E0406C">
        <w:rPr>
          <w:lang w:val="en-US"/>
        </w:rPr>
        <w:t>a</w:t>
      </w:r>
      <w:proofErr w:type="gramEnd"/>
      <w:r w:rsidR="00A13FA7" w:rsidRPr="00E0406C">
        <w:rPr>
          <w:lang w:val="en-US"/>
        </w:rPr>
        <w:t xml:space="preserve"> N retention fraction based on</w:t>
      </w:r>
      <w:r w:rsidR="00A13FA7">
        <w:rPr>
          <w:lang w:val="en-US"/>
        </w:rPr>
        <w:t xml:space="preserve"> </w:t>
      </w:r>
      <w:r w:rsidR="00A13FA7" w:rsidRPr="00A40884">
        <w:t>the NH</w:t>
      </w:r>
      <w:r w:rsidR="00A13FA7" w:rsidRPr="00A40884">
        <w:rPr>
          <w:vertAlign w:val="subscript"/>
        </w:rPr>
        <w:t>4</w:t>
      </w:r>
      <w:r w:rsidR="00A13FA7" w:rsidRPr="00A40884">
        <w:t>-fraction in the N input and the C/N ratio of the organic layer</w:t>
      </w:r>
      <w:r w:rsidR="00A13FA7">
        <w:t>.</w:t>
      </w:r>
    </w:p>
    <w:p w14:paraId="2A0ADF7F" w14:textId="77777777" w:rsidR="00A13FA7" w:rsidRDefault="00A13FA7" w:rsidP="00DC7B4A"/>
    <w:p w14:paraId="7E2CC26E" w14:textId="40BD1058" w:rsidR="00A13FA7" w:rsidRDefault="00A13FA7" w:rsidP="00DC7B4A">
      <w:r>
        <w:t xml:space="preserve">However, a C/N ratio </w:t>
      </w:r>
      <w:r w:rsidR="00066534">
        <w:t xml:space="preserve">below </w:t>
      </w:r>
      <w:r w:rsidR="00935370">
        <w:t>a</w:t>
      </w:r>
      <w:r>
        <w:t xml:space="preserve"> value </w:t>
      </w:r>
      <w:r w:rsidR="00066534">
        <w:t xml:space="preserve">of </w:t>
      </w:r>
      <w:r w:rsidR="00935370">
        <w:t xml:space="preserve">25 </w:t>
      </w:r>
      <w:r>
        <w:t xml:space="preserve">is often suggested as a threshold value for enhanced leaching. For example, </w:t>
      </w:r>
      <w:r w:rsidRPr="00A40884">
        <w:t>Gundersen</w:t>
      </w:r>
      <w:r w:rsidRPr="003456EA">
        <w:t xml:space="preserve"> et al. </w:t>
      </w:r>
      <w:r>
        <w:fldChar w:fldCharType="begin"/>
      </w:r>
      <w:r>
        <w:instrText xml:space="preserve"> ADDIN EN.CITE &lt;EndNote&gt;&lt;Cite ExcludeAuth="1"&gt;&lt;Author&gt;Gundersen&lt;/Author&gt;&lt;Year&gt;1998&lt;/Year&gt;&lt;RecNum&gt;385&lt;/RecNum&gt;&lt;DisplayText&gt;(1998)&lt;/DisplayText&gt;&lt;record&gt;&lt;rec-number&gt;385&lt;/rec-number&gt;&lt;foreign-keys&gt;&lt;key app="EN" db-id="xfspaxpseda2wcefs26xtfp3aetsfwtx2spr" timestamp="0"&gt;385&lt;/key&gt;&lt;/foreign-keys&gt;&lt;ref-type name="Journal Article"&gt;17&lt;/ref-type&gt;&lt;contributors&gt;&lt;authors&gt;&lt;author&gt;Gundersen, P. &lt;/author&gt;&lt;author&gt;Callesen, I. &lt;/author&gt;&lt;author&gt;de Vries, W.&lt;/author&gt;&lt;/authors&gt;&lt;/contributors&gt;&lt;titles&gt;&lt;title&gt;Nitrate leaching in forest ecosystems is related to forest floor C/N ratios&lt;/title&gt;&lt;secondary-title&gt;Environmental Pollution&lt;/secondary-title&gt;&lt;/titles&gt;&lt;periodical&gt;&lt;full-title&gt;Environmental Pollution&lt;/full-title&gt;&lt;abbr-1&gt;Environ. Pollut.&lt;/abbr-1&gt;&lt;/periodical&gt;&lt;pages&gt;403-407&lt;/pages&gt;&lt;volume&gt;102&lt;/volume&gt;&lt;number&gt;1&lt;/number&gt;&lt;dates&gt;&lt;year&gt;1998&lt;/year&gt;&lt;/dates&gt;&lt;urls&gt;&lt;related-urls&gt;&lt;url&gt;http://www.sciencedirect.com/science/article/B6VB5-3W1GPNV-20/1/7a9be05ee35685e1ddb2bb37a1afc3c5&lt;/url&gt;&lt;/related-urls&gt;&lt;/urls&gt;&lt;custom3&gt;1&lt;/custom3&gt;&lt;custom4&gt;www.sciencedirect.com&lt;/custom4&gt;&lt;custom6&gt;1&lt;/custom6&gt;&lt;electronic-resource-num&gt;10.1016/S0269-7491(98)80060-2&lt;/electronic-resource-num&gt;&lt;/record&gt;&lt;/Cite&gt;&lt;/EndNote&gt;</w:instrText>
      </w:r>
      <w:r>
        <w:fldChar w:fldCharType="separate"/>
      </w:r>
      <w:r>
        <w:rPr>
          <w:noProof/>
        </w:rPr>
        <w:t>(1998)</w:t>
      </w:r>
      <w:r>
        <w:fldChar w:fldCharType="end"/>
      </w:r>
      <w:r w:rsidRPr="00DF7EA8">
        <w:t xml:space="preserve"> presented a very limited C/N range in organic layers (30-25) to distinguish sites with high N retention and thus low N leaching potential (&gt;30), from those with low N retention and thus high N leaching potential (&lt;25).</w:t>
      </w:r>
      <w:r>
        <w:t xml:space="preserve"> Using a dataset of published N budgets and C/N ratios of the organic layer,</w:t>
      </w:r>
      <w:r w:rsidDel="00E86715">
        <w:t xml:space="preserve"> </w:t>
      </w:r>
      <w:r w:rsidRPr="00943740">
        <w:t xml:space="preserve">MacDonald et al. </w:t>
      </w:r>
      <w:r w:rsidRPr="00943740">
        <w:fldChar w:fldCharType="begin"/>
      </w:r>
      <w:r>
        <w:instrText xml:space="preserve"> ADDIN EN.CITE &lt;EndNote&gt;&lt;Cite ExcludeAuth="1"&gt;&lt;Author&gt;MacDonald&lt;/Author&gt;&lt;Year&gt;2002&lt;/Year&gt;&lt;RecNum&gt;1894&lt;/RecNum&gt;&lt;DisplayText&gt;(2002)&lt;/DisplayText&gt;&lt;record&gt;&lt;rec-number&gt;1894&lt;/rec-number&gt;&lt;foreign-keys&gt;&lt;key app="EN" db-id="xfspaxpseda2wcefs26xtfp3aetsfwtx2spr" timestamp="0"&gt;1894&lt;/key&gt;&lt;/foreign-keys&gt;&lt;ref-type name="Journal Article"&gt;17&lt;/ref-type&gt;&lt;contributors&gt;&lt;authors&gt;&lt;author&gt;MacDonald, J. A.&lt;/author&gt;&lt;author&gt;N. B. Dise&lt;/author&gt;&lt;author&gt;E. Matzner&lt;/author&gt;&lt;author&gt;M. Armbruster&lt;/author&gt;&lt;author&gt;P. Gundersen&lt;/author&gt;&lt;author&gt;M. Forsius&lt;/author&gt;&lt;/authors&gt;&lt;/contributors&gt;&lt;titles&gt;&lt;title&gt;Nitrogen input together with ecosystem nitrogen enrichment predict nitrate leaching from European forests&lt;/title&gt;&lt;secondary-title&gt;Global Change Biology&lt;/secondary-title&gt;&lt;/titles&gt;&lt;periodical&gt;&lt;full-title&gt;Global Change Biology&lt;/full-title&gt;&lt;abbr-1&gt;Glob. Change Biol.&lt;/abbr-1&gt;&lt;/periodical&gt;&lt;pages&gt;1028-1033&lt;/pages&gt;&lt;volume&gt;8&lt;/volume&gt;&lt;number&gt;10&lt;/number&gt;&lt;dates&gt;&lt;year&gt;2002&lt;/year&gt;&lt;/dates&gt;&lt;urls&gt;&lt;related-urls&gt;&lt;url&gt;http://www.blackwell-synergy.com/doi/abs/10.1046/j.1365-2486.2002.00532.x&lt;/url&gt;&lt;/related-urls&gt;&lt;/urls&gt;&lt;custom3&gt; -&lt;/custom3&gt;&lt;custom6&gt;1&lt;/custom6&gt;&lt;electronic-resource-num&gt;10.1046/j.1365-2486.2002.00532.x&lt;/electronic-resource-num&gt;&lt;/record&gt;&lt;/Cite&gt;&lt;/EndNote&gt;</w:instrText>
      </w:r>
      <w:r w:rsidRPr="00943740">
        <w:fldChar w:fldCharType="separate"/>
      </w:r>
      <w:r>
        <w:rPr>
          <w:noProof/>
        </w:rPr>
        <w:t>(2002)</w:t>
      </w:r>
      <w:r w:rsidRPr="00943740">
        <w:fldChar w:fldCharType="end"/>
      </w:r>
      <w:r>
        <w:t xml:space="preserve"> </w:t>
      </w:r>
      <w:r w:rsidRPr="003D4AF3">
        <w:t>found the strongest relationships between N</w:t>
      </w:r>
      <w:r>
        <w:t xml:space="preserve"> </w:t>
      </w:r>
      <w:r w:rsidRPr="003D4AF3">
        <w:t>out</w:t>
      </w:r>
      <w:r>
        <w:t>put</w:t>
      </w:r>
      <w:r w:rsidRPr="003D4AF3">
        <w:t xml:space="preserve"> and N</w:t>
      </w:r>
      <w:r>
        <w:t xml:space="preserve"> </w:t>
      </w:r>
      <w:r w:rsidRPr="003D4AF3">
        <w:t>in</w:t>
      </w:r>
      <w:r>
        <w:t>put</w:t>
      </w:r>
      <w:r w:rsidRPr="003D4AF3">
        <w:t xml:space="preserve"> when the data were </w:t>
      </w:r>
      <w:r>
        <w:t>divided for ‘N-rich’ sites (C/</w:t>
      </w:r>
      <w:r w:rsidRPr="003D4AF3">
        <w:t>N ≤ 2</w:t>
      </w:r>
      <w:r>
        <w:t>5</w:t>
      </w:r>
      <w:r w:rsidRPr="003D4AF3">
        <w:t xml:space="preserve">) </w:t>
      </w:r>
      <w:r>
        <w:t>and ‘C-rich’ sites (C/</w:t>
      </w:r>
      <w:r w:rsidRPr="003D4AF3">
        <w:t>N &gt; 2</w:t>
      </w:r>
      <w:r>
        <w:t>5</w:t>
      </w:r>
      <w:r w:rsidRPr="003D4AF3">
        <w:t>)</w:t>
      </w:r>
      <w:r>
        <w:t xml:space="preserve">. This was confirmed by </w:t>
      </w:r>
      <w:r>
        <w:fldChar w:fldCharType="begin"/>
      </w:r>
      <w:r>
        <w:instrText xml:space="preserve"> ADDIN EN.CITE &lt;EndNote&gt;&lt;Cite AuthorYear="1"&gt;&lt;Author&gt;Dise&lt;/Author&gt;&lt;Year&gt;2009&lt;/Year&gt;&lt;RecNum&gt;3480&lt;/RecNum&gt;&lt;DisplayText&gt;Dise et al. (2009)&lt;/DisplayText&gt;&lt;record&gt;&lt;rec-number&gt;3480&lt;/rec-number&gt;&lt;foreign-keys&gt;&lt;key app="EN" db-id="xfspaxpseda2wcefs26xtfp3aetsfwtx2spr" timestamp="0"&gt;3480&lt;/key&gt;&lt;/foreign-keys&gt;&lt;ref-type name="Journal Article"&gt;17&lt;/ref-type&gt;&lt;contributors&gt;&lt;authors&gt;&lt;author&gt;Dise, N.B.&lt;/author&gt;&lt;author&gt;J.J. Rothwell&lt;/author&gt;&lt;author&gt;V. Gauci&lt;/author&gt;&lt;author&gt;van der Salm, C. &lt;/author&gt;&lt;author&gt;de Vries, W.&lt;/author&gt;&lt;/authors&gt;&lt;/contributors&gt;&lt;titles&gt;&lt;title&gt;Predicting nitrate leaching in European forests using two independent databases&lt;/title&gt;&lt;secondary-title&gt;Science of the Total Environment&lt;/secondary-title&gt;&lt;/titles&gt;&lt;periodical&gt;&lt;full-title&gt;Science of the Total Environment&lt;/full-title&gt;&lt;abbr-1&gt;Sci. Tot. Environ.&lt;/abbr-1&gt;&lt;/periodical&gt;&lt;pages&gt;1798-1808&lt;/pages&gt;&lt;volume&gt;407&lt;/volume&gt;&lt;number&gt;5&lt;/number&gt;&lt;dates&gt;&lt;year&gt;2009&lt;/year&gt;&lt;/dates&gt;&lt;urls&gt;&lt;related-urls&gt;&lt;url&gt;http://dx.doi.org/10.1016/j.scitotenv.2008.11.003&lt;/url&gt;&lt;/related-urls&gt;&lt;/urls&gt;&lt;custom3&gt;!&lt;/custom3&gt;&lt;custom6&gt;1&lt;/custom6&gt;&lt;electronic-resource-num&gt;10.1016/j.scitotenv.2008.11.003&lt;/electronic-resource-num&gt;&lt;/record&gt;&lt;/Cite&gt;&lt;/EndNote&gt;</w:instrText>
      </w:r>
      <w:r>
        <w:fldChar w:fldCharType="separate"/>
      </w:r>
      <w:r>
        <w:rPr>
          <w:noProof/>
        </w:rPr>
        <w:t>Dise et al. (2009)</w:t>
      </w:r>
      <w:r>
        <w:fldChar w:fldCharType="end"/>
      </w:r>
      <w:r>
        <w:t xml:space="preserve">, however, they introduced </w:t>
      </w:r>
      <w:r w:rsidRPr="000A65A5">
        <w:t xml:space="preserve">a </w:t>
      </w:r>
      <w:r>
        <w:t xml:space="preserve">threshold of </w:t>
      </w:r>
      <w:r w:rsidRPr="000A65A5">
        <w:t xml:space="preserve">C/N </w:t>
      </w:r>
      <w:r>
        <w:t xml:space="preserve">= 23 </w:t>
      </w:r>
      <w:r w:rsidRPr="000A65A5">
        <w:t>in the organic layer</w:t>
      </w:r>
      <w:r>
        <w:t xml:space="preserve">. </w:t>
      </w:r>
      <w:r w:rsidRPr="000A65A5">
        <w:t xml:space="preserve">Using a subset of </w:t>
      </w:r>
      <w:r>
        <w:t>the</w:t>
      </w:r>
      <w:r w:rsidRPr="000A65A5">
        <w:t xml:space="preserve"> ICP Forests level II database, Van der Salm et al. </w:t>
      </w:r>
      <w:r w:rsidRPr="000A65A5">
        <w:fldChar w:fldCharType="begin"/>
      </w:r>
      <w:r>
        <w:instrText xml:space="preserve"> ADDIN EN.CITE &lt;EndNote&gt;&lt;Cite ExcludeAuth="1"&gt;&lt;Author&gt;Van der Salm&lt;/Author&gt;&lt;Year&gt;2007&lt;/Year&gt;&lt;RecNum&gt;3705&lt;/RecNum&gt;&lt;DisplayText&gt;(2007)&lt;/DisplayText&gt;&lt;record&gt;&lt;rec-number&gt;3705&lt;/rec-number&gt;&lt;foreign-keys&gt;&lt;key app="EN" db-id="xfspaxpseda2wcefs26xtfp3aetsfwtx2spr" timestamp="0"&gt;3705&lt;/key&gt;&lt;/foreign-keys&gt;&lt;ref-type name="Journal Article"&gt;17&lt;/ref-type&gt;&lt;contributors&gt;&lt;authors&gt;&lt;author&gt;Van der Salm, C.&lt;/author&gt;&lt;author&gt;de Vries, W.&lt;/author&gt;&lt;author&gt;G.J. Reinds&lt;/author&gt;&lt;author&gt;N.B. Dise&lt;/author&gt;&lt;/authors&gt;&lt;/contributors&gt;&lt;titles&gt;&lt;title&gt;N leaching across European forests: Derivation and validation of empirical relationships using data from intensive monitoring plots&lt;/title&gt;&lt;secondary-title&gt;Forest Ecology and Management&lt;/secondary-title&gt;&lt;/titles&gt;&lt;periodical&gt;&lt;full-title&gt;Forest Ecology and Management&lt;/full-title&gt;&lt;abbr-1&gt;Forest Ecol. Manage.&lt;/abbr-1&gt;&lt;abbr-3&gt; &lt;/abbr-3&gt;&lt;/periodical&gt;&lt;pages&gt;81-91&lt;/pages&gt;&lt;volume&gt;238&lt;/volume&gt;&lt;dates&gt;&lt;year&gt;2007&lt;/year&gt;&lt;/dates&gt;&lt;urls&gt;&lt;related-urls&gt;&lt;url&gt;http://www.sciencedirect.com/science/article/B6T6X-4MG6P7R-1/2/26574c8ad475cb053fc2048b5145ca57&lt;/url&gt;&lt;/related-urls&gt;&lt;/urls&gt;&lt;custom3&gt;1&lt;/custom3&gt;&lt;custom6&gt;1&lt;/custom6&gt;&lt;electronic-resource-num&gt;10.1016/j.foreco.2006.09.092&lt;/electronic-resource-num&gt;&lt;/record&gt;&lt;/Cite&gt;&lt;/EndNote&gt;</w:instrText>
      </w:r>
      <w:r w:rsidRPr="000A65A5">
        <w:fldChar w:fldCharType="separate"/>
      </w:r>
      <w:r>
        <w:rPr>
          <w:noProof/>
        </w:rPr>
        <w:t>(2007)</w:t>
      </w:r>
      <w:r w:rsidRPr="000A65A5">
        <w:fldChar w:fldCharType="end"/>
      </w:r>
      <w:r w:rsidRPr="000A65A5">
        <w:t xml:space="preserve"> found that N leaching was</w:t>
      </w:r>
      <w:r>
        <w:t xml:space="preserve"> best explained if the C/N would be further refined based on annual average </w:t>
      </w:r>
      <w:r w:rsidRPr="000A65A5">
        <w:t>temperature and N throughfall</w:t>
      </w:r>
      <w:r>
        <w:t>.</w:t>
      </w:r>
    </w:p>
    <w:p w14:paraId="162BF81D" w14:textId="77777777" w:rsidR="00A13FA7" w:rsidRDefault="00A13FA7" w:rsidP="00DC7B4A"/>
    <w:p w14:paraId="2FDA37A5" w14:textId="77777777" w:rsidR="00A13FA7" w:rsidRDefault="00A13FA7" w:rsidP="00DC7B4A"/>
    <w:p w14:paraId="619576E0" w14:textId="74FBE8FF" w:rsidR="00A13FA7" w:rsidRPr="001B77A1" w:rsidRDefault="00CC0237" w:rsidP="00DD6E4F">
      <w:pPr>
        <w:pStyle w:val="EEAStandardbold"/>
      </w:pPr>
      <w:r>
        <w:t xml:space="preserve">Critical limits for </w:t>
      </w:r>
      <w:r w:rsidR="00A13FA7" w:rsidRPr="001B77A1">
        <w:t>N concentrations air and water</w:t>
      </w:r>
    </w:p>
    <w:p w14:paraId="32BEEA8E" w14:textId="77777777" w:rsidR="00D24035" w:rsidRDefault="00D24035" w:rsidP="00DC7B4A"/>
    <w:p w14:paraId="3DFE6995" w14:textId="5C39DC22" w:rsidR="00A13FA7" w:rsidRDefault="00A13FA7" w:rsidP="00DC7B4A">
      <w:r>
        <w:t xml:space="preserve">As mentioned above, N inputs in excess of N uptake, called the </w:t>
      </w:r>
      <w:r w:rsidRPr="00DA201B">
        <w:rPr>
          <w:b/>
          <w:bCs/>
        </w:rPr>
        <w:t>N surplus</w:t>
      </w:r>
      <w:r>
        <w:t>, cause emissions of ammonia (NH</w:t>
      </w:r>
      <w:r w:rsidRPr="00B05BFD">
        <w:rPr>
          <w:vertAlign w:val="subscript"/>
        </w:rPr>
        <w:t>3</w:t>
      </w:r>
      <w:r>
        <w:t>) to air, leaching of nitrate (NO</w:t>
      </w:r>
      <w:r w:rsidRPr="000965B0">
        <w:rPr>
          <w:vertAlign w:val="subscript"/>
        </w:rPr>
        <w:t>3</w:t>
      </w:r>
      <w:r>
        <w:t xml:space="preserve">) to ground water, and runoff of total N to surface water and there are critical limits for these concentrations in air and water in view of impacts on ecosystems and health). </w:t>
      </w:r>
    </w:p>
    <w:p w14:paraId="6DF8728D" w14:textId="77777777" w:rsidR="00DD6E4F" w:rsidRDefault="00DD6E4F" w:rsidP="00DC7B4A"/>
    <w:p w14:paraId="086554D4" w14:textId="4EAF532D" w:rsidR="00A13FA7" w:rsidRDefault="00A13FA7" w:rsidP="009B7AAD">
      <w:pPr>
        <w:pStyle w:val="EEAbullet0"/>
      </w:pPr>
      <w:r w:rsidRPr="00DD6E4F">
        <w:rPr>
          <w:szCs w:val="18"/>
        </w:rPr>
        <w:t>NH</w:t>
      </w:r>
      <w:r w:rsidRPr="00DD6E4F">
        <w:rPr>
          <w:szCs w:val="18"/>
          <w:vertAlign w:val="subscript"/>
        </w:rPr>
        <w:t>3</w:t>
      </w:r>
      <w:r w:rsidRPr="00DD6E4F">
        <w:rPr>
          <w:szCs w:val="18"/>
        </w:rPr>
        <w:t xml:space="preserve"> in air: </w:t>
      </w:r>
      <w:r w:rsidRPr="001B77A1">
        <w:t>1 – 3 mg NH</w:t>
      </w:r>
      <w:r w:rsidRPr="00DD6E4F">
        <w:rPr>
          <w:vertAlign w:val="subscript"/>
        </w:rPr>
        <w:t>3</w:t>
      </w:r>
      <w:r w:rsidRPr="001B77A1">
        <w:t xml:space="preserve"> m</w:t>
      </w:r>
      <w:r w:rsidRPr="00DD6E4F">
        <w:rPr>
          <w:vertAlign w:val="superscript"/>
        </w:rPr>
        <w:t>-3</w:t>
      </w:r>
      <w:r w:rsidR="00DD6E4F" w:rsidRPr="00DD6E4F">
        <w:rPr>
          <w:vertAlign w:val="superscript"/>
        </w:rPr>
        <w:br/>
      </w:r>
      <w:r>
        <w:t>Evidence shows that ammonia in air can have significant toxic impacts on plants by direct uptake through the foliage above a threshold level (for an overview of direct effects of atmospheric ammonia on terrestrial vegetation, see Krupa, 2003 and Cape et al., 2009). The sensitivity of (plant) species to NH</w:t>
      </w:r>
      <w:r w:rsidRPr="00221B2A">
        <w:rPr>
          <w:vertAlign w:val="subscript"/>
        </w:rPr>
        <w:t>3</w:t>
      </w:r>
      <w:r>
        <w:t xml:space="preserve"> increases going from lichens &lt; native vegetation &lt; forests &lt; agricultural crops. </w:t>
      </w:r>
      <w:r w:rsidRPr="00AD4AD2">
        <w:t>Cape et al. (2009) reviewed methods to set a critical level for NH</w:t>
      </w:r>
      <w:r w:rsidRPr="00DD6E4F">
        <w:rPr>
          <w:vertAlign w:val="subscript"/>
        </w:rPr>
        <w:t>3</w:t>
      </w:r>
      <w:r w:rsidRPr="00AD4AD2">
        <w:t xml:space="preserve"> and collated the available evidence to propose an updated NH</w:t>
      </w:r>
      <w:r w:rsidRPr="00DD6E4F">
        <w:rPr>
          <w:vertAlign w:val="subscript"/>
        </w:rPr>
        <w:t>3</w:t>
      </w:r>
      <w:r w:rsidRPr="00AD4AD2">
        <w:t xml:space="preserve"> critical level for different types of vegetation. Based on the evidence a long-term (several year) average </w:t>
      </w:r>
      <w:r>
        <w:t xml:space="preserve">critical limit </w:t>
      </w:r>
      <w:r w:rsidRPr="00AD4AD2">
        <w:t>for NH</w:t>
      </w:r>
      <w:r w:rsidRPr="00DD6E4F">
        <w:rPr>
          <w:vertAlign w:val="subscript"/>
        </w:rPr>
        <w:t>3</w:t>
      </w:r>
      <w:r w:rsidRPr="00AD4AD2">
        <w:t xml:space="preserve"> </w:t>
      </w:r>
      <w:r>
        <w:t xml:space="preserve">in air </w:t>
      </w:r>
      <w:r w:rsidRPr="00AD4AD2">
        <w:t>of 1 mg NH</w:t>
      </w:r>
      <w:r w:rsidRPr="00DD6E4F">
        <w:rPr>
          <w:vertAlign w:val="subscript"/>
        </w:rPr>
        <w:t>3</w:t>
      </w:r>
      <w:r w:rsidRPr="00AD4AD2">
        <w:t xml:space="preserve"> m</w:t>
      </w:r>
      <w:r w:rsidRPr="00DD6E4F">
        <w:rPr>
          <w:vertAlign w:val="superscript"/>
        </w:rPr>
        <w:t>-3</w:t>
      </w:r>
      <w:r w:rsidRPr="00AD4AD2">
        <w:t xml:space="preserve"> is now proposed for lichens and bryophytes and of 3 mg NH</w:t>
      </w:r>
      <w:r w:rsidRPr="00221B2A">
        <w:rPr>
          <w:vertAlign w:val="subscript"/>
        </w:rPr>
        <w:t>3</w:t>
      </w:r>
      <w:r w:rsidRPr="00AD4AD2">
        <w:t xml:space="preserve"> m</w:t>
      </w:r>
      <w:r w:rsidRPr="00DD6E4F">
        <w:rPr>
          <w:vertAlign w:val="superscript"/>
        </w:rPr>
        <w:t>-3</w:t>
      </w:r>
      <w:r w:rsidRPr="00AD4AD2">
        <w:t xml:space="preserve"> for higher plants, including forests.</w:t>
      </w:r>
    </w:p>
    <w:p w14:paraId="3716BC1E" w14:textId="50048DBA" w:rsidR="00DD6E4F" w:rsidRDefault="00DD6E4F" w:rsidP="00DD6E4F">
      <w:pPr>
        <w:pStyle w:val="EEAbullet0"/>
        <w:numPr>
          <w:ilvl w:val="0"/>
          <w:numId w:val="0"/>
        </w:numPr>
        <w:ind w:left="397" w:hanging="397"/>
      </w:pPr>
    </w:p>
    <w:p w14:paraId="667D0881" w14:textId="5DAF8B5F" w:rsidR="00A13FA7" w:rsidRDefault="00A13FA7" w:rsidP="009B7AAD">
      <w:pPr>
        <w:pStyle w:val="EEAbullet0"/>
      </w:pPr>
      <w:r>
        <w:t xml:space="preserve">N in soil solution: leakage </w:t>
      </w:r>
      <w:r w:rsidR="00175CA8">
        <w:t>fro</w:t>
      </w:r>
      <w:r>
        <w:t>m forests</w:t>
      </w:r>
      <w:r w:rsidRPr="00DD6E4F">
        <w:rPr>
          <w:szCs w:val="18"/>
        </w:rPr>
        <w:t>: 1 mg N l</w:t>
      </w:r>
      <w:r w:rsidRPr="00DD6E4F">
        <w:rPr>
          <w:szCs w:val="18"/>
          <w:vertAlign w:val="superscript"/>
        </w:rPr>
        <w:t>-1</w:t>
      </w:r>
      <w:r w:rsidRPr="00F23A10">
        <w:t xml:space="preserve"> </w:t>
      </w:r>
      <w:r w:rsidR="00DD6E4F">
        <w:br/>
      </w:r>
      <w:r w:rsidRPr="008937C1">
        <w:t xml:space="preserve">De Vries et al. </w:t>
      </w:r>
      <w:r w:rsidRPr="008937C1">
        <w:fldChar w:fldCharType="begin"/>
      </w:r>
      <w:r>
        <w:instrText xml:space="preserve"> ADDIN EN.CITE &lt;EndNote&gt;&lt;Cite ExcludeAuth="1"&gt;&lt;Year&gt;2007&lt;/Year&gt;&lt;RecNum&gt;159&lt;/RecNum&gt;&lt;DisplayText&gt;(2007c)&lt;/DisplayText&gt;&lt;record&gt;&lt;rec-number&gt;159&lt;/rec-number&gt;&lt;foreign-keys&gt;&lt;key app="EN" db-id="rpvsd0pdbxp0x5e2xpqvdpwaxdwe2avs090x" timestamp="0"&gt;159&lt;/key&gt;&lt;/foreign-keys&gt;&lt;ref-type name="Report"&gt;27&lt;/ref-type&gt;&lt;contributors&gt;&lt;authors&gt;&lt;author&gt;De Vries, W., &lt;/author&gt;&lt;author&gt;J. Kros&lt;/author&gt;&lt;author&gt;G. J. Reinds&lt;/author&gt;&lt;author&gt;W. Wamelink&lt;/author&gt;&lt;author&gt;J. Mol&lt;/author&gt;&lt;author&gt;van Dobben, H. &lt;/author&gt;&lt;author&gt;R. Bobbink&lt;/author&gt;&lt;author&gt;Emmett, B.&lt;/author&gt;&lt;author&gt;S. Smart&lt;/author&gt;&lt;author&gt;C. Evans&lt;/author&gt;&lt;author&gt;A. Schlutow&lt;/author&gt;&lt;author&gt;P. Kraft&lt;/author&gt;&lt;author&gt;S. Belyazid&lt;/author&gt;&lt;author&gt;H.U. Sverdrup&lt;/author&gt;&lt;author&gt;van Hinsberg, A. &lt;/author&gt;&lt;author&gt;M. Posch&lt;/author&gt;&lt;author&gt;J.P. Hettelingh&lt;/author&gt;&lt;/authors&gt;&lt;/contributors&gt;&lt;titles&gt;&lt;title&gt;Developments in deriving critical limits and modelling critical loads of nitrogen for terrestrial ecosystems in Europe&lt;/title&gt;&lt;secondary-title&gt;Report 1382&lt;/secondary-title&gt;&lt;/titles&gt;&lt;pages&gt;206&lt;/pages&gt;&lt;dates&gt;&lt;year&gt;2007&lt;/year&gt;&lt;/dates&gt;&lt;pub-location&gt;Wageningen, the Netherlands&lt;/pub-location&gt;&lt;publisher&gt;Alterra Wageningen UR&lt;/publisher&gt;&lt;urls&gt;&lt;related-urls&gt;&lt;url&gt;http://www2.alterra.wur.nl/Webdocs/PDFFiles/Alterrarapporten/AlterraRapport1382.pdf &lt;/url&gt;&lt;/related-urls&gt;&lt;/urls&gt;&lt;custom2&gt;y&lt;/custom2&gt;&lt;custom3&gt;1&lt;/custom3&gt;&lt;custom6&gt;1&lt;/custom6&gt;&lt;/record&gt;&lt;/Cite&gt;&lt;/EndNote&gt;</w:instrText>
      </w:r>
      <w:r w:rsidRPr="008937C1">
        <w:fldChar w:fldCharType="separate"/>
      </w:r>
      <w:r>
        <w:rPr>
          <w:noProof/>
        </w:rPr>
        <w:t>(</w:t>
      </w:r>
      <w:hyperlink w:anchor="_ENREF_71" w:tooltip="De Vries, 2007 #159" w:history="1">
        <w:r>
          <w:rPr>
            <w:noProof/>
          </w:rPr>
          <w:t>2007c</w:t>
        </w:r>
      </w:hyperlink>
      <w:r>
        <w:rPr>
          <w:noProof/>
        </w:rPr>
        <w:t>)</w:t>
      </w:r>
      <w:r w:rsidRPr="008937C1">
        <w:fldChar w:fldCharType="end"/>
      </w:r>
      <w:r w:rsidRPr="008937C1">
        <w:t xml:space="preserve"> suggest an upper limit of 1 mg</w:t>
      </w:r>
      <w:r>
        <w:t xml:space="preserve"> N </w:t>
      </w:r>
      <w:r w:rsidRPr="008937C1">
        <w:t>l</w:t>
      </w:r>
      <w:r w:rsidRPr="00DD6E4F">
        <w:rPr>
          <w:vertAlign w:val="superscript"/>
        </w:rPr>
        <w:t>–1</w:t>
      </w:r>
      <w:r w:rsidRPr="008937C1">
        <w:t xml:space="preserve"> as different</w:t>
      </w:r>
      <w:r>
        <w:t>iation between undisturbed and ‘leaky’</w:t>
      </w:r>
      <w:r w:rsidRPr="008937C1">
        <w:t xml:space="preserve"> N saturated forest sites, based on Gundersen et al. </w:t>
      </w:r>
      <w:r w:rsidRPr="008937C1">
        <w:fldChar w:fldCharType="begin"/>
      </w:r>
      <w:r>
        <w:instrText xml:space="preserve"> ADDIN EN.CITE &lt;EndNote&gt;&lt;Cite ExcludeAuth="1"&gt;&lt;Author&gt;Gundersen&lt;/Author&gt;&lt;Year&gt;2006&lt;/Year&gt;&lt;RecNum&gt;1858&lt;/RecNum&gt;&lt;DisplayText&gt;(2006)&lt;/DisplayText&gt;&lt;record&gt;&lt;rec-number&gt;1858&lt;/rec-number&gt;&lt;foreign-keys&gt;&lt;key app="EN" db-id="xfspaxpseda2wcefs26xtfp3aetsfwtx2spr" timestamp="0"&gt;1858&lt;/key&gt;&lt;/foreign-keys&gt;&lt;ref-type name="Journal Article"&gt;17&lt;/ref-type&gt;&lt;contributors&gt;&lt;authors&gt;&lt;author&gt;Gundersen, P.&lt;/author&gt;&lt;author&gt;I. K. Schmidt&lt;/author&gt;&lt;author&gt;K. Raulund-Rasmussen&lt;/author&gt;&lt;/authors&gt;&lt;/contributors&gt;&lt;titles&gt;&lt;title&gt;Leaching of nitrate from temperate forests – effects of air pollution and forest management&lt;/title&gt;&lt;secondary-title&gt;Environmental Reviews&lt;/secondary-title&gt;&lt;/titles&gt;&lt;periodical&gt;&lt;full-title&gt;Environmental Reviews&lt;/full-title&gt;&lt;/periodical&gt;&lt;pages&gt;1-57&lt;/pages&gt;&lt;volume&gt;14&lt;/volume&gt;&lt;number&gt;1&lt;/number&gt;&lt;dates&gt;&lt;year&gt;2006&lt;/year&gt;&lt;/dates&gt;&lt;urls&gt;&lt;related-urls&gt;&lt;url&gt;http://article.pubs.nrc-cnrc.gc.ca/ppv/RPViewDoc?_handler_=HandleInitialGet&amp;amp;journal=er&amp;amp;volume=14&amp;amp;calyLang=eng&amp;amp;articleFile=a05-015.pdf&lt;/url&gt;&lt;/related-urls&gt;&lt;/urls&gt;&lt;custom3&gt; -&lt;/custom3&gt;&lt;custom6&gt;1&lt;/custom6&gt;&lt;/record&gt;&lt;/Cite&gt;&lt;/EndNote&gt;</w:instrText>
      </w:r>
      <w:r w:rsidRPr="008937C1">
        <w:fldChar w:fldCharType="separate"/>
      </w:r>
      <w:r w:rsidRPr="008937C1">
        <w:rPr>
          <w:noProof/>
        </w:rPr>
        <w:t>(</w:t>
      </w:r>
      <w:hyperlink w:anchor="_ENREF_107" w:tooltip="Gundersen, 2006 #1858" w:history="1">
        <w:r w:rsidRPr="008937C1">
          <w:rPr>
            <w:noProof/>
          </w:rPr>
          <w:t>2006</w:t>
        </w:r>
      </w:hyperlink>
      <w:r w:rsidRPr="008937C1">
        <w:rPr>
          <w:noProof/>
        </w:rPr>
        <w:t>)</w:t>
      </w:r>
      <w:r w:rsidRPr="008937C1">
        <w:fldChar w:fldCharType="end"/>
      </w:r>
      <w:r w:rsidRPr="008937C1">
        <w:t xml:space="preserve">. These authors gave an overview of current water quality in forests by compiling a list of studies from the 1990s </w:t>
      </w:r>
      <w:r>
        <w:t>on</w:t>
      </w:r>
      <w:r w:rsidRPr="008937C1">
        <w:t xml:space="preserve"> nitrate concentration in seepage water from temperate forests, including &gt;500 sites of seepage water from Europe. From the survey data it is difficult to conclude exactly at which level a forest ecosystem can </w:t>
      </w:r>
      <w:r w:rsidRPr="008937C1">
        <w:lastRenderedPageBreak/>
        <w:t>be considered ‘leaky’</w:t>
      </w:r>
      <w:r>
        <w:t>,</w:t>
      </w:r>
      <w:r w:rsidRPr="008937C1">
        <w:t xml:space="preserve"> but they suggest a</w:t>
      </w:r>
      <w:r>
        <w:t xml:space="preserve">n </w:t>
      </w:r>
      <w:r w:rsidRPr="0097191E">
        <w:t>annual average N concentration level of 1 mg N l</w:t>
      </w:r>
      <w:r w:rsidRPr="0097191E">
        <w:rPr>
          <w:vertAlign w:val="superscript"/>
        </w:rPr>
        <w:t>–1</w:t>
      </w:r>
      <w:r w:rsidRPr="0097191E">
        <w:t xml:space="preserve"> for seepage water and 0.5 mg N l</w:t>
      </w:r>
      <w:r w:rsidRPr="0097191E">
        <w:rPr>
          <w:vertAlign w:val="superscript"/>
        </w:rPr>
        <w:t>–1</w:t>
      </w:r>
      <w:r w:rsidRPr="0097191E">
        <w:t xml:space="preserve"> for streams/catchments. Stoddard </w:t>
      </w:r>
      <w:r w:rsidRPr="0097191E">
        <w:fldChar w:fldCharType="begin"/>
      </w:r>
      <w:r w:rsidRPr="0097191E">
        <w:instrText xml:space="preserve"> ADDIN EN.CITE &lt;EndNote&gt;&lt;Cite ExcludeAuth="1"&gt;&lt;Author&gt;Stoddard&lt;/Author&gt;&lt;Year&gt;1994&lt;/Year&gt;&lt;RecNum&gt;3088&lt;/RecNum&gt;&lt;DisplayText&gt;(1994)&lt;/DisplayText&gt;&lt;record&gt;&lt;rec-number&gt;3088&lt;/rec-number&gt;&lt;foreign-keys&gt;&lt;key app="EN" db-id="xfspaxpseda2wcefs26xtfp3aetsfwtx2spr" timestamp="0"&gt;3088&lt;/key&gt;&lt;/foreign-keys&gt;&lt;ref-type name="Book Section"&gt;5&lt;/ref-type&gt;&lt;contributors&gt;&lt;authors&gt;&lt;author&gt;Stoddard, J.L.&lt;/author&gt;&lt;/authors&gt;&lt;secondary-authors&gt;&lt;author&gt;Baker, L.A.&lt;/author&gt;&lt;/secondary-authors&gt;&lt;/contributors&gt;&lt;titles&gt;&lt;title&gt;Long-term changes in watershed retention of nitrogen: Its causes and aquatic consequences&lt;/title&gt;&lt;secondary-title&gt;Environmental Chemistry of Lakes and Reservoirs&lt;/secondary-title&gt;&lt;/titles&gt;&lt;pages&gt;223-284&lt;/pages&gt;&lt;dates&gt;&lt;year&gt;1994&lt;/year&gt;&lt;/dates&gt;&lt;pub-location&gt;Washington (DC)&lt;/pub-location&gt;&lt;publisher&gt;American Chemical Society&lt;/publisher&gt;&lt;urls&gt;&lt;/urls&gt;&lt;custom3&gt; -&lt;/custom3&gt;&lt;custom6&gt;7&lt;/custom6&gt;&lt;/record&gt;&lt;/Cite&gt;&lt;/EndNote&gt;</w:instrText>
      </w:r>
      <w:r w:rsidRPr="0097191E">
        <w:fldChar w:fldCharType="separate"/>
      </w:r>
      <w:r w:rsidRPr="0097191E">
        <w:rPr>
          <w:noProof/>
        </w:rPr>
        <w:t>(</w:t>
      </w:r>
      <w:hyperlink w:anchor="_ENREF_211" w:tooltip="Stoddard, 1994 #3088" w:history="1">
        <w:r w:rsidRPr="0097191E">
          <w:rPr>
            <w:noProof/>
          </w:rPr>
          <w:t>1994</w:t>
        </w:r>
      </w:hyperlink>
      <w:r w:rsidRPr="0097191E">
        <w:rPr>
          <w:noProof/>
        </w:rPr>
        <w:t>)</w:t>
      </w:r>
      <w:r w:rsidRPr="0097191E">
        <w:fldChar w:fldCharType="end"/>
      </w:r>
      <w:r w:rsidRPr="0097191E">
        <w:t xml:space="preserve"> characterised four progressive stages of N saturation based on changes in seasonality and</w:t>
      </w:r>
      <w:r w:rsidRPr="008937C1">
        <w:t xml:space="preserve"> levels of nitrate leaching </w:t>
      </w:r>
      <w:r>
        <w:t xml:space="preserve">in streams and a value of 1 mg N </w:t>
      </w:r>
      <w:r w:rsidRPr="008937C1">
        <w:t>l</w:t>
      </w:r>
      <w:r w:rsidRPr="00DD6E4F">
        <w:rPr>
          <w:vertAlign w:val="superscript"/>
        </w:rPr>
        <w:t>–1</w:t>
      </w:r>
      <w:r w:rsidRPr="008937C1">
        <w:t xml:space="preserve"> coincides with </w:t>
      </w:r>
      <w:r>
        <w:t>the</w:t>
      </w:r>
      <w:r w:rsidRPr="008937C1">
        <w:t xml:space="preserve"> limit for the near final stage.</w:t>
      </w:r>
    </w:p>
    <w:p w14:paraId="65BC2157" w14:textId="77777777" w:rsidR="00A13FA7" w:rsidRDefault="00A13FA7" w:rsidP="00DD6E4F">
      <w:pPr>
        <w:pStyle w:val="EEAbullet0"/>
        <w:numPr>
          <w:ilvl w:val="0"/>
          <w:numId w:val="0"/>
        </w:numPr>
        <w:ind w:left="397" w:hanging="397"/>
      </w:pPr>
    </w:p>
    <w:p w14:paraId="32A000AD" w14:textId="5FE6C0A7" w:rsidR="00A13FA7" w:rsidRDefault="00A13FA7" w:rsidP="009B7AAD">
      <w:pPr>
        <w:pStyle w:val="EEAbullet0"/>
      </w:pPr>
      <w:r>
        <w:t>N in soil solution: impacts on forests</w:t>
      </w:r>
      <w:r w:rsidRPr="00DD6E4F">
        <w:rPr>
          <w:szCs w:val="18"/>
        </w:rPr>
        <w:t>: 1 to 5 mg N l</w:t>
      </w:r>
      <w:r w:rsidRPr="00DD6E4F">
        <w:rPr>
          <w:szCs w:val="18"/>
          <w:vertAlign w:val="superscript"/>
        </w:rPr>
        <w:t>-1</w:t>
      </w:r>
      <w:r w:rsidRPr="00F23A10">
        <w:t xml:space="preserve"> </w:t>
      </w:r>
      <w:r w:rsidR="00DD6E4F">
        <w:br/>
      </w:r>
      <w:r w:rsidRPr="008937C1">
        <w:t>Empirical data suggest that critical dissolved N concentration</w:t>
      </w:r>
      <w:r>
        <w:t>s</w:t>
      </w:r>
      <w:r w:rsidRPr="008937C1">
        <w:t xml:space="preserve"> in view of adverse impacts on fine root biomass/root length and an increased sensitivity t</w:t>
      </w:r>
      <w:r>
        <w:t xml:space="preserve">o frost and fungal diseases vary between 1–3 mg N </w:t>
      </w:r>
      <w:r w:rsidRPr="008937C1">
        <w:t>l</w:t>
      </w:r>
      <w:r w:rsidRPr="00DD6E4F">
        <w:rPr>
          <w:vertAlign w:val="superscript"/>
        </w:rPr>
        <w:t>–1</w:t>
      </w:r>
      <w:r w:rsidRPr="008937C1">
        <w:t xml:space="preserve"> </w:t>
      </w:r>
      <w:r>
        <w:t xml:space="preserve">and 3–5 mg N </w:t>
      </w:r>
      <w:r w:rsidRPr="008937C1">
        <w:t>l</w:t>
      </w:r>
      <w:r w:rsidRPr="00DD6E4F">
        <w:rPr>
          <w:vertAlign w:val="superscript"/>
        </w:rPr>
        <w:t>–1</w:t>
      </w:r>
      <w:r w:rsidRPr="008937C1">
        <w:t xml:space="preserve">, </w:t>
      </w:r>
      <w:r>
        <w:t xml:space="preserve">respectively </w:t>
      </w:r>
      <w:r w:rsidRPr="008937C1">
        <w:fldChar w:fldCharType="begin"/>
      </w:r>
      <w:r>
        <w:instrText xml:space="preserve"> ADDIN EN.CITE &lt;EndNote&gt;&lt;Cite&gt;&lt;Author&gt;De Vries&lt;/Author&gt;&lt;Year&gt;2007&lt;/Year&gt;&lt;RecNum&gt;159&lt;/RecNum&gt;&lt;DisplayText&gt;(De Vries et al. 2007c)&lt;/DisplayText&gt;&lt;record&gt;&lt;rec-number&gt;159&lt;/rec-number&gt;&lt;foreign-keys&gt;&lt;key app="EN" db-id="rpvsd0pdbxp0x5e2xpqvdpwaxdwe2avs090x" timestamp="0"&gt;159&lt;/key&gt;&lt;/foreign-keys&gt;&lt;ref-type name="Report"&gt;27&lt;/ref-type&gt;&lt;contributors&gt;&lt;authors&gt;&lt;author&gt;De Vries, W., &lt;/author&gt;&lt;author&gt;J. Kros&lt;/author&gt;&lt;author&gt;G. J. Reinds&lt;/author&gt;&lt;author&gt;W. Wamelink&lt;/author&gt;&lt;author&gt;J. Mol&lt;/author&gt;&lt;author&gt;van Dobben, H. &lt;/author&gt;&lt;author&gt;R. Bobbink&lt;/author&gt;&lt;author&gt;Emmett, B.&lt;/author&gt;&lt;author&gt;S. Smart&lt;/author&gt;&lt;author&gt;C. Evans&lt;/author&gt;&lt;author&gt;A. Schlutow&lt;/author&gt;&lt;author&gt;P. Kraft&lt;/author&gt;&lt;author&gt;S. Belyazid&lt;/author&gt;&lt;author&gt;H.U. Sverdrup&lt;/author&gt;&lt;author&gt;van Hinsberg, A. &lt;/author&gt;&lt;author&gt;M. Posch&lt;/author&gt;&lt;author&gt;J.P. Hettelingh&lt;/author&gt;&lt;/authors&gt;&lt;/contributors&gt;&lt;titles&gt;&lt;title&gt;Developments in deriving critical limits and modelling critical loads of nitrogen for terrestrial ecosystems in Europe&lt;/title&gt;&lt;secondary-title&gt;Report 1382&lt;/secondary-title&gt;&lt;/titles&gt;&lt;pages&gt;206&lt;/pages&gt;&lt;dates&gt;&lt;year&gt;2007&lt;/year&gt;&lt;/dates&gt;&lt;pub-location&gt;Wageningen, the Netherlands&lt;/pub-location&gt;&lt;publisher&gt;Alterra Wageningen UR&lt;/publisher&gt;&lt;urls&gt;&lt;related-urls&gt;&lt;url&gt;http://www2.alterra.wur.nl/Webdocs/PDFFiles/Alterrarapporten/AlterraRapport1382.pdf &lt;/url&gt;&lt;/related-urls&gt;&lt;/urls&gt;&lt;custom2&gt;y&lt;/custom2&gt;&lt;custom3&gt;1&lt;/custom3&gt;&lt;custom6&gt;1&lt;/custom6&gt;&lt;/record&gt;&lt;/Cite&gt;&lt;/EndNote&gt;</w:instrText>
      </w:r>
      <w:r w:rsidRPr="008937C1">
        <w:fldChar w:fldCharType="separate"/>
      </w:r>
      <w:r>
        <w:rPr>
          <w:noProof/>
        </w:rPr>
        <w:t>(</w:t>
      </w:r>
      <w:hyperlink w:anchor="_ENREF_71" w:tooltip="De Vries, 2007 #159" w:history="1">
        <w:r>
          <w:rPr>
            <w:noProof/>
          </w:rPr>
          <w:t>De Vries et al. 2007c</w:t>
        </w:r>
      </w:hyperlink>
      <w:r>
        <w:rPr>
          <w:noProof/>
        </w:rPr>
        <w:t>)</w:t>
      </w:r>
      <w:r w:rsidRPr="008937C1">
        <w:fldChar w:fldCharType="end"/>
      </w:r>
      <w:r w:rsidRPr="008937C1">
        <w:t xml:space="preserve">.  The critical values for impacts on fine root biomass and root length are based on Matzner and Murach </w:t>
      </w:r>
      <w:r w:rsidRPr="008937C1">
        <w:fldChar w:fldCharType="begin"/>
      </w:r>
      <w:r>
        <w:instrText xml:space="preserve"> ADDIN EN.CITE &lt;EndNote&gt;&lt;Cite ExcludeAuth="1"&gt;&lt;Author&gt;Matzner&lt;/Author&gt;&lt;Year&gt;1995&lt;/Year&gt;&lt;RecNum&gt;3067&lt;/RecNum&gt;&lt;DisplayText&gt;(1995)&lt;/DisplayText&gt;&lt;record&gt;&lt;rec-number&gt;3067&lt;/rec-number&gt;&lt;foreign-keys&gt;&lt;key app="EN" db-id="xfspaxpseda2wcefs26xtfp3aetsfwtx2spr" timestamp="0"&gt;3067&lt;/key&gt;&lt;/foreign-keys&gt;&lt;ref-type name="Journal Article"&gt;17&lt;/ref-type&gt;&lt;contributors&gt;&lt;authors&gt;&lt;author&gt;Matzner, E.&lt;/author&gt;&lt;author&gt;Murach, D.&lt;/author&gt;&lt;/authors&gt;&lt;/contributors&gt;&lt;titles&gt;&lt;title&gt;Soil changes induced by air pollutant deposition and their implication for forests in central Europe&lt;/title&gt;&lt;secondary-title&gt;Water, Air, and Soil Pollution&lt;/secondary-title&gt;&lt;/titles&gt;&lt;periodical&gt;&lt;full-title&gt;Water, Air, and Soil Pollution&lt;/full-title&gt;&lt;abbr-1&gt;Water Air Soil Pollut.&lt;/abbr-1&gt;&lt;abbr-3&gt;http://www.springerlink.com/openurl.asp?genre=journal&amp;amp;issn=0049-6979 vanaf 1996&lt;/abbr-3&gt;&lt;/periodical&gt;&lt;pages&gt;63-76&lt;/pages&gt;&lt;volume&gt;85&lt;/volume&gt;&lt;number&gt;1&lt;/number&gt;&lt;dates&gt;&lt;year&gt;1995&lt;/year&gt;&lt;/dates&gt;&lt;urls&gt;&lt;related-urls&gt;&lt;url&gt;http://www.springerlink.com/openurl.asp?genre=article&amp;amp;id=doi:10.1007/BF00483689&lt;/url&gt;&lt;/related-urls&gt;&lt;/urls&gt;&lt;custom3&gt; -&lt;/custom3&gt;&lt;custom6&gt;1&lt;/custom6&gt;&lt;electronic-resource-num&gt;10.1007/BF00483689&lt;/electronic-resource-num&gt;&lt;/record&gt;&lt;/Cite&gt;&lt;/EndNote&gt;</w:instrText>
      </w:r>
      <w:r w:rsidRPr="008937C1">
        <w:fldChar w:fldCharType="separate"/>
      </w:r>
      <w:r w:rsidRPr="008937C1">
        <w:rPr>
          <w:noProof/>
        </w:rPr>
        <w:t>(</w:t>
      </w:r>
      <w:hyperlink w:anchor="_ENREF_154" w:tooltip="Matzner, 1995 #3067" w:history="1">
        <w:r w:rsidRPr="008937C1">
          <w:rPr>
            <w:noProof/>
          </w:rPr>
          <w:t>1995</w:t>
        </w:r>
      </w:hyperlink>
      <w:r w:rsidRPr="008937C1">
        <w:rPr>
          <w:noProof/>
        </w:rPr>
        <w:t>)</w:t>
      </w:r>
      <w:r w:rsidRPr="008937C1">
        <w:fldChar w:fldCharType="end"/>
      </w:r>
      <w:r w:rsidRPr="008937C1">
        <w:t xml:space="preserve">, who found that total fine root biomass of Norway spruce saplings decreased significantly when the </w:t>
      </w:r>
      <w:r>
        <w:t xml:space="preserve">dissolved </w:t>
      </w:r>
      <w:r w:rsidRPr="008937C1">
        <w:t>N (NO</w:t>
      </w:r>
      <w:r w:rsidRPr="00DD6E4F">
        <w:rPr>
          <w:vertAlign w:val="subscript"/>
        </w:rPr>
        <w:t>3</w:t>
      </w:r>
      <w:r w:rsidRPr="008937C1">
        <w:t xml:space="preserve"> + NH</w:t>
      </w:r>
      <w:r w:rsidRPr="00DD6E4F">
        <w:rPr>
          <w:vertAlign w:val="subscript"/>
        </w:rPr>
        <w:t>4</w:t>
      </w:r>
      <w:r w:rsidRPr="008937C1">
        <w:t>) concentrat</w:t>
      </w:r>
      <w:r>
        <w:t xml:space="preserve">ion was &gt;2 mg N </w:t>
      </w:r>
      <w:r w:rsidRPr="008937C1">
        <w:t>l</w:t>
      </w:r>
      <w:r w:rsidRPr="00DD6E4F">
        <w:rPr>
          <w:vertAlign w:val="superscript"/>
        </w:rPr>
        <w:t>–1</w:t>
      </w:r>
      <w:r w:rsidRPr="008937C1">
        <w:t xml:space="preserve">. </w:t>
      </w:r>
      <w:r>
        <w:t>C</w:t>
      </w:r>
      <w:r w:rsidRPr="008937C1">
        <w:t>ritical dissolved N concentration</w:t>
      </w:r>
      <w:r>
        <w:t>s</w:t>
      </w:r>
      <w:r w:rsidRPr="008937C1">
        <w:t xml:space="preserve"> in view of </w:t>
      </w:r>
      <w:r>
        <w:t xml:space="preserve">an </w:t>
      </w:r>
      <w:r w:rsidRPr="008937C1">
        <w:t>increase</w:t>
      </w:r>
      <w:r>
        <w:t>d</w:t>
      </w:r>
      <w:r w:rsidRPr="008937C1">
        <w:t xml:space="preserve"> sensitivity to frost and fungal diseases </w:t>
      </w:r>
      <w:r>
        <w:t xml:space="preserve">has been </w:t>
      </w:r>
      <w:r w:rsidRPr="008937C1">
        <w:t>derived from a critical N conce</w:t>
      </w:r>
      <w:r>
        <w:t xml:space="preserve">ntration in the needles of 18 g </w:t>
      </w:r>
      <w:r w:rsidRPr="008937C1">
        <w:t>kg</w:t>
      </w:r>
      <w:r w:rsidRPr="00DD6E4F">
        <w:rPr>
          <w:vertAlign w:val="superscript"/>
        </w:rPr>
        <w:t>–1</w:t>
      </w:r>
      <w:r w:rsidRPr="008937C1">
        <w:t>, above which th</w:t>
      </w:r>
      <w:r>
        <w:t>is sensitivity increases</w:t>
      </w:r>
      <w:r w:rsidRPr="008937C1">
        <w:t xml:space="preserve">. De Vries et al. </w:t>
      </w:r>
      <w:r w:rsidRPr="008937C1">
        <w:fldChar w:fldCharType="begin"/>
      </w:r>
      <w:r>
        <w:instrText xml:space="preserve"> ADDIN EN.CITE &lt;EndNote&gt;&lt;Cite ExcludeAuth="1"&gt;&lt;Year&gt;2007&lt;/Year&gt;&lt;RecNum&gt;159&lt;/RecNum&gt;&lt;DisplayText&gt;(2007c)&lt;/DisplayText&gt;&lt;record&gt;&lt;rec-number&gt;159&lt;/rec-number&gt;&lt;foreign-keys&gt;&lt;key app="EN" db-id="rpvsd0pdbxp0x5e2xpqvdpwaxdwe2avs090x" timestamp="0"&gt;159&lt;/key&gt;&lt;/foreign-keys&gt;&lt;ref-type name="Report"&gt;27&lt;/ref-type&gt;&lt;contributors&gt;&lt;authors&gt;&lt;author&gt;De Vries, W., &lt;/author&gt;&lt;author&gt;J. Kros&lt;/author&gt;&lt;author&gt;G. J. Reinds&lt;/author&gt;&lt;author&gt;W. Wamelink&lt;/author&gt;&lt;author&gt;J. Mol&lt;/author&gt;&lt;author&gt;van Dobben, H. &lt;/author&gt;&lt;author&gt;R. Bobbink&lt;/author&gt;&lt;author&gt;Emmett, B.&lt;/author&gt;&lt;author&gt;S. Smart&lt;/author&gt;&lt;author&gt;C. Evans&lt;/author&gt;&lt;author&gt;A. Schlutow&lt;/author&gt;&lt;author&gt;P. Kraft&lt;/author&gt;&lt;author&gt;S. Belyazid&lt;/author&gt;&lt;author&gt;H.U. Sverdrup&lt;/author&gt;&lt;author&gt;van Hinsberg, A. &lt;/author&gt;&lt;author&gt;M. Posch&lt;/author&gt;&lt;author&gt;J.P. Hettelingh&lt;/author&gt;&lt;/authors&gt;&lt;/contributors&gt;&lt;titles&gt;&lt;title&gt;Developments in deriving critical limits and modelling critical loads of nitrogen for terrestrial ecosystems in Europe&lt;/title&gt;&lt;secondary-title&gt;Report 1382&lt;/secondary-title&gt;&lt;/titles&gt;&lt;pages&gt;206&lt;/pages&gt;&lt;dates&gt;&lt;year&gt;2007&lt;/year&gt;&lt;/dates&gt;&lt;pub-location&gt;Wageningen, the Netherlands&lt;/pub-location&gt;&lt;publisher&gt;Alterra Wageningen UR&lt;/publisher&gt;&lt;urls&gt;&lt;related-urls&gt;&lt;url&gt;http://www2.alterra.wur.nl/Webdocs/PDFFiles/Alterrarapporten/AlterraRapport1382.pdf &lt;/url&gt;&lt;/related-urls&gt;&lt;/urls&gt;&lt;custom2&gt;y&lt;/custom2&gt;&lt;custom3&gt;1&lt;/custom3&gt;&lt;custom6&gt;1&lt;/custom6&gt;&lt;/record&gt;&lt;/Cite&gt;&lt;/EndNote&gt;</w:instrText>
      </w:r>
      <w:r w:rsidRPr="008937C1">
        <w:fldChar w:fldCharType="separate"/>
      </w:r>
      <w:r>
        <w:rPr>
          <w:noProof/>
        </w:rPr>
        <w:t>(</w:t>
      </w:r>
      <w:hyperlink w:anchor="_ENREF_71" w:tooltip="De Vries, 2007 #159" w:history="1">
        <w:r>
          <w:rPr>
            <w:noProof/>
          </w:rPr>
          <w:t>2007c</w:t>
        </w:r>
      </w:hyperlink>
      <w:r>
        <w:rPr>
          <w:noProof/>
        </w:rPr>
        <w:t>)</w:t>
      </w:r>
      <w:r w:rsidRPr="008937C1">
        <w:fldChar w:fldCharType="end"/>
      </w:r>
      <w:r w:rsidRPr="008937C1">
        <w:t xml:space="preserve"> derived a relationship </w:t>
      </w:r>
      <w:r>
        <w:t xml:space="preserve">between foliar N contents and dissolved annual average N concentrations </w:t>
      </w:r>
      <w:r w:rsidRPr="008937C1">
        <w:t>on the basis of the results for 120 Intensive Monitorin</w:t>
      </w:r>
      <w:r>
        <w:t xml:space="preserve">g plots in Europe. Below 3 mg N </w:t>
      </w:r>
      <w:r w:rsidRPr="008937C1">
        <w:t>l</w:t>
      </w:r>
      <w:r w:rsidRPr="00DD6E4F">
        <w:rPr>
          <w:vertAlign w:val="superscript"/>
        </w:rPr>
        <w:t>–1</w:t>
      </w:r>
      <w:r w:rsidRPr="008937C1">
        <w:t>, the N contents in</w:t>
      </w:r>
      <w:r>
        <w:t xml:space="preserve"> foliage were always below 18 g </w:t>
      </w:r>
      <w:r w:rsidRPr="008937C1">
        <w:t>kg</w:t>
      </w:r>
      <w:r w:rsidRPr="00DD6E4F">
        <w:rPr>
          <w:vertAlign w:val="superscript"/>
        </w:rPr>
        <w:t>–1</w:t>
      </w:r>
      <w:r>
        <w:t xml:space="preserve">, while above 5 mg N </w:t>
      </w:r>
      <w:r w:rsidRPr="008937C1">
        <w:t>l</w:t>
      </w:r>
      <w:r w:rsidRPr="00DD6E4F">
        <w:rPr>
          <w:vertAlign w:val="superscript"/>
        </w:rPr>
        <w:t>–1</w:t>
      </w:r>
      <w:r w:rsidRPr="008937C1">
        <w:t xml:space="preserve"> values were nearly always above this value.</w:t>
      </w:r>
      <w:r>
        <w:t xml:space="preserve"> In this rang, adverse vegetation changes are also found </w:t>
      </w:r>
      <w:r w:rsidRPr="008937C1">
        <w:fldChar w:fldCharType="begin"/>
      </w:r>
      <w:r>
        <w:instrText xml:space="preserve"> ADDIN EN.CITE &lt;EndNote&gt;&lt;Cite&gt;&lt;Author&gt;De Vries&lt;/Author&gt;&lt;Year&gt;2007&lt;/Year&gt;&lt;RecNum&gt;159&lt;/RecNum&gt;&lt;DisplayText&gt;(De Vries et al. 2007c)&lt;/DisplayText&gt;&lt;record&gt;&lt;rec-number&gt;159&lt;/rec-number&gt;&lt;foreign-keys&gt;&lt;key app="EN" db-id="rpvsd0pdbxp0x5e2xpqvdpwaxdwe2avs090x" timestamp="0"&gt;159&lt;/key&gt;&lt;/foreign-keys&gt;&lt;ref-type name="Report"&gt;27&lt;/ref-type&gt;&lt;contributors&gt;&lt;authors&gt;&lt;author&gt;De Vries, W., &lt;/author&gt;&lt;author&gt;J. Kros&lt;/author&gt;&lt;author&gt;G. J. Reinds&lt;/author&gt;&lt;author&gt;W. Wamelink&lt;/author&gt;&lt;author&gt;J. Mol&lt;/author&gt;&lt;author&gt;van Dobben, H. &lt;/author&gt;&lt;author&gt;R. Bobbink&lt;/author&gt;&lt;author&gt;Emmett, B.&lt;/author&gt;&lt;author&gt;S. Smart&lt;/author&gt;&lt;author&gt;C. Evans&lt;/author&gt;&lt;author&gt;A. Schlutow&lt;/author&gt;&lt;author&gt;P. Kraft&lt;/author&gt;&lt;author&gt;S. Belyazid&lt;/author&gt;&lt;author&gt;H.U. Sverdrup&lt;/author&gt;&lt;author&gt;van Hinsberg, A. &lt;/author&gt;&lt;author&gt;M. Posch&lt;/author&gt;&lt;author&gt;J.P. Hettelingh&lt;/author&gt;&lt;/authors&gt;&lt;/contributors&gt;&lt;titles&gt;&lt;title&gt;Developments in deriving critical limits and modelling critical loads of nitrogen for terrestrial ecosystems in Europe&lt;/title&gt;&lt;secondary-title&gt;Report 1382&lt;/secondary-title&gt;&lt;/titles&gt;&lt;pages&gt;206&lt;/pages&gt;&lt;dates&gt;&lt;year&gt;2007&lt;/year&gt;&lt;/dates&gt;&lt;pub-location&gt;Wageningen, the Netherlands&lt;/pub-location&gt;&lt;publisher&gt;Alterra Wageningen UR&lt;/publisher&gt;&lt;urls&gt;&lt;related-urls&gt;&lt;url&gt;http://www2.alterra.wur.nl/Webdocs/PDFFiles/Alterrarapporten/AlterraRapport1382.pdf &lt;/url&gt;&lt;/related-urls&gt;&lt;/urls&gt;&lt;custom2&gt;y&lt;/custom2&gt;&lt;custom3&gt;1&lt;/custom3&gt;&lt;custom6&gt;1&lt;/custom6&gt;&lt;/record&gt;&lt;/Cite&gt;&lt;/EndNote&gt;</w:instrText>
      </w:r>
      <w:r w:rsidRPr="008937C1">
        <w:fldChar w:fldCharType="separate"/>
      </w:r>
      <w:r>
        <w:rPr>
          <w:noProof/>
        </w:rPr>
        <w:t>(</w:t>
      </w:r>
      <w:hyperlink w:anchor="_ENREF_71" w:tooltip="De Vries, 2007 #159" w:history="1">
        <w:r>
          <w:rPr>
            <w:noProof/>
          </w:rPr>
          <w:t>De Vries et al. 2007c</w:t>
        </w:r>
      </w:hyperlink>
      <w:r>
        <w:rPr>
          <w:noProof/>
        </w:rPr>
        <w:t>)</w:t>
      </w:r>
      <w:r w:rsidRPr="008937C1">
        <w:fldChar w:fldCharType="end"/>
      </w:r>
      <w:r>
        <w:t>.</w:t>
      </w:r>
    </w:p>
    <w:p w14:paraId="3279B39D" w14:textId="77777777" w:rsidR="00DD6E4F" w:rsidRDefault="00DD6E4F" w:rsidP="00DD6E4F">
      <w:pPr>
        <w:pStyle w:val="EEAbullet0"/>
        <w:numPr>
          <w:ilvl w:val="0"/>
          <w:numId w:val="0"/>
        </w:numPr>
        <w:ind w:left="397" w:hanging="397"/>
      </w:pPr>
    </w:p>
    <w:p w14:paraId="19BF99EC" w14:textId="267BE702" w:rsidR="00A13FA7" w:rsidRDefault="00A13FA7" w:rsidP="009B7AAD">
      <w:pPr>
        <w:pStyle w:val="EEAbullet0"/>
      </w:pPr>
      <w:r w:rsidRPr="001B77A1">
        <w:t>NO</w:t>
      </w:r>
      <w:r w:rsidRPr="00DD6E4F">
        <w:rPr>
          <w:vertAlign w:val="subscript"/>
        </w:rPr>
        <w:t>3</w:t>
      </w:r>
      <w:r w:rsidRPr="001B77A1">
        <w:t xml:space="preserve"> in ground water: 50 mg NO</w:t>
      </w:r>
      <w:r w:rsidRPr="00DD6E4F">
        <w:rPr>
          <w:vertAlign w:val="subscript"/>
        </w:rPr>
        <w:t>3</w:t>
      </w:r>
      <w:r w:rsidRPr="001B77A1">
        <w:t xml:space="preserve"> l</w:t>
      </w:r>
      <w:r w:rsidRPr="00DD6E4F">
        <w:rPr>
          <w:vertAlign w:val="superscript"/>
        </w:rPr>
        <w:t>-1</w:t>
      </w:r>
      <w:r>
        <w:t xml:space="preserve"> </w:t>
      </w:r>
      <w:r w:rsidR="00DD6E4F">
        <w:br/>
      </w:r>
      <w:proofErr w:type="gramStart"/>
      <w:r w:rsidRPr="00AD4AD2">
        <w:t>The</w:t>
      </w:r>
      <w:proofErr w:type="gramEnd"/>
      <w:r w:rsidRPr="00AD4AD2">
        <w:t xml:space="preserve"> critical NO3- concentration in groundwater </w:t>
      </w:r>
      <w:r>
        <w:t xml:space="preserve">is generally </w:t>
      </w:r>
      <w:r w:rsidRPr="00AD4AD2">
        <w:t>set to the WHO drinking water limit of 50 mg NO</w:t>
      </w:r>
      <w:r w:rsidRPr="00DD6E4F">
        <w:rPr>
          <w:vertAlign w:val="subscript"/>
        </w:rPr>
        <w:t>3</w:t>
      </w:r>
      <w:r w:rsidRPr="00AD4AD2">
        <w:t xml:space="preserve"> l</w:t>
      </w:r>
      <w:r w:rsidRPr="00DD6E4F">
        <w:rPr>
          <w:vertAlign w:val="superscript"/>
        </w:rPr>
        <w:t>-1</w:t>
      </w:r>
      <w:r w:rsidRPr="00AD4AD2">
        <w:t xml:space="preserve"> or 11.3 mg NO</w:t>
      </w:r>
      <w:r w:rsidRPr="00DD6E4F">
        <w:rPr>
          <w:vertAlign w:val="subscript"/>
        </w:rPr>
        <w:t>3</w:t>
      </w:r>
      <w:r w:rsidRPr="00AD4AD2">
        <w:t>-N l</w:t>
      </w:r>
      <w:r w:rsidRPr="00DD6E4F">
        <w:rPr>
          <w:vertAlign w:val="superscript"/>
        </w:rPr>
        <w:t>-1</w:t>
      </w:r>
      <w:r w:rsidRPr="00AD4AD2">
        <w:t>. This limit is based on epidemiological evidence for methemoglobinemia in infants (WHO, 2011).</w:t>
      </w:r>
    </w:p>
    <w:p w14:paraId="7A59FC48" w14:textId="77777777" w:rsidR="00DD6E4F" w:rsidRDefault="00DD6E4F" w:rsidP="00DD6E4F">
      <w:pPr>
        <w:pStyle w:val="EEAbullet0"/>
        <w:numPr>
          <w:ilvl w:val="0"/>
          <w:numId w:val="0"/>
        </w:numPr>
        <w:ind w:left="397"/>
      </w:pPr>
    </w:p>
    <w:p w14:paraId="14B258A0" w14:textId="335C5673" w:rsidR="00A13FA7" w:rsidRPr="00DD6E4F" w:rsidRDefault="00A13FA7" w:rsidP="009B7AAD">
      <w:pPr>
        <w:pStyle w:val="EEAbullet0"/>
        <w:rPr>
          <w:szCs w:val="18"/>
        </w:rPr>
      </w:pPr>
      <w:r w:rsidRPr="00DD6E4F">
        <w:rPr>
          <w:szCs w:val="18"/>
        </w:rPr>
        <w:t>N in surface water: 1.0 to 2.5 mg N l</w:t>
      </w:r>
      <w:r w:rsidRPr="00DD6E4F">
        <w:rPr>
          <w:szCs w:val="18"/>
          <w:vertAlign w:val="superscript"/>
        </w:rPr>
        <w:t>-1</w:t>
      </w:r>
      <w:r w:rsidRPr="00DD6E4F">
        <w:rPr>
          <w:szCs w:val="18"/>
        </w:rPr>
        <w:t xml:space="preserve"> </w:t>
      </w:r>
      <w:r w:rsidR="00DD6E4F" w:rsidRPr="00DD6E4F">
        <w:rPr>
          <w:szCs w:val="18"/>
        </w:rPr>
        <w:br/>
      </w:r>
      <w:r w:rsidRPr="00DD6E4F">
        <w:rPr>
          <w:szCs w:val="18"/>
        </w:rPr>
        <w:t>Critical limits for dissolved total N in surface water, as indicator for eutrophication of aquatic ecosystems, vary mostly in the range of 1.0 to 2.5 mg N l</w:t>
      </w:r>
      <w:r w:rsidRPr="00DD6E4F">
        <w:rPr>
          <w:szCs w:val="18"/>
          <w:vertAlign w:val="superscript"/>
        </w:rPr>
        <w:t>-1</w:t>
      </w:r>
      <w:r w:rsidRPr="00DD6E4F">
        <w:rPr>
          <w:szCs w:val="18"/>
        </w:rPr>
        <w:t>. This range is based on (i) an extensive study on the ecological and toxicological effects of inorganic N pollution (Camargo and Alonso, 2006) and (ii) an overview of maximum allowable N concentrations in surface waters in national surface water quality standards (Liu et al., 2011).</w:t>
      </w:r>
    </w:p>
    <w:p w14:paraId="47D1C46C" w14:textId="77777777" w:rsidR="00DD6E4F" w:rsidRDefault="00DD6E4F" w:rsidP="00A13FA7"/>
    <w:p w14:paraId="18FEA5E7" w14:textId="1AE5398B" w:rsidR="00A13FA7" w:rsidRDefault="00A13FA7" w:rsidP="00714D8B">
      <w:pPr>
        <w:pStyle w:val="EEASource"/>
      </w:pPr>
      <w:r w:rsidRPr="00DD6E4F">
        <w:rPr>
          <w:b/>
        </w:rPr>
        <w:t>Note:</w:t>
      </w:r>
      <w:r w:rsidRPr="00261BB8">
        <w:t xml:space="preserve"> </w:t>
      </w:r>
      <w:r w:rsidR="00DD6E4F">
        <w:tab/>
      </w:r>
      <w:r w:rsidRPr="00261BB8">
        <w:t xml:space="preserve">Critical loads, being the critical deposition </w:t>
      </w:r>
      <w:r w:rsidRPr="0097191E">
        <w:t>level from the atmosphere, can be calculated with models that make use of critical limits of N in soil solution (see de Vries et al., 2015, where</w:t>
      </w:r>
      <w:r w:rsidRPr="00261BB8">
        <w:t xml:space="preserve"> this is explained in detail). In addition, critical limits for N in air, ground water and surface water are used to assess critical N inputs in agricultural soils (see e.g. De Vries and Schulte-Uebbing, 2020). </w:t>
      </w:r>
    </w:p>
    <w:p w14:paraId="1DBCFEFE" w14:textId="77777777" w:rsidR="00DD6E4F" w:rsidRDefault="00DD6E4F" w:rsidP="00A13FA7"/>
    <w:p w14:paraId="3F06EC5A" w14:textId="53D1655F" w:rsidR="00A13FA7" w:rsidRPr="009D5972" w:rsidRDefault="009E2D6F" w:rsidP="002C488D">
      <w:pPr>
        <w:pStyle w:val="berschrift2"/>
        <w:numPr>
          <w:ilvl w:val="2"/>
          <w:numId w:val="4"/>
        </w:numPr>
        <w:rPr>
          <w:rStyle w:val="FormatvorlageFormatvorlageberschrift3Zchn1"/>
        </w:rPr>
      </w:pPr>
      <w:bookmarkStart w:id="145" w:name="_Toc58973213"/>
      <w:bookmarkStart w:id="146" w:name="_Toc83997347"/>
      <w:r>
        <w:rPr>
          <w:rStyle w:val="FormatvorlageFormatvorlageberschrift3Zchn1"/>
        </w:rPr>
        <w:t>Target levels and c</w:t>
      </w:r>
      <w:r w:rsidR="00A13FA7" w:rsidRPr="009D5972">
        <w:rPr>
          <w:rStyle w:val="FormatvorlageFormatvorlageberschrift3Zchn1"/>
        </w:rPr>
        <w:t>ritical limits for P status indicators</w:t>
      </w:r>
      <w:bookmarkEnd w:id="145"/>
      <w:bookmarkEnd w:id="146"/>
    </w:p>
    <w:p w14:paraId="07A6087F" w14:textId="77777777" w:rsidR="00A13FA7" w:rsidRDefault="00A13FA7" w:rsidP="00A13FA7"/>
    <w:p w14:paraId="07A0B4C6" w14:textId="77777777" w:rsidR="00A13FA7" w:rsidRPr="007D4374" w:rsidRDefault="00A13FA7" w:rsidP="00DD6E4F">
      <w:pPr>
        <w:pStyle w:val="EEAStandardbold"/>
      </w:pPr>
      <w:r w:rsidRPr="007D4374">
        <w:t>Agricultural soils</w:t>
      </w:r>
    </w:p>
    <w:p w14:paraId="3B43D218" w14:textId="377DC8AF" w:rsidR="00A13FA7" w:rsidRDefault="00A13FA7" w:rsidP="00A13FA7">
      <w:pPr>
        <w:spacing w:before="120"/>
      </w:pPr>
      <w:r>
        <w:t>In order to avoid losses in crop production as well as negative environmental impacts, available soil P levels should ideally stay:</w:t>
      </w:r>
    </w:p>
    <w:p w14:paraId="33DFA51B" w14:textId="3CB811FE" w:rsidR="00A13FA7" w:rsidRDefault="00A13FA7" w:rsidP="00DD6E4F">
      <w:pPr>
        <w:pStyle w:val="EEAbullet0"/>
      </w:pPr>
      <w:r w:rsidRPr="00DD6E4F">
        <w:t>above a critical level below which crop yield is limited, defined as the ‘soil P status above which crop yield does not respond to P application’ (Mallarino and Blackmer 1992), and</w:t>
      </w:r>
    </w:p>
    <w:p w14:paraId="25CDD41A" w14:textId="77777777" w:rsidR="00A13FA7" w:rsidRPr="00DD6E4F" w:rsidRDefault="00A13FA7" w:rsidP="00DD6E4F">
      <w:pPr>
        <w:pStyle w:val="EEAbullet0"/>
      </w:pPr>
      <w:proofErr w:type="gramStart"/>
      <w:r w:rsidRPr="00DD6E4F">
        <w:t>below</w:t>
      </w:r>
      <w:proofErr w:type="gramEnd"/>
      <w:r w:rsidRPr="00DD6E4F">
        <w:t xml:space="preserve"> a critical level above which P leaching and runoff is significantly enhanced (e.g. Li et al., 2011). </w:t>
      </w:r>
    </w:p>
    <w:p w14:paraId="644EB45F" w14:textId="77777777" w:rsidR="00A13FA7" w:rsidRDefault="00A13FA7" w:rsidP="00DC7B4A">
      <w:pPr>
        <w:rPr>
          <w:noProof/>
          <w:lang w:eastAsia="en-GB"/>
        </w:rPr>
      </w:pPr>
    </w:p>
    <w:p w14:paraId="3A6A92EE" w14:textId="5519EF10" w:rsidR="00A13FA7" w:rsidRDefault="00A13FA7" w:rsidP="00DC7B4A">
      <w:r>
        <w:t xml:space="preserve">This principle is illustrated in </w:t>
      </w:r>
      <w:r w:rsidR="00562E1A">
        <w:fldChar w:fldCharType="begin"/>
      </w:r>
      <w:r w:rsidR="00562E1A">
        <w:instrText xml:space="preserve"> REF _Ref82783120 \h </w:instrText>
      </w:r>
      <w:r w:rsidR="00562E1A">
        <w:fldChar w:fldCharType="separate"/>
      </w:r>
      <w:r w:rsidR="0067767C" w:rsidRPr="00960DD7">
        <w:t xml:space="preserve">Figure </w:t>
      </w:r>
      <w:r w:rsidR="0067767C">
        <w:rPr>
          <w:noProof/>
        </w:rPr>
        <w:t>3</w:t>
      </w:r>
      <w:r w:rsidR="0067767C">
        <w:noBreakHyphen/>
      </w:r>
      <w:r w:rsidR="0067767C">
        <w:rPr>
          <w:noProof/>
        </w:rPr>
        <w:t>2</w:t>
      </w:r>
      <w:r w:rsidR="00562E1A">
        <w:fldChar w:fldCharType="end"/>
      </w:r>
      <w:r>
        <w:t xml:space="preserve">. </w:t>
      </w:r>
      <w:r w:rsidRPr="00FE144A">
        <w:t xml:space="preserve">Both plant uptake and leaching are predicted </w:t>
      </w:r>
      <w:r>
        <w:t xml:space="preserve">by </w:t>
      </w:r>
      <w:r w:rsidRPr="00FE144A">
        <w:t>using both the buffer of available P bound in soil (</w:t>
      </w:r>
      <w:r>
        <w:t>in the figure defined as Olsen-P</w:t>
      </w:r>
      <w:r w:rsidRPr="00FE144A">
        <w:t>) and available P in solution (</w:t>
      </w:r>
      <w:r>
        <w:t xml:space="preserve">in the figure defined as </w:t>
      </w:r>
      <w:r w:rsidRPr="00FE144A">
        <w:t>Ca</w:t>
      </w:r>
      <w:r>
        <w:t>Cl</w:t>
      </w:r>
      <w:r w:rsidRPr="002C1627">
        <w:rPr>
          <w:vertAlign w:val="subscript"/>
        </w:rPr>
        <w:t>2</w:t>
      </w:r>
      <w:r>
        <w:t>-P</w:t>
      </w:r>
      <w:r w:rsidRPr="00FE144A">
        <w:t>)</w:t>
      </w:r>
      <w:r>
        <w:t xml:space="preserve">. The figure shows a critical available P level above which the crop yield does not further respond (critical level for crop yield in </w:t>
      </w:r>
      <w:r w:rsidR="00562E1A">
        <w:fldChar w:fldCharType="begin"/>
      </w:r>
      <w:r w:rsidR="00562E1A">
        <w:instrText xml:space="preserve"> REF _Ref82783120 \h </w:instrText>
      </w:r>
      <w:r w:rsidR="00562E1A">
        <w:fldChar w:fldCharType="separate"/>
      </w:r>
      <w:r w:rsidR="0067767C" w:rsidRPr="00960DD7">
        <w:t xml:space="preserve">Figure </w:t>
      </w:r>
      <w:r w:rsidR="0067767C">
        <w:rPr>
          <w:noProof/>
        </w:rPr>
        <w:t>3</w:t>
      </w:r>
      <w:r w:rsidR="0067767C">
        <w:noBreakHyphen/>
      </w:r>
      <w:r w:rsidR="0067767C">
        <w:rPr>
          <w:noProof/>
        </w:rPr>
        <w:t>2</w:t>
      </w:r>
      <w:r w:rsidR="00562E1A">
        <w:fldChar w:fldCharType="end"/>
      </w:r>
      <w:r>
        <w:t xml:space="preserve">), and a critical available P level above which the risk for P leaching increases (critical level for P leaching potential in </w:t>
      </w:r>
      <w:r w:rsidR="00562E1A">
        <w:fldChar w:fldCharType="begin"/>
      </w:r>
      <w:r w:rsidR="00562E1A">
        <w:instrText xml:space="preserve"> REF _Ref82783120 \h </w:instrText>
      </w:r>
      <w:r w:rsidR="00562E1A">
        <w:fldChar w:fldCharType="separate"/>
      </w:r>
      <w:r w:rsidR="0067767C" w:rsidRPr="00960DD7">
        <w:t xml:space="preserve">Figure </w:t>
      </w:r>
      <w:r w:rsidR="0067767C">
        <w:rPr>
          <w:noProof/>
        </w:rPr>
        <w:t>3</w:t>
      </w:r>
      <w:r w:rsidR="0067767C">
        <w:noBreakHyphen/>
      </w:r>
      <w:r w:rsidR="0067767C">
        <w:rPr>
          <w:noProof/>
        </w:rPr>
        <w:t>2</w:t>
      </w:r>
      <w:r w:rsidR="00562E1A">
        <w:fldChar w:fldCharType="end"/>
      </w:r>
      <w:r>
        <w:t xml:space="preserve">). Bai et al (2013) used </w:t>
      </w:r>
      <w:r w:rsidRPr="0064203C">
        <w:t xml:space="preserve">the change-point </w:t>
      </w:r>
      <w:r>
        <w:t>between available soil P and CaCl</w:t>
      </w:r>
      <w:r w:rsidRPr="00F52C56">
        <w:rPr>
          <w:vertAlign w:val="subscript"/>
        </w:rPr>
        <w:t>2</w:t>
      </w:r>
      <w:r>
        <w:t>-P, where CaCl</w:t>
      </w:r>
      <w:r w:rsidRPr="00F52C56">
        <w:rPr>
          <w:vertAlign w:val="subscript"/>
        </w:rPr>
        <w:t>2</w:t>
      </w:r>
      <w:r>
        <w:t>-P is indicative for dissolved P that is leached out of the system,</w:t>
      </w:r>
      <w:r w:rsidRPr="0064203C">
        <w:t xml:space="preserve"> </w:t>
      </w:r>
      <w:r>
        <w:t xml:space="preserve">as an indicator for risk (see also Heckrath et al., 1995 and Hesketh and Brookes, 2000) and </w:t>
      </w:r>
      <w:r>
        <w:lastRenderedPageBreak/>
        <w:t xml:space="preserve">in their approach </w:t>
      </w:r>
      <w:r w:rsidRPr="00393735">
        <w:t>this level</w:t>
      </w:r>
      <w:r w:rsidR="00743C70">
        <w:t xml:space="preserve"> is </w:t>
      </w:r>
      <w:r w:rsidRPr="00393735">
        <w:t xml:space="preserve">higher than the critical level (or target level) for crop yield. This implies that there is a safe range for available soil P levels, being enough for crop growth and not causing a risk for water quality, but this approach does not account for the potential risk of elevated P below the above mentioned change point (see section </w:t>
      </w:r>
      <w:r w:rsidR="00393735" w:rsidRPr="00393735">
        <w:fldChar w:fldCharType="begin"/>
      </w:r>
      <w:r w:rsidR="00393735" w:rsidRPr="00393735">
        <w:instrText xml:space="preserve"> REF _Ref64620277 \r \h </w:instrText>
      </w:r>
      <w:r w:rsidR="00393735">
        <w:instrText xml:space="preserve"> \* MERGEFORMAT </w:instrText>
      </w:r>
      <w:r w:rsidR="00393735" w:rsidRPr="00393735">
        <w:fldChar w:fldCharType="separate"/>
      </w:r>
      <w:r w:rsidR="0067767C">
        <w:t>3.3</w:t>
      </w:r>
      <w:r w:rsidR="00393735" w:rsidRPr="00393735">
        <w:fldChar w:fldCharType="end"/>
      </w:r>
      <w:r w:rsidRPr="00393735">
        <w:t>). Below critical limits for crop yields and water quality are given based on this principle</w:t>
      </w:r>
    </w:p>
    <w:p w14:paraId="25629A85" w14:textId="0182BDD7" w:rsidR="00DC7B4A" w:rsidRDefault="00DC7B4A" w:rsidP="00E663F3">
      <w:pPr>
        <w:spacing w:before="120"/>
      </w:pPr>
    </w:p>
    <w:p w14:paraId="162BBBE2" w14:textId="3773D393" w:rsidR="00DC7B4A" w:rsidRPr="00960DD7" w:rsidRDefault="00DC7B4A" w:rsidP="00DC7B4A">
      <w:pPr>
        <w:pStyle w:val="FormatvorlageBeschriftung"/>
      </w:pPr>
      <w:bookmarkStart w:id="147" w:name="_Ref82783120"/>
      <w:bookmarkStart w:id="148" w:name="_Toc83997433"/>
      <w:r w:rsidRPr="00960DD7">
        <w:t xml:space="preserve">Figure </w:t>
      </w:r>
      <w:r w:rsidR="00CA7716">
        <w:fldChar w:fldCharType="begin"/>
      </w:r>
      <w:r w:rsidR="00CA7716">
        <w:instrText xml:space="preserve"> STYLEREF 1 \s </w:instrText>
      </w:r>
      <w:r w:rsidR="00CA7716">
        <w:fldChar w:fldCharType="separate"/>
      </w:r>
      <w:r w:rsidR="0067767C">
        <w:rPr>
          <w:noProof/>
        </w:rPr>
        <w:t>3</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2</w:t>
      </w:r>
      <w:r w:rsidR="00CA7716">
        <w:fldChar w:fldCharType="end"/>
      </w:r>
      <w:bookmarkEnd w:id="147"/>
      <w:r w:rsidRPr="00960DD7">
        <w:t>:</w:t>
      </w:r>
      <w:r w:rsidRPr="00960DD7">
        <w:tab/>
      </w:r>
      <w:r w:rsidRPr="00DC7B4A">
        <w:t>Relationships between crop yield (left y-axis) and P leaching risk (right y-axis) and available soil P fertility status</w:t>
      </w:r>
      <w:bookmarkEnd w:id="148"/>
    </w:p>
    <w:p w14:paraId="366E1FE0" w14:textId="4034878E" w:rsidR="00DD6E4F" w:rsidRDefault="00DD6E4F" w:rsidP="00DD6E4F">
      <w:pPr>
        <w:pStyle w:val="EEATabcenter"/>
      </w:pPr>
      <w:r>
        <w:rPr>
          <w:noProof/>
          <w:lang w:eastAsia="en-GB"/>
        </w:rPr>
        <w:drawing>
          <wp:anchor distT="0" distB="0" distL="114300" distR="114300" simplePos="0" relativeHeight="251720192" behindDoc="0" locked="0" layoutInCell="1" allowOverlap="1" wp14:anchorId="0E6E8CED" wp14:editId="7633CA1A">
            <wp:simplePos x="0" y="0"/>
            <wp:positionH relativeFrom="column">
              <wp:posOffset>585198</wp:posOffset>
            </wp:positionH>
            <wp:positionV relativeFrom="paragraph">
              <wp:posOffset>-2359</wp:posOffset>
            </wp:positionV>
            <wp:extent cx="4792980" cy="2773680"/>
            <wp:effectExtent l="0" t="0" r="7620" b="7620"/>
            <wp:wrapTopAndBottom/>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2980" cy="2773680"/>
                    </a:xfrm>
                    <a:prstGeom prst="rect">
                      <a:avLst/>
                    </a:prstGeom>
                    <a:noFill/>
                  </pic:spPr>
                </pic:pic>
              </a:graphicData>
            </a:graphic>
          </wp:anchor>
        </w:drawing>
      </w:r>
    </w:p>
    <w:p w14:paraId="03AA4B6A" w14:textId="45DC88CD" w:rsidR="006859BE" w:rsidRPr="00714D8B" w:rsidRDefault="00393735" w:rsidP="00714D8B">
      <w:pPr>
        <w:pStyle w:val="EEASource"/>
      </w:pPr>
      <w:r w:rsidRPr="00714D8B">
        <w:t xml:space="preserve">Source: </w:t>
      </w:r>
      <w:r w:rsidRPr="00714D8B">
        <w:tab/>
        <w:t>Bai et al. (2013)</w:t>
      </w:r>
    </w:p>
    <w:p w14:paraId="18987FA5" w14:textId="77777777" w:rsidR="00393735" w:rsidRDefault="00393735" w:rsidP="00E663F3">
      <w:pPr>
        <w:spacing w:before="120"/>
      </w:pPr>
    </w:p>
    <w:p w14:paraId="73CCB1DD" w14:textId="177EDBFD" w:rsidR="00A13FA7" w:rsidRPr="000D5924" w:rsidRDefault="00C9755D" w:rsidP="009B7AAD">
      <w:pPr>
        <w:pStyle w:val="EEAStandardbold"/>
      </w:pPr>
      <w:r>
        <w:t>Target levels for a</w:t>
      </w:r>
      <w:r w:rsidR="00A13FA7" w:rsidRPr="000D5924">
        <w:t>vailable P in view of crop yields</w:t>
      </w:r>
    </w:p>
    <w:p w14:paraId="49AADD26" w14:textId="77777777" w:rsidR="00D24035" w:rsidRDefault="00D24035" w:rsidP="00DC7B4A"/>
    <w:p w14:paraId="0ED05935" w14:textId="345F5E21" w:rsidR="00A13FA7" w:rsidRDefault="00A13FA7" w:rsidP="00DC7B4A">
      <w:r>
        <w:t xml:space="preserve">The concept of thresholds for P has been commonly developed and applied in fertilizer recommendations: of common practice is the “Build-up and Maintenance” approach. The principle of this approach is that P application should </w:t>
      </w:r>
    </w:p>
    <w:p w14:paraId="7E23BC72" w14:textId="77777777" w:rsidR="009B7AAD" w:rsidRDefault="009B7AAD" w:rsidP="00DC7B4A"/>
    <w:p w14:paraId="69FB0BB6" w14:textId="09FCE352" w:rsidR="00A13FA7" w:rsidRDefault="00A13FA7" w:rsidP="009B7AAD">
      <w:pPr>
        <w:pStyle w:val="EEAbullet0"/>
      </w:pPr>
      <w:r w:rsidRPr="009B7AAD">
        <w:t xml:space="preserve">not occur in soils with available soil P levels above the change-point (threshold) for P leaching, </w:t>
      </w:r>
    </w:p>
    <w:p w14:paraId="45A97DA1" w14:textId="77777777" w:rsidR="009B7AAD" w:rsidRPr="009B7AAD" w:rsidRDefault="009B7AAD" w:rsidP="009B7AAD">
      <w:pPr>
        <w:pStyle w:val="EEAbullet0"/>
        <w:numPr>
          <w:ilvl w:val="0"/>
          <w:numId w:val="0"/>
        </w:numPr>
        <w:ind w:left="397"/>
      </w:pPr>
    </w:p>
    <w:p w14:paraId="5EFD2D91" w14:textId="77777777" w:rsidR="00A13FA7" w:rsidRPr="009B7AAD" w:rsidRDefault="00A13FA7" w:rsidP="009B7AAD">
      <w:pPr>
        <w:pStyle w:val="EEAbullet0"/>
      </w:pPr>
      <w:r w:rsidRPr="009B7AAD">
        <w:t>equal the P withdrawal in harvested crops*) if:</w:t>
      </w:r>
    </w:p>
    <w:p w14:paraId="31C9F575" w14:textId="77777777" w:rsidR="00A13FA7" w:rsidRDefault="00A13FA7" w:rsidP="009B7AAD">
      <w:pPr>
        <w:pStyle w:val="EEAbullet1"/>
      </w:pPr>
      <w:r>
        <w:t xml:space="preserve">available soil P &gt; critical level for crop yield </w:t>
      </w:r>
    </w:p>
    <w:p w14:paraId="2BDA64EB" w14:textId="3A303DFD" w:rsidR="00A13FA7" w:rsidRDefault="00A13FA7" w:rsidP="009B7AAD">
      <w:pPr>
        <w:pStyle w:val="EEAbullet1"/>
      </w:pPr>
      <w:r>
        <w:t xml:space="preserve">available soil P &lt; critical level for P leaching </w:t>
      </w:r>
    </w:p>
    <w:p w14:paraId="67C6F909" w14:textId="77777777" w:rsidR="009B7AAD" w:rsidRDefault="009B7AAD" w:rsidP="00A13FA7">
      <w:pPr>
        <w:pStyle w:val="EEAbullet0"/>
        <w:numPr>
          <w:ilvl w:val="0"/>
          <w:numId w:val="0"/>
        </w:numPr>
        <w:tabs>
          <w:tab w:val="clear" w:pos="397"/>
        </w:tabs>
        <w:ind w:left="1701"/>
      </w:pPr>
    </w:p>
    <w:p w14:paraId="745E55EC" w14:textId="77777777" w:rsidR="00A13FA7" w:rsidRDefault="00A13FA7" w:rsidP="009B7AAD">
      <w:pPr>
        <w:pStyle w:val="EEAbullet0"/>
      </w:pPr>
      <w:r>
        <w:t>equal the P withdrawal in harvested crop plus an additional amount of P fertilizer, to build up available soil P to the required agronomic level, if:</w:t>
      </w:r>
    </w:p>
    <w:p w14:paraId="621334AB" w14:textId="77777777" w:rsidR="00A13FA7" w:rsidRDefault="00A13FA7" w:rsidP="009B7AAD">
      <w:pPr>
        <w:pStyle w:val="EEAbullet1"/>
      </w:pPr>
      <w:proofErr w:type="gramStart"/>
      <w:r>
        <w:t>available</w:t>
      </w:r>
      <w:proofErr w:type="gramEnd"/>
      <w:r>
        <w:t xml:space="preserve"> soil P &lt; critical level for crop yield (Li et al. 2011). </w:t>
      </w:r>
    </w:p>
    <w:p w14:paraId="15D880BB" w14:textId="77777777" w:rsidR="00A13FA7" w:rsidRDefault="00A13FA7" w:rsidP="00A13FA7"/>
    <w:p w14:paraId="2DCF3C09" w14:textId="5034817D" w:rsidR="00A13FA7" w:rsidRDefault="00A13FA7" w:rsidP="00A13FA7">
      <w:r>
        <w:t xml:space="preserve">This approach is illustrated in </w:t>
      </w:r>
      <w:r w:rsidR="00616A32">
        <w:fldChar w:fldCharType="begin"/>
      </w:r>
      <w:r w:rsidR="00616A32">
        <w:instrText xml:space="preserve"> REF _Ref82784772 \h </w:instrText>
      </w:r>
      <w:r w:rsidR="00616A32">
        <w:fldChar w:fldCharType="separate"/>
      </w:r>
      <w:r w:rsidR="0067767C" w:rsidRPr="0001281B">
        <w:t xml:space="preserve">Figure </w:t>
      </w:r>
      <w:r w:rsidR="0067767C">
        <w:rPr>
          <w:noProof/>
        </w:rPr>
        <w:t>3</w:t>
      </w:r>
      <w:r w:rsidR="0067767C">
        <w:noBreakHyphen/>
      </w:r>
      <w:r w:rsidR="0067767C">
        <w:rPr>
          <w:noProof/>
        </w:rPr>
        <w:t>3</w:t>
      </w:r>
      <w:r w:rsidR="00616A32">
        <w:fldChar w:fldCharType="end"/>
      </w:r>
      <w:r>
        <w:t>. The objective is to move from the environmental risk level (very high P-status) or P deficient level (very low P-status) to the level of ensuring stable crop yield (medium P-status).</w:t>
      </w:r>
    </w:p>
    <w:p w14:paraId="115EFB6E" w14:textId="402FC1B9" w:rsidR="00393735" w:rsidRDefault="00393735" w:rsidP="00A13FA7"/>
    <w:p w14:paraId="0327A842" w14:textId="236E9B7C" w:rsidR="0001281B" w:rsidRDefault="0001281B">
      <w:pPr>
        <w:suppressAutoHyphens w:val="0"/>
        <w:jc w:val="left"/>
      </w:pPr>
      <w:r>
        <w:br w:type="page"/>
      </w:r>
    </w:p>
    <w:p w14:paraId="6580B2E1" w14:textId="4E35B092" w:rsidR="0001281B" w:rsidRPr="0001281B" w:rsidRDefault="005757A7" w:rsidP="008F3498">
      <w:pPr>
        <w:pStyle w:val="FormatvorlageBeschriftung"/>
      </w:pPr>
      <w:bookmarkStart w:id="149" w:name="_Ref82784772"/>
      <w:bookmarkStart w:id="150" w:name="_Toc83997434"/>
      <w:r>
        <w:rPr>
          <w:noProof/>
          <w:lang w:eastAsia="en-GB"/>
        </w:rPr>
        <w:lastRenderedPageBreak/>
        <w:drawing>
          <wp:anchor distT="0" distB="0" distL="114300" distR="114300" simplePos="0" relativeHeight="251750912" behindDoc="0" locked="0" layoutInCell="1" allowOverlap="1" wp14:anchorId="4575FE7D" wp14:editId="3361782F">
            <wp:simplePos x="0" y="0"/>
            <wp:positionH relativeFrom="margin">
              <wp:align>left</wp:align>
            </wp:positionH>
            <wp:positionV relativeFrom="paragraph">
              <wp:posOffset>334645</wp:posOffset>
            </wp:positionV>
            <wp:extent cx="4688205" cy="2639695"/>
            <wp:effectExtent l="0" t="0" r="0" b="825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8205" cy="2639695"/>
                    </a:xfrm>
                    <a:prstGeom prst="rect">
                      <a:avLst/>
                    </a:prstGeom>
                    <a:noFill/>
                  </pic:spPr>
                </pic:pic>
              </a:graphicData>
            </a:graphic>
            <wp14:sizeRelH relativeFrom="margin">
              <wp14:pctWidth>0</wp14:pctWidth>
            </wp14:sizeRelH>
            <wp14:sizeRelV relativeFrom="margin">
              <wp14:pctHeight>0</wp14:pctHeight>
            </wp14:sizeRelV>
          </wp:anchor>
        </w:drawing>
      </w:r>
      <w:r w:rsidR="0001281B" w:rsidRPr="0001281B">
        <w:t xml:space="preserve">Figure </w:t>
      </w:r>
      <w:r w:rsidR="00CA7716">
        <w:fldChar w:fldCharType="begin"/>
      </w:r>
      <w:r w:rsidR="00CA7716">
        <w:instrText xml:space="preserve"> STYLEREF 1 \s </w:instrText>
      </w:r>
      <w:r w:rsidR="00CA7716">
        <w:fldChar w:fldCharType="separate"/>
      </w:r>
      <w:r w:rsidR="0067767C">
        <w:rPr>
          <w:noProof/>
        </w:rPr>
        <w:t>3</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3</w:t>
      </w:r>
      <w:r w:rsidR="00CA7716">
        <w:fldChar w:fldCharType="end"/>
      </w:r>
      <w:bookmarkEnd w:id="149"/>
      <w:r w:rsidR="0001281B" w:rsidRPr="0001281B">
        <w:t>:</w:t>
      </w:r>
      <w:r w:rsidR="0001281B" w:rsidRPr="0001281B">
        <w:tab/>
        <w:t>Principle of building-up and maintenance approach</w:t>
      </w:r>
      <w:bookmarkEnd w:id="150"/>
    </w:p>
    <w:p w14:paraId="510D59C0" w14:textId="789C69ED" w:rsidR="00A13FA7" w:rsidRDefault="00A13FA7" w:rsidP="00A13FA7"/>
    <w:p w14:paraId="7FD3A9E5" w14:textId="34617A62" w:rsidR="009B7AAD" w:rsidRPr="00AF3399" w:rsidRDefault="009B7AAD" w:rsidP="00AF3399">
      <w:pPr>
        <w:pStyle w:val="EEASource"/>
      </w:pPr>
      <w:r w:rsidRPr="00AF3399">
        <w:t xml:space="preserve">Source: </w:t>
      </w:r>
      <w:r w:rsidRPr="00AF3399">
        <w:tab/>
        <w:t>Li et al.</w:t>
      </w:r>
      <w:r w:rsidR="00E9439F" w:rsidRPr="00AF3399">
        <w:t xml:space="preserve"> (</w:t>
      </w:r>
      <w:r w:rsidRPr="00AF3399">
        <w:t>2011</w:t>
      </w:r>
      <w:r w:rsidR="00E9439F" w:rsidRPr="00AF3399">
        <w:t>)</w:t>
      </w:r>
    </w:p>
    <w:p w14:paraId="59D49C20" w14:textId="77777777" w:rsidR="009B7AAD" w:rsidRDefault="009B7AAD" w:rsidP="00A13FA7"/>
    <w:p w14:paraId="0838F558" w14:textId="7FFA48D4" w:rsidR="00A13FA7" w:rsidRDefault="00A13FA7" w:rsidP="00A13FA7">
      <w:r>
        <w:t>The critical P level for crop yield can be derived by short term (months) pot experiments (in a laboratory r greenhouse) and in l</w:t>
      </w:r>
      <w:r w:rsidRPr="00CA28FD">
        <w:t xml:space="preserve">ong-term </w:t>
      </w:r>
      <w:r>
        <w:t xml:space="preserve">(years) </w:t>
      </w:r>
      <w:r w:rsidRPr="00CA28FD">
        <w:t xml:space="preserve">field experiments </w:t>
      </w:r>
      <w:r>
        <w:t>in which P is added to soil by fertilizer and crop yields are recorded while accounting for differences in soil P status. The advantage of short term (months) pot experiments is that soil P level is the only varying element while all other circumstances are equal; the disadvantage is the different environment conditions between laboratory and field responses. Inverse, the a</w:t>
      </w:r>
      <w:r w:rsidRPr="00807F8B">
        <w:t xml:space="preserve">dvantage </w:t>
      </w:r>
      <w:r>
        <w:t xml:space="preserve">of long-term field experiments is </w:t>
      </w:r>
      <w:r w:rsidRPr="00807F8B">
        <w:t xml:space="preserve">that the impacts are derived field conditions, but the disadvantage is that other factors </w:t>
      </w:r>
      <w:r>
        <w:t>affecting crop yield</w:t>
      </w:r>
      <w:r w:rsidRPr="00807F8B">
        <w:t xml:space="preserve">, </w:t>
      </w:r>
      <w:r>
        <w:t xml:space="preserve">such as </w:t>
      </w:r>
      <w:r w:rsidRPr="00807F8B">
        <w:t xml:space="preserve">climatic variables </w:t>
      </w:r>
      <w:r>
        <w:t xml:space="preserve">may </w:t>
      </w:r>
      <w:r w:rsidRPr="00807F8B">
        <w:t xml:space="preserve">change in </w:t>
      </w:r>
      <w:r>
        <w:t xml:space="preserve">time. </w:t>
      </w:r>
    </w:p>
    <w:p w14:paraId="094B6B82" w14:textId="69AAD32C" w:rsidR="00393735" w:rsidRDefault="00393735" w:rsidP="00E663F3">
      <w:pPr>
        <w:spacing w:before="120"/>
      </w:pPr>
    </w:p>
    <w:p w14:paraId="0C28D53D" w14:textId="49BE02BC" w:rsidR="00A13FA7" w:rsidRPr="00321205" w:rsidRDefault="00321205" w:rsidP="008F3498">
      <w:pPr>
        <w:pStyle w:val="FormatvorlageBeschriftung"/>
      </w:pPr>
      <w:bookmarkStart w:id="151" w:name="_Ref82783191"/>
      <w:bookmarkStart w:id="152" w:name="_Toc83997435"/>
      <w:r w:rsidRPr="00321205">
        <w:t xml:space="preserve">Figure </w:t>
      </w:r>
      <w:r w:rsidR="00CA7716">
        <w:fldChar w:fldCharType="begin"/>
      </w:r>
      <w:r w:rsidR="00CA7716">
        <w:instrText xml:space="preserve"> STYLEREF 1 \s </w:instrText>
      </w:r>
      <w:r w:rsidR="00CA7716">
        <w:fldChar w:fldCharType="separate"/>
      </w:r>
      <w:r w:rsidR="0067767C">
        <w:rPr>
          <w:noProof/>
        </w:rPr>
        <w:t>3</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4</w:t>
      </w:r>
      <w:r w:rsidR="00CA7716">
        <w:fldChar w:fldCharType="end"/>
      </w:r>
      <w:bookmarkEnd w:id="151"/>
      <w:r w:rsidRPr="00321205">
        <w:t>:</w:t>
      </w:r>
      <w:r w:rsidRPr="00321205">
        <w:tab/>
        <w:t>Left: relationships between relative crop yield and soil Olsen-P levels. Right: soil fertility class and extraction method</w:t>
      </w:r>
      <w:bookmarkEnd w:id="152"/>
    </w:p>
    <w:p w14:paraId="15893558" w14:textId="77777777" w:rsidR="00A13FA7" w:rsidRPr="00321205" w:rsidRDefault="00A13FA7" w:rsidP="00321205">
      <w:pPr>
        <w:pBdr>
          <w:top w:val="single" w:sz="4" w:space="1" w:color="auto"/>
          <w:bottom w:val="single" w:sz="4" w:space="1" w:color="auto"/>
        </w:pBdr>
        <w:ind w:left="1276" w:hanging="1276"/>
        <w:rPr>
          <w:b/>
          <w:bCs/>
          <w:szCs w:val="22"/>
          <w:highlight w:val="yellow"/>
        </w:rPr>
        <w:sectPr w:rsidR="00A13FA7" w:rsidRPr="00321205" w:rsidSect="00A13FA7">
          <w:footerReference w:type="first" r:id="rId37"/>
          <w:type w:val="continuous"/>
          <w:pgSz w:w="11900" w:h="16840"/>
          <w:pgMar w:top="1247" w:right="1247" w:bottom="1247" w:left="1247" w:header="0" w:footer="505" w:gutter="0"/>
          <w:cols w:space="708"/>
          <w:docGrid w:linePitch="360"/>
        </w:sectPr>
      </w:pPr>
    </w:p>
    <w:p w14:paraId="4BD01C94" w14:textId="18C12D4A" w:rsidR="00A13FA7" w:rsidRDefault="00A13FA7" w:rsidP="00A13FA7">
      <w:r w:rsidRPr="001D1628">
        <w:rPr>
          <w:noProof/>
          <w:lang w:eastAsia="en-GB"/>
        </w:rPr>
        <w:drawing>
          <wp:anchor distT="0" distB="0" distL="114300" distR="114300" simplePos="0" relativeHeight="251705856" behindDoc="0" locked="0" layoutInCell="1" allowOverlap="1" wp14:anchorId="18A6197D" wp14:editId="372C8EAD">
            <wp:simplePos x="0" y="0"/>
            <wp:positionH relativeFrom="column">
              <wp:posOffset>66675</wp:posOffset>
            </wp:positionH>
            <wp:positionV relativeFrom="paragraph">
              <wp:posOffset>95250</wp:posOffset>
            </wp:positionV>
            <wp:extent cx="3529330" cy="3333750"/>
            <wp:effectExtent l="0" t="0" r="0" b="0"/>
            <wp:wrapTopAndBottom/>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2409" t="213" r="2409" b="213"/>
                    <a:stretch/>
                  </pic:blipFill>
                  <pic:spPr bwMode="auto">
                    <a:xfrm>
                      <a:off x="0" y="0"/>
                      <a:ext cx="352933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p>
    <w:tbl>
      <w:tblPr>
        <w:tblStyle w:val="Tabellenraster"/>
        <w:tblW w:w="3604" w:type="dxa"/>
        <w:tblInd w:w="360" w:type="dxa"/>
        <w:tblBorders>
          <w:left w:val="none" w:sz="0" w:space="0" w:color="auto"/>
          <w:right w:val="none" w:sz="0" w:space="0" w:color="auto"/>
          <w:insideV w:val="none" w:sz="0" w:space="0" w:color="auto"/>
        </w:tblBorders>
        <w:tblLook w:val="04A0" w:firstRow="1" w:lastRow="0" w:firstColumn="1" w:lastColumn="0" w:noHBand="0" w:noVBand="1"/>
      </w:tblPr>
      <w:tblGrid>
        <w:gridCol w:w="1113"/>
        <w:gridCol w:w="889"/>
        <w:gridCol w:w="785"/>
        <w:gridCol w:w="817"/>
      </w:tblGrid>
      <w:tr w:rsidR="00A13FA7" w:rsidRPr="009B7AAD" w14:paraId="75601C89" w14:textId="77777777" w:rsidTr="009B7AAD">
        <w:tc>
          <w:tcPr>
            <w:tcW w:w="1046" w:type="dxa"/>
            <w:vMerge w:val="restart"/>
            <w:shd w:val="pct10" w:color="auto" w:fill="auto"/>
            <w:vAlign w:val="center"/>
          </w:tcPr>
          <w:p w14:paraId="09E528AB" w14:textId="77777777" w:rsidR="00A13FA7" w:rsidRPr="009B7AAD" w:rsidRDefault="00A13FA7" w:rsidP="009B7AAD">
            <w:pPr>
              <w:pStyle w:val="EEAtableleft"/>
              <w:rPr>
                <w:b/>
                <w:bCs/>
              </w:rPr>
            </w:pPr>
            <w:r w:rsidRPr="009B7AAD">
              <w:rPr>
                <w:b/>
                <w:bCs/>
              </w:rPr>
              <w:t>Fertility class</w:t>
            </w:r>
          </w:p>
        </w:tc>
        <w:tc>
          <w:tcPr>
            <w:tcW w:w="2558" w:type="dxa"/>
            <w:gridSpan w:val="3"/>
            <w:shd w:val="pct10" w:color="auto" w:fill="auto"/>
          </w:tcPr>
          <w:p w14:paraId="3755E5DD" w14:textId="77777777" w:rsidR="00A13FA7" w:rsidRPr="009B7AAD" w:rsidRDefault="00A13FA7" w:rsidP="009B7AAD">
            <w:pPr>
              <w:pStyle w:val="EEATabcenterbold"/>
            </w:pPr>
            <w:r w:rsidRPr="009B7AAD">
              <w:t>Extractable P concentration (ppm)</w:t>
            </w:r>
          </w:p>
        </w:tc>
      </w:tr>
      <w:tr w:rsidR="00A13FA7" w:rsidRPr="009B7AAD" w14:paraId="404797FF" w14:textId="77777777" w:rsidTr="009B7AAD">
        <w:tc>
          <w:tcPr>
            <w:tcW w:w="1046" w:type="dxa"/>
            <w:vMerge/>
            <w:shd w:val="pct10" w:color="auto" w:fill="auto"/>
            <w:vAlign w:val="center"/>
          </w:tcPr>
          <w:p w14:paraId="03339807" w14:textId="77777777" w:rsidR="00A13FA7" w:rsidRPr="009B7AAD" w:rsidRDefault="00A13FA7" w:rsidP="009B7AAD">
            <w:pPr>
              <w:pStyle w:val="EEAtableleft"/>
            </w:pPr>
          </w:p>
        </w:tc>
        <w:tc>
          <w:tcPr>
            <w:tcW w:w="874" w:type="dxa"/>
            <w:shd w:val="pct10" w:color="auto" w:fill="auto"/>
          </w:tcPr>
          <w:p w14:paraId="6D5BF984" w14:textId="77777777" w:rsidR="00A13FA7" w:rsidRPr="009B7AAD" w:rsidRDefault="00A13FA7" w:rsidP="009B7AAD">
            <w:pPr>
              <w:pStyle w:val="EEATabcenterbold"/>
            </w:pPr>
            <w:r w:rsidRPr="009B7AAD">
              <w:t>Mehlich 3-ICP</w:t>
            </w:r>
          </w:p>
        </w:tc>
        <w:tc>
          <w:tcPr>
            <w:tcW w:w="834" w:type="dxa"/>
            <w:shd w:val="pct10" w:color="auto" w:fill="auto"/>
          </w:tcPr>
          <w:p w14:paraId="7C8026E7" w14:textId="77777777" w:rsidR="00A13FA7" w:rsidRPr="009B7AAD" w:rsidRDefault="00A13FA7" w:rsidP="009B7AAD">
            <w:pPr>
              <w:pStyle w:val="EEATabcenterbold"/>
            </w:pPr>
            <w:r w:rsidRPr="009B7AAD">
              <w:t>Bray P1</w:t>
            </w:r>
          </w:p>
        </w:tc>
        <w:tc>
          <w:tcPr>
            <w:tcW w:w="850" w:type="dxa"/>
            <w:shd w:val="pct10" w:color="auto" w:fill="auto"/>
          </w:tcPr>
          <w:p w14:paraId="5B6156B0" w14:textId="77777777" w:rsidR="00A13FA7" w:rsidRPr="009B7AAD" w:rsidRDefault="00A13FA7" w:rsidP="009B7AAD">
            <w:pPr>
              <w:pStyle w:val="EEATabcenterbold"/>
            </w:pPr>
            <w:r w:rsidRPr="009B7AAD">
              <w:t xml:space="preserve">Olsen P </w:t>
            </w:r>
          </w:p>
        </w:tc>
      </w:tr>
      <w:tr w:rsidR="00A13FA7" w:rsidRPr="009B7AAD" w14:paraId="67825E01" w14:textId="77777777" w:rsidTr="009B7AAD">
        <w:tc>
          <w:tcPr>
            <w:tcW w:w="1046" w:type="dxa"/>
            <w:vAlign w:val="center"/>
          </w:tcPr>
          <w:p w14:paraId="159EE75C" w14:textId="77777777" w:rsidR="00A13FA7" w:rsidRPr="009B7AAD" w:rsidRDefault="00A13FA7" w:rsidP="009B7AAD">
            <w:pPr>
              <w:pStyle w:val="EEAtableleft"/>
            </w:pPr>
            <w:r w:rsidRPr="009B7AAD">
              <w:t>Very low</w:t>
            </w:r>
          </w:p>
        </w:tc>
        <w:tc>
          <w:tcPr>
            <w:tcW w:w="874" w:type="dxa"/>
          </w:tcPr>
          <w:p w14:paraId="0C1E601C" w14:textId="77777777" w:rsidR="00A13FA7" w:rsidRPr="009B7AAD" w:rsidRDefault="00A13FA7" w:rsidP="009B7AAD">
            <w:pPr>
              <w:pStyle w:val="EEATabcenter"/>
            </w:pPr>
            <w:r w:rsidRPr="009B7AAD">
              <w:t>&lt;15</w:t>
            </w:r>
          </w:p>
        </w:tc>
        <w:tc>
          <w:tcPr>
            <w:tcW w:w="834" w:type="dxa"/>
          </w:tcPr>
          <w:p w14:paraId="0459C1AE" w14:textId="77777777" w:rsidR="00A13FA7" w:rsidRPr="009B7AAD" w:rsidRDefault="00A13FA7" w:rsidP="009B7AAD">
            <w:pPr>
              <w:pStyle w:val="EEATabcenter"/>
            </w:pPr>
            <w:r w:rsidRPr="009B7AAD">
              <w:t>0-8</w:t>
            </w:r>
          </w:p>
        </w:tc>
        <w:tc>
          <w:tcPr>
            <w:tcW w:w="850" w:type="dxa"/>
          </w:tcPr>
          <w:p w14:paraId="0267E9D6" w14:textId="77777777" w:rsidR="00A13FA7" w:rsidRPr="009B7AAD" w:rsidRDefault="00A13FA7" w:rsidP="009B7AAD">
            <w:pPr>
              <w:pStyle w:val="EEATabcenter"/>
            </w:pPr>
            <w:r w:rsidRPr="009B7AAD">
              <w:t>0-5</w:t>
            </w:r>
          </w:p>
        </w:tc>
      </w:tr>
      <w:tr w:rsidR="00A13FA7" w:rsidRPr="009B7AAD" w14:paraId="3C90FF59" w14:textId="77777777" w:rsidTr="009B7AAD">
        <w:tc>
          <w:tcPr>
            <w:tcW w:w="1046" w:type="dxa"/>
            <w:vAlign w:val="center"/>
          </w:tcPr>
          <w:p w14:paraId="0F5D2D1A" w14:textId="77777777" w:rsidR="00A13FA7" w:rsidRPr="009B7AAD" w:rsidRDefault="00A13FA7" w:rsidP="009B7AAD">
            <w:pPr>
              <w:pStyle w:val="EEAtableleft"/>
            </w:pPr>
            <w:r w:rsidRPr="009B7AAD">
              <w:t>Low</w:t>
            </w:r>
          </w:p>
        </w:tc>
        <w:tc>
          <w:tcPr>
            <w:tcW w:w="874" w:type="dxa"/>
          </w:tcPr>
          <w:p w14:paraId="0497F5AC" w14:textId="77777777" w:rsidR="00A13FA7" w:rsidRPr="009B7AAD" w:rsidRDefault="00A13FA7" w:rsidP="009B7AAD">
            <w:pPr>
              <w:pStyle w:val="EEATabcenter"/>
            </w:pPr>
            <w:r w:rsidRPr="009B7AAD">
              <w:t>15-25</w:t>
            </w:r>
          </w:p>
        </w:tc>
        <w:tc>
          <w:tcPr>
            <w:tcW w:w="834" w:type="dxa"/>
          </w:tcPr>
          <w:p w14:paraId="54B875F0" w14:textId="77777777" w:rsidR="00A13FA7" w:rsidRPr="009B7AAD" w:rsidRDefault="00A13FA7" w:rsidP="009B7AAD">
            <w:pPr>
              <w:pStyle w:val="EEATabcenter"/>
            </w:pPr>
            <w:r w:rsidRPr="009B7AAD">
              <w:t>9-15</w:t>
            </w:r>
          </w:p>
        </w:tc>
        <w:tc>
          <w:tcPr>
            <w:tcW w:w="850" w:type="dxa"/>
          </w:tcPr>
          <w:p w14:paraId="439169B4" w14:textId="77777777" w:rsidR="00A13FA7" w:rsidRPr="009B7AAD" w:rsidRDefault="00A13FA7" w:rsidP="009B7AAD">
            <w:pPr>
              <w:pStyle w:val="EEATabcenter"/>
            </w:pPr>
            <w:r w:rsidRPr="009B7AAD">
              <w:t>6-9</w:t>
            </w:r>
          </w:p>
        </w:tc>
      </w:tr>
      <w:tr w:rsidR="00A13FA7" w:rsidRPr="009B7AAD" w14:paraId="76E9EBBC" w14:textId="77777777" w:rsidTr="009B7AAD">
        <w:tc>
          <w:tcPr>
            <w:tcW w:w="1046" w:type="dxa"/>
            <w:vAlign w:val="center"/>
          </w:tcPr>
          <w:p w14:paraId="21A0D4D2" w14:textId="77777777" w:rsidR="00A13FA7" w:rsidRPr="009B7AAD" w:rsidRDefault="00A13FA7" w:rsidP="009B7AAD">
            <w:pPr>
              <w:pStyle w:val="EEAtableleft"/>
            </w:pPr>
            <w:r w:rsidRPr="009B7AAD">
              <w:t>Medium (Optimum)</w:t>
            </w:r>
          </w:p>
        </w:tc>
        <w:tc>
          <w:tcPr>
            <w:tcW w:w="874" w:type="dxa"/>
            <w:vAlign w:val="center"/>
          </w:tcPr>
          <w:p w14:paraId="32114DD0" w14:textId="77777777" w:rsidR="00A13FA7" w:rsidRPr="009B7AAD" w:rsidRDefault="00A13FA7" w:rsidP="009B7AAD">
            <w:pPr>
              <w:pStyle w:val="EEATabcenter"/>
            </w:pPr>
            <w:r w:rsidRPr="009B7AAD">
              <w:t>25-35</w:t>
            </w:r>
          </w:p>
        </w:tc>
        <w:tc>
          <w:tcPr>
            <w:tcW w:w="834" w:type="dxa"/>
            <w:vAlign w:val="center"/>
          </w:tcPr>
          <w:p w14:paraId="5CE2F004" w14:textId="77777777" w:rsidR="00A13FA7" w:rsidRPr="009B7AAD" w:rsidRDefault="00A13FA7" w:rsidP="009B7AAD">
            <w:pPr>
              <w:pStyle w:val="EEATabcenter"/>
            </w:pPr>
            <w:r w:rsidRPr="009B7AAD">
              <w:t>16-20</w:t>
            </w:r>
          </w:p>
        </w:tc>
        <w:tc>
          <w:tcPr>
            <w:tcW w:w="850" w:type="dxa"/>
            <w:vAlign w:val="center"/>
          </w:tcPr>
          <w:p w14:paraId="091E9FED" w14:textId="77777777" w:rsidR="00A13FA7" w:rsidRPr="009B7AAD" w:rsidRDefault="00A13FA7" w:rsidP="009B7AAD">
            <w:pPr>
              <w:pStyle w:val="EEATabcenter"/>
            </w:pPr>
            <w:r w:rsidRPr="009B7AAD">
              <w:t>10-13</w:t>
            </w:r>
          </w:p>
        </w:tc>
      </w:tr>
      <w:tr w:rsidR="00A13FA7" w:rsidRPr="009B7AAD" w14:paraId="6BD4E35C" w14:textId="77777777" w:rsidTr="009B7AAD">
        <w:tc>
          <w:tcPr>
            <w:tcW w:w="1046" w:type="dxa"/>
            <w:vAlign w:val="center"/>
          </w:tcPr>
          <w:p w14:paraId="070584AF" w14:textId="77777777" w:rsidR="00A13FA7" w:rsidRPr="009B7AAD" w:rsidRDefault="00A13FA7" w:rsidP="009B7AAD">
            <w:pPr>
              <w:pStyle w:val="EEAtableleft"/>
            </w:pPr>
            <w:r w:rsidRPr="009B7AAD">
              <w:t>High</w:t>
            </w:r>
          </w:p>
        </w:tc>
        <w:tc>
          <w:tcPr>
            <w:tcW w:w="874" w:type="dxa"/>
          </w:tcPr>
          <w:p w14:paraId="79BFEAF0" w14:textId="77777777" w:rsidR="00A13FA7" w:rsidRPr="009B7AAD" w:rsidRDefault="00A13FA7" w:rsidP="009B7AAD">
            <w:pPr>
              <w:pStyle w:val="EEATabcenter"/>
            </w:pPr>
            <w:r w:rsidRPr="009B7AAD">
              <w:t>35-45</w:t>
            </w:r>
          </w:p>
        </w:tc>
        <w:tc>
          <w:tcPr>
            <w:tcW w:w="834" w:type="dxa"/>
          </w:tcPr>
          <w:p w14:paraId="52A4F053" w14:textId="77777777" w:rsidR="00A13FA7" w:rsidRPr="009B7AAD" w:rsidRDefault="00A13FA7" w:rsidP="009B7AAD">
            <w:pPr>
              <w:pStyle w:val="EEATabcenter"/>
            </w:pPr>
            <w:r w:rsidRPr="009B7AAD">
              <w:t>21-30</w:t>
            </w:r>
          </w:p>
        </w:tc>
        <w:tc>
          <w:tcPr>
            <w:tcW w:w="850" w:type="dxa"/>
          </w:tcPr>
          <w:p w14:paraId="1CA472CD" w14:textId="77777777" w:rsidR="00A13FA7" w:rsidRPr="009B7AAD" w:rsidRDefault="00A13FA7" w:rsidP="009B7AAD">
            <w:pPr>
              <w:pStyle w:val="EEATabcenter"/>
            </w:pPr>
            <w:r w:rsidRPr="009B7AAD">
              <w:t>14-18</w:t>
            </w:r>
          </w:p>
        </w:tc>
      </w:tr>
      <w:tr w:rsidR="00A13FA7" w:rsidRPr="009B7AAD" w14:paraId="3F7B936D" w14:textId="77777777" w:rsidTr="009B7AAD">
        <w:tc>
          <w:tcPr>
            <w:tcW w:w="1046" w:type="dxa"/>
            <w:vAlign w:val="center"/>
          </w:tcPr>
          <w:p w14:paraId="612325CC" w14:textId="77777777" w:rsidR="00A13FA7" w:rsidRPr="009B7AAD" w:rsidRDefault="00A13FA7" w:rsidP="009B7AAD">
            <w:pPr>
              <w:pStyle w:val="EEAtableleft"/>
            </w:pPr>
            <w:r w:rsidRPr="009B7AAD">
              <w:t>Very high</w:t>
            </w:r>
          </w:p>
        </w:tc>
        <w:tc>
          <w:tcPr>
            <w:tcW w:w="874" w:type="dxa"/>
          </w:tcPr>
          <w:p w14:paraId="1C6DFA2C" w14:textId="77777777" w:rsidR="00A13FA7" w:rsidRPr="009B7AAD" w:rsidRDefault="00A13FA7" w:rsidP="009B7AAD">
            <w:pPr>
              <w:pStyle w:val="EEATabcenter"/>
            </w:pPr>
            <w:r w:rsidRPr="009B7AAD">
              <w:t>&gt;45</w:t>
            </w:r>
          </w:p>
        </w:tc>
        <w:tc>
          <w:tcPr>
            <w:tcW w:w="834" w:type="dxa"/>
          </w:tcPr>
          <w:p w14:paraId="42233583" w14:textId="77777777" w:rsidR="00A13FA7" w:rsidRPr="009B7AAD" w:rsidRDefault="00A13FA7" w:rsidP="009B7AAD">
            <w:pPr>
              <w:pStyle w:val="EEATabcenter"/>
            </w:pPr>
            <w:r w:rsidRPr="009B7AAD">
              <w:t>&gt;30</w:t>
            </w:r>
          </w:p>
        </w:tc>
        <w:tc>
          <w:tcPr>
            <w:tcW w:w="850" w:type="dxa"/>
          </w:tcPr>
          <w:p w14:paraId="5BC8C006" w14:textId="77777777" w:rsidR="00A13FA7" w:rsidRPr="009B7AAD" w:rsidRDefault="00A13FA7" w:rsidP="009B7AAD">
            <w:pPr>
              <w:pStyle w:val="EEATabcenter"/>
            </w:pPr>
            <w:r w:rsidRPr="009B7AAD">
              <w:t>&gt;18</w:t>
            </w:r>
          </w:p>
        </w:tc>
      </w:tr>
    </w:tbl>
    <w:p w14:paraId="02D38FFF" w14:textId="0DBAFD9E" w:rsidR="00A13FA7" w:rsidRDefault="00A13FA7" w:rsidP="00A13FA7"/>
    <w:p w14:paraId="194ABCE7" w14:textId="4360C5B7" w:rsidR="00A72EB5" w:rsidRPr="00454EA7" w:rsidRDefault="00A72EB5" w:rsidP="00454EA7">
      <w:pPr>
        <w:pStyle w:val="EEASource"/>
      </w:pPr>
      <w:r w:rsidRPr="00454EA7">
        <w:t xml:space="preserve">Source: left: Bai et al. (2013), right:  literature review </w:t>
      </w:r>
      <w:r w:rsidRPr="0097191E">
        <w:t>Siatwiinda et al. (in prep)</w:t>
      </w:r>
    </w:p>
    <w:p w14:paraId="0947E37C" w14:textId="77777777" w:rsidR="00A13FA7" w:rsidRDefault="00A13FA7" w:rsidP="00A13FA7">
      <w:pPr>
        <w:sectPr w:rsidR="00A13FA7" w:rsidSect="00A13FA7">
          <w:type w:val="continuous"/>
          <w:pgSz w:w="11900" w:h="16840"/>
          <w:pgMar w:top="1134" w:right="1134" w:bottom="1134" w:left="1134" w:header="0" w:footer="505" w:gutter="0"/>
          <w:cols w:num="2" w:space="284" w:equalWidth="0">
            <w:col w:w="5670" w:space="284"/>
            <w:col w:w="3678"/>
          </w:cols>
          <w:docGrid w:linePitch="360"/>
        </w:sectPr>
      </w:pPr>
    </w:p>
    <w:p w14:paraId="3511E835" w14:textId="4004E8EC" w:rsidR="00E9439F" w:rsidRDefault="00E9439F" w:rsidP="00DC7B4A">
      <w:r>
        <w:lastRenderedPageBreak/>
        <w:t>A critical level is defined as the soil test level below which crop yield response to additional nutrients is expected, and above which crop yield do not respond anymore to nutrient additions</w:t>
      </w:r>
      <w:r w:rsidRPr="00D67871">
        <w:t xml:space="preserve"> (Voss, 1998). For example</w:t>
      </w:r>
      <w:r>
        <w:t xml:space="preserve">, (Bai et al., 2013 using long-term experiments) assessed critical Olsen-P value for maize, </w:t>
      </w:r>
      <w:r w:rsidR="00E53021">
        <w:t>wheat,</w:t>
      </w:r>
      <w:r>
        <w:t xml:space="preserve"> and rice, of 18, 14 and 11 mg kg</w:t>
      </w:r>
      <w:r w:rsidRPr="005A4F6C">
        <w:rPr>
          <w:vertAlign w:val="superscript"/>
        </w:rPr>
        <w:t>−1</w:t>
      </w:r>
      <w:r>
        <w:t>, respectively, based on relationships between crop yield and soil Olsen-P (</w:t>
      </w:r>
      <w:r w:rsidR="00562E1A">
        <w:rPr>
          <w:highlight w:val="yellow"/>
        </w:rPr>
        <w:fldChar w:fldCharType="begin"/>
      </w:r>
      <w:r w:rsidR="00562E1A">
        <w:instrText xml:space="preserve"> REF _Ref82783191 \h </w:instrText>
      </w:r>
      <w:r w:rsidR="00562E1A">
        <w:rPr>
          <w:highlight w:val="yellow"/>
        </w:rPr>
      </w:r>
      <w:r w:rsidR="00562E1A">
        <w:rPr>
          <w:highlight w:val="yellow"/>
        </w:rPr>
        <w:fldChar w:fldCharType="separate"/>
      </w:r>
      <w:r w:rsidR="0067767C" w:rsidRPr="00321205">
        <w:t xml:space="preserve">Figure </w:t>
      </w:r>
      <w:r w:rsidR="0067767C">
        <w:rPr>
          <w:noProof/>
        </w:rPr>
        <w:t>3</w:t>
      </w:r>
      <w:r w:rsidR="0067767C">
        <w:noBreakHyphen/>
      </w:r>
      <w:r w:rsidR="0067767C">
        <w:rPr>
          <w:noProof/>
        </w:rPr>
        <w:t>4</w:t>
      </w:r>
      <w:r w:rsidR="00562E1A">
        <w:rPr>
          <w:highlight w:val="yellow"/>
        </w:rPr>
        <w:fldChar w:fldCharType="end"/>
      </w:r>
      <w:r>
        <w:t xml:space="preserve"> Left).</w:t>
      </w:r>
      <w:r w:rsidRPr="00F15FFD">
        <w:t xml:space="preserve"> </w:t>
      </w:r>
      <w:r>
        <w:t>Overall, critical Olsen-P values ranged mostly from 7 mg to 18 mg kg</w:t>
      </w:r>
      <w:r w:rsidRPr="005A4F6C">
        <w:rPr>
          <w:vertAlign w:val="superscript"/>
        </w:rPr>
        <w:t>−1</w:t>
      </w:r>
      <w:r>
        <w:t xml:space="preserve">. Critical limits significantly vary, depending on the type of analysis (extraction method), crop type and soil properties, and thus </w:t>
      </w:r>
      <w:r w:rsidR="00E53021">
        <w:t>must</w:t>
      </w:r>
      <w:r>
        <w:t xml:space="preserve"> be experimentally derived. </w:t>
      </w:r>
      <w:r w:rsidRPr="001D7259">
        <w:t xml:space="preserve">The </w:t>
      </w:r>
      <w:r>
        <w:t xml:space="preserve">impact of extraction method is illustrated in </w:t>
      </w:r>
      <w:r w:rsidRPr="001D7259">
        <w:t>Figure 3-4 right.</w:t>
      </w:r>
    </w:p>
    <w:p w14:paraId="017F83E8" w14:textId="77777777" w:rsidR="00E9439F" w:rsidRDefault="00E9439F" w:rsidP="00DC7B4A"/>
    <w:p w14:paraId="6002F2B9" w14:textId="72A84A81" w:rsidR="00A13FA7" w:rsidRPr="000D5924" w:rsidRDefault="00581FE6" w:rsidP="009B7AAD">
      <w:pPr>
        <w:pStyle w:val="EEAStandardbold"/>
      </w:pPr>
      <w:r>
        <w:t>Critical limits for d</w:t>
      </w:r>
      <w:r w:rsidR="00A13FA7" w:rsidRPr="000D5924">
        <w:t>issolved P and soil P saturation index in view of water quality</w:t>
      </w:r>
    </w:p>
    <w:p w14:paraId="5E3024CE" w14:textId="77777777" w:rsidR="00D24035" w:rsidRDefault="00D24035" w:rsidP="00DC7B4A"/>
    <w:p w14:paraId="6C268BF4" w14:textId="15A46129" w:rsidR="00A13FA7" w:rsidRDefault="00A13FA7" w:rsidP="00DC7B4A">
      <w:r>
        <w:t>Thresholds for P in the soil are also important to protect surface- and groundwaters from eutrophication</w:t>
      </w:r>
      <w:r w:rsidRPr="00F15FFD">
        <w:t xml:space="preserve">. </w:t>
      </w:r>
      <w:r>
        <w:t xml:space="preserve">For that purpose, the indicator “P saturation index” has been introduced above, i.e. </w:t>
      </w:r>
      <w:r w:rsidRPr="00004E3E">
        <w:t>the ratio</w:t>
      </w:r>
      <w:r>
        <w:t>:</w:t>
      </w:r>
      <w:r w:rsidRPr="00004E3E">
        <w:t xml:space="preserve"> </w:t>
      </w:r>
    </w:p>
    <w:p w14:paraId="1DD40D4C" w14:textId="77777777" w:rsidR="00A13FA7" w:rsidRDefault="00A13FA7" w:rsidP="00A13FA7">
      <w:pPr>
        <w:spacing w:before="120"/>
      </w:pPr>
      <w:r w:rsidRPr="00004E3E">
        <w:t>P</w:t>
      </w:r>
      <w:r w:rsidRPr="007D4374">
        <w:rPr>
          <w:vertAlign w:val="subscript"/>
        </w:rPr>
        <w:t>ox</w:t>
      </w:r>
      <w:proofErr w:type="gramStart"/>
      <w:r w:rsidRPr="00004E3E">
        <w:t>/(</w:t>
      </w:r>
      <w:proofErr w:type="gramEnd"/>
      <w:r w:rsidRPr="00004E3E">
        <w:t>Fe + Al)</w:t>
      </w:r>
      <w:r w:rsidRPr="007D4374">
        <w:rPr>
          <w:vertAlign w:val="subscript"/>
        </w:rPr>
        <w:t>ox</w:t>
      </w:r>
    </w:p>
    <w:p w14:paraId="6B0EE79C" w14:textId="10B9E318" w:rsidR="00A13FA7" w:rsidRDefault="00A13FA7" w:rsidP="00E53021">
      <w:pPr>
        <w:spacing w:before="120"/>
      </w:pPr>
      <w:r>
        <w:t xml:space="preserve">The </w:t>
      </w:r>
      <w:r w:rsidRPr="006A0927">
        <w:t xml:space="preserve">critical </w:t>
      </w:r>
      <w:r w:rsidRPr="006D5085">
        <w:rPr>
          <w:b/>
          <w:bCs/>
        </w:rPr>
        <w:t>P saturation index (PSI)</w:t>
      </w:r>
      <w:r>
        <w:t xml:space="preserve"> </w:t>
      </w:r>
      <w:r w:rsidRPr="006A0927">
        <w:t xml:space="preserve">ranges mostly </w:t>
      </w:r>
      <w:r>
        <w:t>around 0.15, i.e. 15% (12.5-17.5%) of the concentration of (Al+Fe</w:t>
      </w:r>
      <w:proofErr w:type="gramStart"/>
      <w:r>
        <w:t>)</w:t>
      </w:r>
      <w:r w:rsidRPr="007D4374">
        <w:rPr>
          <w:vertAlign w:val="subscript"/>
        </w:rPr>
        <w:t>ox</w:t>
      </w:r>
      <w:proofErr w:type="gramEnd"/>
      <w:r>
        <w:t xml:space="preserve">, </w:t>
      </w:r>
      <w:r w:rsidRPr="006A0927">
        <w:t xml:space="preserve">based on data for the Netherlands </w:t>
      </w:r>
      <w:r>
        <w:t>(</w:t>
      </w:r>
      <w:r w:rsidRPr="00E5551D">
        <w:t>Schoumans</w:t>
      </w:r>
      <w:r>
        <w:t xml:space="preserve"> and </w:t>
      </w:r>
      <w:r w:rsidRPr="00E5551D">
        <w:t>Chardon,</w:t>
      </w:r>
      <w:r>
        <w:t xml:space="preserve"> </w:t>
      </w:r>
      <w:r w:rsidRPr="00E5551D">
        <w:t>2015</w:t>
      </w:r>
      <w:r>
        <w:t xml:space="preserve">) </w:t>
      </w:r>
      <w:r w:rsidRPr="006A0927">
        <w:t xml:space="preserve">and Canada </w:t>
      </w:r>
      <w:r>
        <w:t>(</w:t>
      </w:r>
      <w:r w:rsidRPr="00E5551D">
        <w:t>Beauchemi</w:t>
      </w:r>
      <w:r>
        <w:t xml:space="preserve">n and </w:t>
      </w:r>
      <w:r w:rsidRPr="00E5551D">
        <w:t xml:space="preserve">Simard, </w:t>
      </w:r>
      <w:r>
        <w:t>1999)</w:t>
      </w:r>
      <w:r w:rsidRPr="006A0927">
        <w:t>.</w:t>
      </w:r>
      <w:r>
        <w:t xml:space="preserve"> Commonly, the critical value is mostly expressed as </w:t>
      </w:r>
      <w:r w:rsidRPr="006A0927">
        <w:t xml:space="preserve">25%-35% </w:t>
      </w:r>
      <w:r>
        <w:t>of a P sorption capacity, which in turn is calculated as 0.5 x (Al+Fe</w:t>
      </w:r>
      <w:proofErr w:type="gramStart"/>
      <w:r>
        <w:t>)</w:t>
      </w:r>
      <w:r w:rsidRPr="007D4374">
        <w:rPr>
          <w:vertAlign w:val="subscript"/>
        </w:rPr>
        <w:t>ox</w:t>
      </w:r>
      <w:proofErr w:type="gramEnd"/>
      <w:r>
        <w:t xml:space="preserve"> </w:t>
      </w:r>
      <w:r w:rsidRPr="006A0927">
        <w:t>for sandy soils and non-calcareous clay soils</w:t>
      </w:r>
      <w:r>
        <w:t xml:space="preserve">. The critical PSI </w:t>
      </w:r>
      <w:r w:rsidRPr="00E5551D">
        <w:t xml:space="preserve">can be related to a </w:t>
      </w:r>
      <w:r w:rsidRPr="006D5085">
        <w:rPr>
          <w:b/>
          <w:bCs/>
        </w:rPr>
        <w:t>critical value for P in soil water (Pw)</w:t>
      </w:r>
      <w:r w:rsidRPr="00E5551D">
        <w:t xml:space="preserve"> according to (Chardon, 1994):</w:t>
      </w:r>
      <w:r>
        <w:t xml:space="preserve"> </w:t>
      </w:r>
    </w:p>
    <w:p w14:paraId="35D8450F" w14:textId="77777777" w:rsidR="00A13FA7" w:rsidRDefault="00A13FA7" w:rsidP="00A13FA7">
      <w:pPr>
        <w:spacing w:before="120"/>
        <w:rPr>
          <w:vertAlign w:val="superscript"/>
        </w:rPr>
      </w:pPr>
      <w:r w:rsidRPr="00E5551D">
        <w:t>Pw = 481 * PSI</w:t>
      </w:r>
      <w:r w:rsidRPr="00E5551D">
        <w:rPr>
          <w:vertAlign w:val="superscript"/>
        </w:rPr>
        <w:t>1.433</w:t>
      </w:r>
    </w:p>
    <w:p w14:paraId="44DE0DD1" w14:textId="77777777" w:rsidR="00A13FA7" w:rsidRDefault="00A13FA7" w:rsidP="00A13FA7">
      <w:pPr>
        <w:spacing w:before="120"/>
      </w:pPr>
      <w:proofErr w:type="gramStart"/>
      <w:r w:rsidRPr="00E5551D">
        <w:t>with</w:t>
      </w:r>
      <w:proofErr w:type="gramEnd"/>
      <w:r w:rsidRPr="00E5551D">
        <w:t xml:space="preserve"> PSI = P</w:t>
      </w:r>
      <w:r w:rsidRPr="006D5085">
        <w:rPr>
          <w:vertAlign w:val="subscript"/>
        </w:rPr>
        <w:t>ox</w:t>
      </w:r>
      <w:r w:rsidRPr="00E5551D">
        <w:t>/(Fe</w:t>
      </w:r>
      <w:r w:rsidRPr="006D5085">
        <w:rPr>
          <w:vertAlign w:val="subscript"/>
        </w:rPr>
        <w:t>ox</w:t>
      </w:r>
      <w:r w:rsidRPr="00E5551D">
        <w:t>+Al</w:t>
      </w:r>
      <w:r w:rsidRPr="006D5085">
        <w:rPr>
          <w:vertAlign w:val="subscript"/>
        </w:rPr>
        <w:t>ox</w:t>
      </w:r>
      <w:r w:rsidRPr="00E5551D">
        <w:t>)</w:t>
      </w:r>
    </w:p>
    <w:p w14:paraId="15C4DBB4" w14:textId="77777777" w:rsidR="00A13FA7" w:rsidRDefault="00A13FA7" w:rsidP="00E53021">
      <w:pPr>
        <w:spacing w:before="120"/>
      </w:pPr>
      <w:r>
        <w:t xml:space="preserve">Using a PSI of 0.15 would lead to a critical Pw level near 20 </w:t>
      </w:r>
      <w:r w:rsidRPr="00A91DF4">
        <w:t>mg P l</w:t>
      </w:r>
      <w:r w:rsidRPr="00A91DF4">
        <w:rPr>
          <w:vertAlign w:val="superscript"/>
        </w:rPr>
        <w:t>-1</w:t>
      </w:r>
      <w:r>
        <w:t xml:space="preserve">, which is slightly higher than </w:t>
      </w:r>
      <w:r w:rsidRPr="00A91DF4">
        <w:t xml:space="preserve">the </w:t>
      </w:r>
      <w:r>
        <w:t xml:space="preserve">agronomic optimum Pw </w:t>
      </w:r>
      <w:r w:rsidRPr="00A91DF4">
        <w:t xml:space="preserve">level </w:t>
      </w:r>
      <w:r>
        <w:t xml:space="preserve">for crop </w:t>
      </w:r>
      <w:r w:rsidRPr="0097191E">
        <w:t xml:space="preserve">yield found by Jungk et al. </w:t>
      </w:r>
      <w:r w:rsidRPr="0097191E">
        <w:rPr>
          <w:bCs/>
        </w:rPr>
        <w:t>(1993) (</w:t>
      </w:r>
      <w:r w:rsidRPr="0097191E">
        <w:t>near 10 mg P l</w:t>
      </w:r>
      <w:r w:rsidRPr="0097191E">
        <w:rPr>
          <w:vertAlign w:val="superscript"/>
        </w:rPr>
        <w:t>-1</w:t>
      </w:r>
      <w:r w:rsidRPr="0097191E">
        <w:t>), it is lower than an agronomic optimum Pw near 35, as suggested by Ehlert et al. (2004) in the</w:t>
      </w:r>
      <w:r w:rsidRPr="00A91DF4">
        <w:t xml:space="preserve"> Netherlands</w:t>
      </w:r>
      <w:r>
        <w:t xml:space="preserve">. </w:t>
      </w:r>
      <w:r w:rsidRPr="00F15FFD">
        <w:t xml:space="preserve">For some aquatic systems, </w:t>
      </w:r>
      <w:r>
        <w:t>it has also been found that</w:t>
      </w:r>
      <w:r w:rsidRPr="00F15FFD">
        <w:t xml:space="preserve"> relatively low soil P levels may lead to P runoff that </w:t>
      </w:r>
      <w:r>
        <w:t>exceed</w:t>
      </w:r>
      <w:r w:rsidRPr="00F15FFD">
        <w:t xml:space="preserve"> a critical threshold for P in surface water </w:t>
      </w:r>
      <w:r>
        <w:t>(</w:t>
      </w:r>
      <w:r w:rsidRPr="00F15FFD">
        <w:t xml:space="preserve">Hart and Quin, </w:t>
      </w:r>
      <w:r>
        <w:t>2004)</w:t>
      </w:r>
      <w:r w:rsidRPr="00F15FFD">
        <w:t>. There</w:t>
      </w:r>
      <w:r>
        <w:t xml:space="preserve"> is thus a potential overlap between </w:t>
      </w:r>
      <w:r w:rsidRPr="00F15FFD">
        <w:t xml:space="preserve">optimal P levels </w:t>
      </w:r>
      <w:r>
        <w:t xml:space="preserve">for crop yield and critical p levels for </w:t>
      </w:r>
      <w:r w:rsidRPr="00F15FFD">
        <w:t>water quality</w:t>
      </w:r>
      <w:r>
        <w:t>,</w:t>
      </w:r>
      <w:r w:rsidRPr="00F15FFD">
        <w:t xml:space="preserve"> </w:t>
      </w:r>
      <w:r>
        <w:t xml:space="preserve">and this </w:t>
      </w:r>
      <w:r w:rsidRPr="00F15FFD">
        <w:t>should be kept in</w:t>
      </w:r>
      <w:r>
        <w:t xml:space="preserve"> mind when using agronomic optimum P levels, as threshold for P fertilization.</w:t>
      </w:r>
    </w:p>
    <w:p w14:paraId="3C2D3486" w14:textId="77777777" w:rsidR="00A13FA7" w:rsidRDefault="00A13FA7" w:rsidP="00E53021">
      <w:pPr>
        <w:spacing w:before="120"/>
      </w:pPr>
    </w:p>
    <w:p w14:paraId="2D44D1FF" w14:textId="35F35DBB" w:rsidR="00A13FA7" w:rsidRPr="00261BB8" w:rsidRDefault="008F36FC" w:rsidP="009B7AAD">
      <w:pPr>
        <w:pStyle w:val="EEAStandardbold"/>
      </w:pPr>
      <w:r w:rsidRPr="008F36FC">
        <w:t xml:space="preserve">Critical limits for N/P ratio in the organic layer of </w:t>
      </w:r>
      <w:r>
        <w:t>f</w:t>
      </w:r>
      <w:r w:rsidR="00A13FA7" w:rsidRPr="00261BB8">
        <w:t>orest soils</w:t>
      </w:r>
    </w:p>
    <w:p w14:paraId="64450FE1" w14:textId="77777777" w:rsidR="00D24035" w:rsidRDefault="00D24035" w:rsidP="00DC7B4A"/>
    <w:p w14:paraId="48C434E2" w14:textId="4BD5CDCD" w:rsidR="00A95A1D" w:rsidRDefault="00A13FA7" w:rsidP="00DC7B4A">
      <w:r w:rsidRPr="00261BB8">
        <w:t>In principle, there are no critical limits for soil P status indicators or for N/P ratios with respect to impacts of growth or nutritional quality of forests. Instead, data are given on the P concentration and N/P ratios in foliage (needles and leaves) that are indicative for P limitation (P concentration) or imbalanced growth (N/P ratios). Critical N</w:t>
      </w:r>
      <w:proofErr w:type="gramStart"/>
      <w:r w:rsidRPr="00261BB8">
        <w:t>:P</w:t>
      </w:r>
      <w:proofErr w:type="gramEnd"/>
      <w:r w:rsidRPr="00261BB8">
        <w:t xml:space="preserve"> ratios var</w:t>
      </w:r>
      <w:r>
        <w:t>y</w:t>
      </w:r>
      <w:r w:rsidRPr="00261BB8">
        <w:t xml:space="preserve"> strongly between coniferous and deciduous tree species, i.e. for conifers, an N:P &lt; 12:1 indicates N limitation and a N:P &gt;18:1 P limitation, while for deciduous trees an N:P &lt; 17:1 indicates N limitation </w:t>
      </w:r>
      <w:bookmarkStart w:id="153" w:name="_Hlk59047338"/>
      <w:r w:rsidRPr="00261BB8">
        <w:t xml:space="preserve">and N:P &gt;25:1 </w:t>
      </w:r>
      <w:bookmarkEnd w:id="153"/>
      <w:r w:rsidRPr="00261BB8">
        <w:t>P limitation (Mellert and Gottlein, 2012). One could use these values as indictors for the N/P in the organic layer since that layer rather reflects the N/P ratio in foliage</w:t>
      </w:r>
      <w:r w:rsidR="00A95A1D">
        <w:t>, so</w:t>
      </w:r>
      <w:r w:rsidR="0079012B">
        <w:t>:</w:t>
      </w:r>
      <w:r w:rsidR="00A95A1D">
        <w:t xml:space="preserve"> </w:t>
      </w:r>
    </w:p>
    <w:p w14:paraId="2A2DA096" w14:textId="77777777" w:rsidR="00A95A1D" w:rsidRDefault="00A95A1D" w:rsidP="00DC7B4A">
      <w:r w:rsidRPr="00261BB8">
        <w:t>N/P ratio in organic layer</w:t>
      </w:r>
      <w:r>
        <w:t xml:space="preserve"> &gt;</w:t>
      </w:r>
      <w:r w:rsidRPr="00261BB8">
        <w:t xml:space="preserve"> 18 (coniferous forests</w:t>
      </w:r>
      <w:r>
        <w:t>)</w:t>
      </w:r>
      <w:r w:rsidRPr="00261BB8">
        <w:t xml:space="preserve"> </w:t>
      </w:r>
    </w:p>
    <w:p w14:paraId="33767635" w14:textId="77777777" w:rsidR="00A95A1D" w:rsidRPr="00261BB8" w:rsidRDefault="00A95A1D" w:rsidP="00DC7B4A">
      <w:r w:rsidRPr="00261BB8">
        <w:t>N/P ratio in organic layer</w:t>
      </w:r>
      <w:r>
        <w:t xml:space="preserve"> &gt; </w:t>
      </w:r>
      <w:r w:rsidRPr="00261BB8">
        <w:t xml:space="preserve">25 (deciduous forests) </w:t>
      </w:r>
    </w:p>
    <w:p w14:paraId="7DA52A30" w14:textId="6AAC7936" w:rsidR="008F64E4" w:rsidRPr="00E53021" w:rsidRDefault="00A13FA7" w:rsidP="00E53021">
      <w:pPr>
        <w:spacing w:before="120"/>
      </w:pPr>
      <w:r w:rsidRPr="00261BB8">
        <w:t>Most likely the values should be lower since N in foliage is retained before litterfall. Data of 150 Dutch sandy soil</w:t>
      </w:r>
      <w:r w:rsidR="00743C70">
        <w:t>s</w:t>
      </w:r>
      <w:r w:rsidRPr="00261BB8">
        <w:t xml:space="preserve"> show for example that 95% of the sites had </w:t>
      </w:r>
      <w:proofErr w:type="gramStart"/>
      <w:r w:rsidRPr="00261BB8">
        <w:t>a</w:t>
      </w:r>
      <w:proofErr w:type="gramEnd"/>
      <w:r w:rsidRPr="00261BB8">
        <w:t xml:space="preserve"> N/P ratio above 18, indicating P limitation in almost all coniferous sites, whereas more than 60% had a N/P ratio above 25, indicating P limitation for at least 60% of those sites (De Vries and Leeters. 2001). </w:t>
      </w:r>
    </w:p>
    <w:p w14:paraId="6AB7BF94" w14:textId="5F56F6E5" w:rsidR="008F64E4" w:rsidRDefault="008F64E4">
      <w:pPr>
        <w:suppressAutoHyphens w:val="0"/>
        <w:jc w:val="left"/>
        <w:rPr>
          <w:highlight w:val="yellow"/>
        </w:rPr>
      </w:pPr>
      <w:r>
        <w:rPr>
          <w:highlight w:val="yellow"/>
        </w:rPr>
        <w:br w:type="page"/>
      </w:r>
    </w:p>
    <w:p w14:paraId="3632EC7B" w14:textId="05407ADC" w:rsidR="00C73D0E" w:rsidRDefault="00861B19" w:rsidP="00F10062">
      <w:pPr>
        <w:pStyle w:val="berschrift1"/>
        <w:tabs>
          <w:tab w:val="clear" w:pos="567"/>
        </w:tabs>
        <w:ind w:left="426" w:hanging="426"/>
      </w:pPr>
      <w:bookmarkStart w:id="154" w:name="_Ref64620193"/>
      <w:bookmarkStart w:id="155" w:name="_Ref64620250"/>
      <w:bookmarkStart w:id="156" w:name="_Ref64620319"/>
      <w:bookmarkStart w:id="157" w:name="_Ref64620351"/>
      <w:bookmarkStart w:id="158" w:name="_Toc83997348"/>
      <w:r>
        <w:lastRenderedPageBreak/>
        <w:t>Soil acidification</w:t>
      </w:r>
      <w:bookmarkEnd w:id="154"/>
      <w:bookmarkEnd w:id="155"/>
      <w:bookmarkEnd w:id="156"/>
      <w:bookmarkEnd w:id="157"/>
      <w:bookmarkEnd w:id="158"/>
    </w:p>
    <w:p w14:paraId="1C0C4198" w14:textId="71EC3075" w:rsidR="006C39AA" w:rsidRDefault="006C39AA" w:rsidP="006C39AA"/>
    <w:tbl>
      <w:tblPr>
        <w:tblW w:w="0" w:type="auto"/>
        <w:shd w:val="clear" w:color="auto" w:fill="D9D9D9" w:themeFill="background1" w:themeFillShade="D9"/>
        <w:tblLook w:val="04A0" w:firstRow="1" w:lastRow="0" w:firstColumn="1" w:lastColumn="0" w:noHBand="0" w:noVBand="1"/>
      </w:tblPr>
      <w:tblGrid>
        <w:gridCol w:w="9406"/>
      </w:tblGrid>
      <w:tr w:rsidR="006C39AA" w14:paraId="175C76CC" w14:textId="77777777" w:rsidTr="00AA0AA8">
        <w:tc>
          <w:tcPr>
            <w:tcW w:w="9406" w:type="dxa"/>
            <w:shd w:val="clear" w:color="auto" w:fill="D9D9D9" w:themeFill="background1" w:themeFillShade="D9"/>
          </w:tcPr>
          <w:p w14:paraId="2CE3B5B8" w14:textId="77777777" w:rsidR="006C39AA" w:rsidRDefault="006C39AA" w:rsidP="00AA0AA8">
            <w:pPr>
              <w:pStyle w:val="EEAspacesm"/>
            </w:pPr>
          </w:p>
          <w:p w14:paraId="5B884F71" w14:textId="3379EE38" w:rsidR="006C39AA" w:rsidRDefault="00914F7F" w:rsidP="00E00462">
            <w:r>
              <w:t xml:space="preserve">Soil acidification </w:t>
            </w:r>
            <w:r w:rsidR="00AE06CC">
              <w:t>occurs when pH d</w:t>
            </w:r>
            <w:r w:rsidR="00E65869">
              <w:t xml:space="preserve">ecreases. This can be caused by </w:t>
            </w:r>
            <w:r>
              <w:t xml:space="preserve">acidic precipitation </w:t>
            </w:r>
            <w:r w:rsidR="00966FCF">
              <w:t>of</w:t>
            </w:r>
            <w:r w:rsidR="009D0723">
              <w:t xml:space="preserve"> </w:t>
            </w:r>
            <w:r>
              <w:t xml:space="preserve">sulphur dioxide, </w:t>
            </w:r>
            <w:r w:rsidR="00E53021">
              <w:t>ammonia,</w:t>
            </w:r>
            <w:r>
              <w:t xml:space="preserve"> and nitric</w:t>
            </w:r>
            <w:r w:rsidR="00E00462">
              <w:t xml:space="preserve"> </w:t>
            </w:r>
            <w:r>
              <w:t>acid</w:t>
            </w:r>
            <w:r w:rsidR="00A941B9">
              <w:t xml:space="preserve">, and has historically </w:t>
            </w:r>
            <w:r w:rsidR="00B426D7">
              <w:t xml:space="preserve">affected both forest and agricultural soils. Nowadays, </w:t>
            </w:r>
            <w:r w:rsidR="00035EF5">
              <w:t>t</w:t>
            </w:r>
            <w:r>
              <w:t>he</w:t>
            </w:r>
            <w:r w:rsidR="00035EF5">
              <w:t xml:space="preserve"> </w:t>
            </w:r>
            <w:r>
              <w:t xml:space="preserve">most important </w:t>
            </w:r>
            <w:r w:rsidR="00677A83">
              <w:t xml:space="preserve">effect is </w:t>
            </w:r>
            <w:r w:rsidR="001157E8">
              <w:t xml:space="preserve">observed </w:t>
            </w:r>
            <w:r>
              <w:t>on agricultural land</w:t>
            </w:r>
            <w:r w:rsidR="00677A83">
              <w:t xml:space="preserve"> th</w:t>
            </w:r>
            <w:r w:rsidR="00C663A4">
              <w:t>rough</w:t>
            </w:r>
            <w:r>
              <w:t xml:space="preserve"> the</w:t>
            </w:r>
            <w:r w:rsidR="00E00462">
              <w:t xml:space="preserve"> </w:t>
            </w:r>
            <w:r>
              <w:t>application of ammonium-based fertilizers and urea</w:t>
            </w:r>
            <w:r w:rsidR="00BC6AA2">
              <w:t>, especially on naturally acid</w:t>
            </w:r>
            <w:r w:rsidR="001157E8">
              <w:t>ic</w:t>
            </w:r>
            <w:r w:rsidR="00BC6AA2">
              <w:t xml:space="preserve"> soils such as sandy soils</w:t>
            </w:r>
            <w:r w:rsidR="00C663A4">
              <w:t>.</w:t>
            </w:r>
            <w:r w:rsidR="00E00462">
              <w:t xml:space="preserve"> </w:t>
            </w:r>
            <w:r w:rsidR="007362FA">
              <w:t>This is because a</w:t>
            </w:r>
            <w:r w:rsidR="007362FA" w:rsidRPr="007362FA">
              <w:t>mmonium nitrogen is readily converted to nitrate and hydrogen ions</w:t>
            </w:r>
            <w:r w:rsidR="005A0AF8">
              <w:t xml:space="preserve">, </w:t>
            </w:r>
            <w:r w:rsidR="00BD02A7">
              <w:t xml:space="preserve">and its presence </w:t>
            </w:r>
            <w:r w:rsidR="004937E3" w:rsidRPr="004937E3">
              <w:t>decreases the availability of plant nutrients, such as phosphorus and molybdenum</w:t>
            </w:r>
            <w:r w:rsidR="0039058F">
              <w:t>, but also base catio</w:t>
            </w:r>
            <w:r w:rsidR="00E53021">
              <w:t>n</w:t>
            </w:r>
            <w:r w:rsidR="0039058F">
              <w:t>s</w:t>
            </w:r>
            <w:r w:rsidR="004937E3">
              <w:t xml:space="preserve">; it </w:t>
            </w:r>
            <w:r w:rsidR="004937E3" w:rsidRPr="004937E3">
              <w:t xml:space="preserve">increases the availability of elements </w:t>
            </w:r>
            <w:r w:rsidR="00981E84">
              <w:t xml:space="preserve">such as </w:t>
            </w:r>
            <w:r w:rsidR="00981E84" w:rsidRPr="004937E3">
              <w:t>aluminium and manganese</w:t>
            </w:r>
            <w:r w:rsidR="00981E84">
              <w:t>, sometimes even to to</w:t>
            </w:r>
            <w:r w:rsidR="00BD02A7">
              <w:t>x</w:t>
            </w:r>
            <w:r w:rsidR="00981E84">
              <w:t>ic levels</w:t>
            </w:r>
            <w:r w:rsidR="0039058F">
              <w:t xml:space="preserve">. </w:t>
            </w:r>
            <w:r w:rsidR="001B09D7">
              <w:t>As a consequence,</w:t>
            </w:r>
            <w:r w:rsidR="007362FA">
              <w:t xml:space="preserve"> crop</w:t>
            </w:r>
            <w:r w:rsidR="003814CB">
              <w:t xml:space="preserve"> yields</w:t>
            </w:r>
            <w:r>
              <w:t xml:space="preserve"> decline</w:t>
            </w:r>
            <w:r w:rsidR="003814CB">
              <w:t xml:space="preserve">, and in severe cases, </w:t>
            </w:r>
            <w:r>
              <w:t>clay mineral</w:t>
            </w:r>
            <w:r w:rsidR="003814CB">
              <w:t xml:space="preserve">s become dissolved and the soil’s </w:t>
            </w:r>
            <w:r>
              <w:t>cation exchange capacity</w:t>
            </w:r>
            <w:r w:rsidR="003814CB">
              <w:t xml:space="preserve"> is reduced, which then leads to </w:t>
            </w:r>
            <w:r>
              <w:t>structural deterioration</w:t>
            </w:r>
            <w:r w:rsidR="003814CB">
              <w:t xml:space="preserve">. </w:t>
            </w:r>
            <w:r w:rsidR="00966FCF">
              <w:t>Soil acidification is counteracted by liming.</w:t>
            </w:r>
          </w:p>
        </w:tc>
      </w:tr>
    </w:tbl>
    <w:p w14:paraId="5146344B" w14:textId="39B20BE0" w:rsidR="006C39AA" w:rsidRDefault="006C39AA" w:rsidP="006C39AA"/>
    <w:p w14:paraId="0D510654" w14:textId="77777777" w:rsidR="006C39AA" w:rsidRPr="00776F43" w:rsidRDefault="006C39AA" w:rsidP="006C39AA"/>
    <w:p w14:paraId="786C7943" w14:textId="2D3877C3" w:rsidR="006C39AA" w:rsidRPr="00776F43" w:rsidRDefault="006C39AA" w:rsidP="006C39AA">
      <w:pPr>
        <w:pStyle w:val="EEALabel"/>
        <w:rPr>
          <w:rFonts w:eastAsia="Calibri"/>
        </w:rPr>
      </w:pPr>
      <w:bookmarkStart w:id="159" w:name="_Toc83997513"/>
      <w:r w:rsidRPr="00776F43">
        <w:t xml:space="preserve">Table </w:t>
      </w:r>
      <w:r w:rsidR="00C76C23">
        <w:fldChar w:fldCharType="begin"/>
      </w:r>
      <w:r w:rsidR="00C76C23">
        <w:instrText xml:space="preserve"> STYLEREF 1 \s </w:instrText>
      </w:r>
      <w:r w:rsidR="00C76C23">
        <w:fldChar w:fldCharType="separate"/>
      </w:r>
      <w:r w:rsidR="0067767C">
        <w:rPr>
          <w:noProof/>
        </w:rPr>
        <w:t>4</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r w:rsidRPr="00776F43">
        <w:t>:</w:t>
      </w:r>
      <w:r w:rsidRPr="00776F43">
        <w:rPr>
          <w:rFonts w:eastAsia="Calibri"/>
        </w:rPr>
        <w:tab/>
        <w:t xml:space="preserve">Relationship of </w:t>
      </w:r>
      <w:r w:rsidR="00A24072">
        <w:rPr>
          <w:rFonts w:eastAsia="Calibri"/>
        </w:rPr>
        <w:t>s</w:t>
      </w:r>
      <w:r w:rsidRPr="00776F43">
        <w:rPr>
          <w:rFonts w:eastAsia="Calibri"/>
        </w:rPr>
        <w:t xml:space="preserve">oil </w:t>
      </w:r>
      <w:r>
        <w:rPr>
          <w:rFonts w:eastAsia="Calibri"/>
        </w:rPr>
        <w:t>acidification</w:t>
      </w:r>
      <w:r w:rsidRPr="00776F43">
        <w:rPr>
          <w:rFonts w:eastAsia="Calibri"/>
        </w:rPr>
        <w:t xml:space="preserve"> to key societal needs and soil functions</w:t>
      </w:r>
      <w:bookmarkEnd w:id="159"/>
    </w:p>
    <w:p w14:paraId="7474FABE" w14:textId="1419649D" w:rsidR="006C39AA" w:rsidRDefault="006C39AA" w:rsidP="006C39AA"/>
    <w:tbl>
      <w:tblPr>
        <w:tblW w:w="6960" w:type="dxa"/>
        <w:tblCellMar>
          <w:left w:w="70" w:type="dxa"/>
          <w:right w:w="70" w:type="dxa"/>
        </w:tblCellMar>
        <w:tblLook w:val="04A0" w:firstRow="1" w:lastRow="0" w:firstColumn="1" w:lastColumn="0" w:noHBand="0" w:noVBand="1"/>
      </w:tblPr>
      <w:tblGrid>
        <w:gridCol w:w="1776"/>
        <w:gridCol w:w="3984"/>
        <w:gridCol w:w="1200"/>
      </w:tblGrid>
      <w:tr w:rsidR="00606924" w:rsidRPr="001455B4" w14:paraId="322B55E3" w14:textId="77777777" w:rsidTr="007C0E26">
        <w:trPr>
          <w:trHeight w:val="300"/>
        </w:trPr>
        <w:tc>
          <w:tcPr>
            <w:tcW w:w="5760" w:type="dxa"/>
            <w:gridSpan w:val="2"/>
            <w:tcBorders>
              <w:top w:val="nil"/>
              <w:left w:val="nil"/>
              <w:bottom w:val="nil"/>
              <w:right w:val="nil"/>
            </w:tcBorders>
            <w:shd w:val="clear" w:color="auto" w:fill="auto"/>
            <w:noWrap/>
            <w:vAlign w:val="bottom"/>
            <w:hideMark/>
          </w:tcPr>
          <w:p w14:paraId="24849B1D" w14:textId="77777777" w:rsidR="00606924" w:rsidRPr="001455B4" w:rsidRDefault="00606924" w:rsidP="007C0E26">
            <w:pPr>
              <w:suppressAutoHyphens w:val="0"/>
              <w:jc w:val="left"/>
              <w:rPr>
                <w:b/>
                <w:bCs/>
                <w:color w:val="000000"/>
                <w:szCs w:val="22"/>
                <w:lang w:eastAsia="de-AT"/>
              </w:rPr>
            </w:pPr>
            <w:r w:rsidRPr="001455B4">
              <w:rPr>
                <w:b/>
                <w:bCs/>
                <w:color w:val="000000"/>
                <w:szCs w:val="22"/>
                <w:lang w:eastAsia="de-AT"/>
              </w:rPr>
              <w:t>Soil nutrient status</w:t>
            </w:r>
          </w:p>
        </w:tc>
        <w:tc>
          <w:tcPr>
            <w:tcW w:w="1200" w:type="dxa"/>
            <w:tcBorders>
              <w:top w:val="nil"/>
              <w:left w:val="nil"/>
              <w:bottom w:val="nil"/>
              <w:right w:val="nil"/>
            </w:tcBorders>
            <w:shd w:val="clear" w:color="auto" w:fill="auto"/>
            <w:noWrap/>
            <w:vAlign w:val="bottom"/>
            <w:hideMark/>
          </w:tcPr>
          <w:p w14:paraId="0E3F6C53" w14:textId="77777777" w:rsidR="00606924" w:rsidRPr="001455B4" w:rsidRDefault="00606924" w:rsidP="007C0E26">
            <w:pPr>
              <w:suppressAutoHyphens w:val="0"/>
              <w:jc w:val="left"/>
              <w:rPr>
                <w:b/>
                <w:bCs/>
                <w:color w:val="000000"/>
                <w:szCs w:val="22"/>
                <w:lang w:eastAsia="de-AT"/>
              </w:rPr>
            </w:pPr>
          </w:p>
        </w:tc>
      </w:tr>
      <w:tr w:rsidR="00606924" w:rsidRPr="001455B4" w14:paraId="0829CA2C" w14:textId="77777777" w:rsidTr="007C0E26">
        <w:trPr>
          <w:trHeight w:val="105"/>
        </w:trPr>
        <w:tc>
          <w:tcPr>
            <w:tcW w:w="1776" w:type="dxa"/>
            <w:tcBorders>
              <w:top w:val="nil"/>
              <w:left w:val="nil"/>
              <w:right w:val="nil"/>
            </w:tcBorders>
            <w:shd w:val="clear" w:color="auto" w:fill="auto"/>
            <w:noWrap/>
            <w:vAlign w:val="bottom"/>
            <w:hideMark/>
          </w:tcPr>
          <w:p w14:paraId="438AC5F9" w14:textId="77777777" w:rsidR="00606924" w:rsidRPr="001455B4" w:rsidRDefault="00606924" w:rsidP="007C0E26">
            <w:pPr>
              <w:suppressAutoHyphens w:val="0"/>
              <w:jc w:val="left"/>
              <w:rPr>
                <w:rFonts w:ascii="Times New Roman" w:hAnsi="Times New Roman" w:cs="Times New Roman"/>
                <w:sz w:val="20"/>
                <w:lang w:eastAsia="de-AT"/>
              </w:rPr>
            </w:pPr>
          </w:p>
        </w:tc>
        <w:tc>
          <w:tcPr>
            <w:tcW w:w="3984" w:type="dxa"/>
            <w:tcBorders>
              <w:top w:val="nil"/>
              <w:left w:val="nil"/>
              <w:right w:val="nil"/>
            </w:tcBorders>
            <w:shd w:val="clear" w:color="auto" w:fill="auto"/>
            <w:noWrap/>
            <w:vAlign w:val="bottom"/>
            <w:hideMark/>
          </w:tcPr>
          <w:p w14:paraId="3DD9B980" w14:textId="77777777" w:rsidR="00606924" w:rsidRPr="001455B4" w:rsidRDefault="00606924" w:rsidP="007C0E26">
            <w:pPr>
              <w:suppressAutoHyphens w:val="0"/>
              <w:jc w:val="left"/>
              <w:rPr>
                <w:rFonts w:ascii="Times New Roman" w:hAnsi="Times New Roman" w:cs="Times New Roman"/>
                <w:sz w:val="20"/>
                <w:lang w:eastAsia="de-AT"/>
              </w:rPr>
            </w:pPr>
          </w:p>
        </w:tc>
        <w:tc>
          <w:tcPr>
            <w:tcW w:w="1200" w:type="dxa"/>
            <w:tcBorders>
              <w:top w:val="nil"/>
              <w:left w:val="nil"/>
              <w:right w:val="nil"/>
            </w:tcBorders>
            <w:shd w:val="clear" w:color="auto" w:fill="auto"/>
            <w:noWrap/>
            <w:vAlign w:val="bottom"/>
            <w:hideMark/>
          </w:tcPr>
          <w:p w14:paraId="64AE2762" w14:textId="77777777" w:rsidR="00606924" w:rsidRPr="001455B4" w:rsidRDefault="00606924" w:rsidP="007C0E26">
            <w:pPr>
              <w:suppressAutoHyphens w:val="0"/>
              <w:jc w:val="left"/>
              <w:rPr>
                <w:rFonts w:ascii="Times New Roman" w:hAnsi="Times New Roman" w:cs="Times New Roman"/>
                <w:sz w:val="20"/>
                <w:lang w:eastAsia="de-AT"/>
              </w:rPr>
            </w:pPr>
          </w:p>
        </w:tc>
      </w:tr>
      <w:tr w:rsidR="00606924" w:rsidRPr="001455B4" w14:paraId="72CE0EF5" w14:textId="77777777" w:rsidTr="000439C6">
        <w:trPr>
          <w:trHeight w:val="300"/>
        </w:trPr>
        <w:tc>
          <w:tcPr>
            <w:tcW w:w="1776" w:type="dxa"/>
            <w:tcBorders>
              <w:bottom w:val="single" w:sz="4" w:space="0" w:color="auto"/>
            </w:tcBorders>
            <w:shd w:val="clear" w:color="auto" w:fill="auto"/>
            <w:noWrap/>
            <w:vAlign w:val="bottom"/>
            <w:hideMark/>
          </w:tcPr>
          <w:p w14:paraId="463DBF38" w14:textId="77777777" w:rsidR="00606924" w:rsidRPr="001455B4" w:rsidRDefault="00606924" w:rsidP="007C0E26">
            <w:pPr>
              <w:suppressAutoHyphens w:val="0"/>
              <w:jc w:val="left"/>
              <w:rPr>
                <w:b/>
                <w:bCs/>
                <w:color w:val="000000"/>
                <w:sz w:val="20"/>
                <w:lang w:eastAsia="de-AT"/>
              </w:rPr>
            </w:pPr>
            <w:r w:rsidRPr="001455B4">
              <w:rPr>
                <w:b/>
                <w:bCs/>
                <w:color w:val="000000"/>
                <w:sz w:val="20"/>
                <w:lang w:eastAsia="de-AT"/>
              </w:rPr>
              <w:t>Societal need</w:t>
            </w:r>
          </w:p>
        </w:tc>
        <w:tc>
          <w:tcPr>
            <w:tcW w:w="3984" w:type="dxa"/>
            <w:tcBorders>
              <w:bottom w:val="single" w:sz="4" w:space="0" w:color="auto"/>
            </w:tcBorders>
            <w:shd w:val="clear" w:color="auto" w:fill="auto"/>
            <w:noWrap/>
            <w:vAlign w:val="bottom"/>
            <w:hideMark/>
          </w:tcPr>
          <w:p w14:paraId="49DD9AE3" w14:textId="77777777" w:rsidR="00606924" w:rsidRPr="001455B4" w:rsidRDefault="00606924" w:rsidP="007C0E26">
            <w:pPr>
              <w:suppressAutoHyphens w:val="0"/>
              <w:jc w:val="left"/>
              <w:rPr>
                <w:b/>
                <w:bCs/>
                <w:color w:val="000000"/>
                <w:sz w:val="20"/>
                <w:lang w:eastAsia="de-AT"/>
              </w:rPr>
            </w:pPr>
            <w:r w:rsidRPr="001455B4">
              <w:rPr>
                <w:b/>
                <w:bCs/>
                <w:color w:val="000000"/>
                <w:sz w:val="20"/>
                <w:lang w:eastAsia="de-AT"/>
              </w:rPr>
              <w:t>Soil service</w:t>
            </w:r>
          </w:p>
        </w:tc>
        <w:tc>
          <w:tcPr>
            <w:tcW w:w="1200" w:type="dxa"/>
            <w:tcBorders>
              <w:bottom w:val="single" w:sz="4" w:space="0" w:color="auto"/>
            </w:tcBorders>
            <w:shd w:val="clear" w:color="auto" w:fill="auto"/>
            <w:noWrap/>
            <w:vAlign w:val="bottom"/>
            <w:hideMark/>
          </w:tcPr>
          <w:p w14:paraId="558BE49C" w14:textId="77777777" w:rsidR="00606924" w:rsidRPr="001455B4" w:rsidRDefault="00606924" w:rsidP="007C0E26">
            <w:pPr>
              <w:suppressAutoHyphens w:val="0"/>
              <w:jc w:val="center"/>
              <w:rPr>
                <w:b/>
                <w:bCs/>
                <w:color w:val="000000"/>
                <w:sz w:val="20"/>
                <w:lang w:eastAsia="de-AT"/>
              </w:rPr>
            </w:pPr>
            <w:r w:rsidRPr="001455B4">
              <w:rPr>
                <w:b/>
                <w:bCs/>
                <w:color w:val="000000"/>
                <w:sz w:val="20"/>
                <w:lang w:eastAsia="de-AT"/>
              </w:rPr>
              <w:t>impact</w:t>
            </w:r>
          </w:p>
        </w:tc>
      </w:tr>
      <w:tr w:rsidR="000439C6" w:rsidRPr="001455B4" w14:paraId="4409E8DC" w14:textId="77777777" w:rsidTr="000439C6">
        <w:trPr>
          <w:trHeight w:val="300"/>
        </w:trPr>
        <w:tc>
          <w:tcPr>
            <w:tcW w:w="1776" w:type="dxa"/>
            <w:vMerge w:val="restart"/>
            <w:tcBorders>
              <w:top w:val="single" w:sz="4" w:space="0" w:color="auto"/>
              <w:bottom w:val="single" w:sz="4" w:space="0" w:color="auto"/>
            </w:tcBorders>
            <w:shd w:val="clear" w:color="000000" w:fill="FFFFFF"/>
            <w:noWrap/>
            <w:vAlign w:val="center"/>
            <w:hideMark/>
          </w:tcPr>
          <w:p w14:paraId="6620C87C" w14:textId="77777777" w:rsidR="000439C6" w:rsidRPr="001455B4" w:rsidRDefault="000439C6" w:rsidP="000439C6">
            <w:pPr>
              <w:suppressAutoHyphens w:val="0"/>
              <w:jc w:val="left"/>
              <w:rPr>
                <w:b/>
                <w:bCs/>
                <w:sz w:val="20"/>
                <w:lang w:eastAsia="de-AT"/>
              </w:rPr>
            </w:pPr>
            <w:r w:rsidRPr="001455B4">
              <w:rPr>
                <w:b/>
                <w:bCs/>
                <w:sz w:val="20"/>
                <w:lang w:eastAsia="de-AT"/>
              </w:rPr>
              <w:t>Biomass</w:t>
            </w:r>
          </w:p>
        </w:tc>
        <w:tc>
          <w:tcPr>
            <w:tcW w:w="3984" w:type="dxa"/>
            <w:tcBorders>
              <w:top w:val="single" w:sz="4" w:space="0" w:color="auto"/>
              <w:bottom w:val="single" w:sz="4" w:space="0" w:color="auto"/>
              <w:right w:val="single" w:sz="4" w:space="0" w:color="auto"/>
            </w:tcBorders>
            <w:shd w:val="clear" w:color="auto" w:fill="auto"/>
            <w:vAlign w:val="center"/>
            <w:hideMark/>
          </w:tcPr>
          <w:p w14:paraId="12B82414" w14:textId="77777777" w:rsidR="000439C6" w:rsidRPr="001455B4" w:rsidRDefault="000439C6" w:rsidP="000439C6">
            <w:pPr>
              <w:pStyle w:val="EEAtableleft"/>
              <w:rPr>
                <w:lang w:eastAsia="de-AT"/>
              </w:rPr>
            </w:pPr>
            <w:r w:rsidRPr="001455B4">
              <w:rPr>
                <w:lang w:eastAsia="de-AT"/>
              </w:rPr>
              <w:t>Wood &amp; fibre production</w:t>
            </w:r>
          </w:p>
        </w:tc>
        <w:tc>
          <w:tcPr>
            <w:tcW w:w="120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D4CBD60" w14:textId="08CA2ED0" w:rsidR="000439C6" w:rsidRPr="00A24072" w:rsidRDefault="000439C6" w:rsidP="00DC7B4A">
            <w:pPr>
              <w:pStyle w:val="EEATabcenter"/>
              <w:rPr>
                <w:szCs w:val="22"/>
                <w:lang w:eastAsia="de-AT"/>
              </w:rPr>
            </w:pPr>
            <w:r w:rsidRPr="00A24072">
              <w:rPr>
                <w:lang w:eastAsia="de-AT"/>
              </w:rPr>
              <w:t>-</w:t>
            </w:r>
          </w:p>
        </w:tc>
      </w:tr>
      <w:tr w:rsidR="00606924" w:rsidRPr="001455B4" w14:paraId="7898CF98" w14:textId="77777777" w:rsidTr="00A24072">
        <w:trPr>
          <w:trHeight w:val="300"/>
        </w:trPr>
        <w:tc>
          <w:tcPr>
            <w:tcW w:w="1776" w:type="dxa"/>
            <w:vMerge/>
            <w:tcBorders>
              <w:top w:val="single" w:sz="4" w:space="0" w:color="auto"/>
              <w:bottom w:val="single" w:sz="4" w:space="0" w:color="auto"/>
            </w:tcBorders>
            <w:vAlign w:val="center"/>
            <w:hideMark/>
          </w:tcPr>
          <w:p w14:paraId="4B3729B8" w14:textId="77777777" w:rsidR="00606924" w:rsidRPr="001455B4" w:rsidRDefault="00606924" w:rsidP="007C0E26">
            <w:pPr>
              <w:suppressAutoHyphens w:val="0"/>
              <w:jc w:val="left"/>
              <w:rPr>
                <w:b/>
                <w:bCs/>
                <w:sz w:val="20"/>
                <w:lang w:eastAsia="de-AT"/>
              </w:rPr>
            </w:pPr>
          </w:p>
        </w:tc>
        <w:tc>
          <w:tcPr>
            <w:tcW w:w="3984" w:type="dxa"/>
            <w:tcBorders>
              <w:top w:val="single" w:sz="4" w:space="0" w:color="auto"/>
              <w:bottom w:val="single" w:sz="4" w:space="0" w:color="auto"/>
              <w:right w:val="single" w:sz="4" w:space="0" w:color="auto"/>
            </w:tcBorders>
            <w:shd w:val="clear" w:color="auto" w:fill="auto"/>
            <w:vAlign w:val="center"/>
            <w:hideMark/>
          </w:tcPr>
          <w:p w14:paraId="1E4863F8" w14:textId="77777777" w:rsidR="00606924" w:rsidRPr="001455B4" w:rsidRDefault="00606924" w:rsidP="007C0E26">
            <w:pPr>
              <w:pStyle w:val="EEAtableleft"/>
              <w:rPr>
                <w:lang w:eastAsia="de-AT"/>
              </w:rPr>
            </w:pPr>
            <w:r w:rsidRPr="001455B4">
              <w:rPr>
                <w:lang w:eastAsia="de-AT"/>
              </w:rPr>
              <w:t>Growth of crops</w:t>
            </w:r>
          </w:p>
        </w:tc>
        <w:tc>
          <w:tcPr>
            <w:tcW w:w="120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A2FD8B0" w14:textId="105C87EA" w:rsidR="00606924" w:rsidRPr="00A24072" w:rsidRDefault="000439C6" w:rsidP="00DC7B4A">
            <w:pPr>
              <w:pStyle w:val="EEATabcenter"/>
              <w:rPr>
                <w:szCs w:val="22"/>
                <w:lang w:eastAsia="de-AT"/>
              </w:rPr>
            </w:pPr>
            <w:r w:rsidRPr="00A24072">
              <w:rPr>
                <w:szCs w:val="22"/>
                <w:lang w:eastAsia="de-AT"/>
              </w:rPr>
              <w:t>-</w:t>
            </w:r>
          </w:p>
        </w:tc>
      </w:tr>
      <w:tr w:rsidR="00606924" w:rsidRPr="001455B4" w14:paraId="16F35807" w14:textId="77777777" w:rsidTr="00A24072">
        <w:trPr>
          <w:trHeight w:val="300"/>
        </w:trPr>
        <w:tc>
          <w:tcPr>
            <w:tcW w:w="1776" w:type="dxa"/>
            <w:vMerge w:val="restart"/>
            <w:tcBorders>
              <w:top w:val="single" w:sz="4" w:space="0" w:color="auto"/>
              <w:bottom w:val="single" w:sz="4" w:space="0" w:color="auto"/>
            </w:tcBorders>
            <w:shd w:val="clear" w:color="000000" w:fill="FFFFFF"/>
            <w:noWrap/>
            <w:vAlign w:val="center"/>
            <w:hideMark/>
          </w:tcPr>
          <w:p w14:paraId="1960FD7F" w14:textId="77777777" w:rsidR="00606924" w:rsidRPr="001455B4" w:rsidRDefault="00606924" w:rsidP="007C0E26">
            <w:pPr>
              <w:suppressAutoHyphens w:val="0"/>
              <w:jc w:val="left"/>
              <w:rPr>
                <w:b/>
                <w:bCs/>
                <w:sz w:val="20"/>
                <w:lang w:eastAsia="de-AT"/>
              </w:rPr>
            </w:pPr>
            <w:r w:rsidRPr="001455B4">
              <w:rPr>
                <w:b/>
                <w:bCs/>
                <w:sz w:val="20"/>
                <w:lang w:eastAsia="de-AT"/>
              </w:rPr>
              <w:t>Water</w:t>
            </w:r>
          </w:p>
        </w:tc>
        <w:tc>
          <w:tcPr>
            <w:tcW w:w="3984" w:type="dxa"/>
            <w:tcBorders>
              <w:top w:val="single" w:sz="4" w:space="0" w:color="auto"/>
              <w:bottom w:val="single" w:sz="4" w:space="0" w:color="auto"/>
              <w:right w:val="single" w:sz="4" w:space="0" w:color="auto"/>
            </w:tcBorders>
            <w:shd w:val="clear" w:color="auto" w:fill="auto"/>
            <w:vAlign w:val="center"/>
            <w:hideMark/>
          </w:tcPr>
          <w:p w14:paraId="38E9AD9B" w14:textId="77777777" w:rsidR="00606924" w:rsidRPr="001455B4" w:rsidRDefault="00606924" w:rsidP="007C0E26">
            <w:pPr>
              <w:pStyle w:val="EEAtableleft"/>
              <w:rPr>
                <w:lang w:eastAsia="de-AT"/>
              </w:rPr>
            </w:pPr>
            <w:r w:rsidRPr="001455B4">
              <w:rPr>
                <w:lang w:eastAsia="de-AT"/>
              </w:rPr>
              <w:t>Filtering of contaminants</w:t>
            </w:r>
          </w:p>
        </w:tc>
        <w:tc>
          <w:tcPr>
            <w:tcW w:w="120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7B5DD2F" w14:textId="7A895E65" w:rsidR="00606924" w:rsidRPr="00A24072" w:rsidRDefault="00A24072" w:rsidP="00DC7B4A">
            <w:pPr>
              <w:pStyle w:val="EEATabcenter"/>
              <w:rPr>
                <w:lang w:eastAsia="de-AT"/>
              </w:rPr>
            </w:pPr>
            <w:r w:rsidRPr="00A24072">
              <w:rPr>
                <w:lang w:eastAsia="de-AT"/>
              </w:rPr>
              <w:t>-</w:t>
            </w:r>
          </w:p>
        </w:tc>
      </w:tr>
      <w:tr w:rsidR="00606924" w:rsidRPr="001455B4" w14:paraId="66FB0E50" w14:textId="77777777" w:rsidTr="00A24072">
        <w:trPr>
          <w:trHeight w:val="300"/>
        </w:trPr>
        <w:tc>
          <w:tcPr>
            <w:tcW w:w="1776" w:type="dxa"/>
            <w:vMerge/>
            <w:tcBorders>
              <w:top w:val="single" w:sz="4" w:space="0" w:color="auto"/>
              <w:bottom w:val="single" w:sz="4" w:space="0" w:color="auto"/>
            </w:tcBorders>
            <w:vAlign w:val="center"/>
            <w:hideMark/>
          </w:tcPr>
          <w:p w14:paraId="1084B314" w14:textId="77777777" w:rsidR="00606924" w:rsidRPr="001455B4" w:rsidRDefault="00606924" w:rsidP="007C0E26">
            <w:pPr>
              <w:suppressAutoHyphens w:val="0"/>
              <w:jc w:val="left"/>
              <w:rPr>
                <w:b/>
                <w:bCs/>
                <w:sz w:val="20"/>
                <w:lang w:eastAsia="de-AT"/>
              </w:rPr>
            </w:pPr>
          </w:p>
        </w:tc>
        <w:tc>
          <w:tcPr>
            <w:tcW w:w="3984" w:type="dxa"/>
            <w:tcBorders>
              <w:top w:val="single" w:sz="4" w:space="0" w:color="auto"/>
              <w:bottom w:val="single" w:sz="4" w:space="0" w:color="auto"/>
              <w:right w:val="single" w:sz="4" w:space="0" w:color="auto"/>
            </w:tcBorders>
            <w:shd w:val="clear" w:color="auto" w:fill="auto"/>
            <w:vAlign w:val="center"/>
            <w:hideMark/>
          </w:tcPr>
          <w:p w14:paraId="4DD6B206" w14:textId="77777777" w:rsidR="00606924" w:rsidRPr="001455B4" w:rsidRDefault="00606924" w:rsidP="007C0E26">
            <w:pPr>
              <w:pStyle w:val="EEAtableleft"/>
              <w:rPr>
                <w:lang w:eastAsia="de-AT"/>
              </w:rPr>
            </w:pPr>
            <w:r w:rsidRPr="001455B4">
              <w:rPr>
                <w:lang w:eastAsia="de-AT"/>
              </w:rPr>
              <w:t>Water storage</w:t>
            </w:r>
          </w:p>
        </w:tc>
        <w:tc>
          <w:tcPr>
            <w:tcW w:w="120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0786D04" w14:textId="2B0AEE9A" w:rsidR="00606924" w:rsidRPr="00A24072" w:rsidRDefault="00A24072" w:rsidP="00DC7B4A">
            <w:pPr>
              <w:pStyle w:val="EEATabcenter"/>
              <w:rPr>
                <w:lang w:eastAsia="de-AT"/>
              </w:rPr>
            </w:pPr>
            <w:r w:rsidRPr="00A24072">
              <w:rPr>
                <w:lang w:eastAsia="de-AT"/>
              </w:rPr>
              <w:t>-</w:t>
            </w:r>
          </w:p>
        </w:tc>
      </w:tr>
      <w:tr w:rsidR="00606924" w:rsidRPr="001455B4" w14:paraId="1F123BE5" w14:textId="77777777" w:rsidTr="000439C6">
        <w:trPr>
          <w:trHeight w:val="300"/>
        </w:trPr>
        <w:tc>
          <w:tcPr>
            <w:tcW w:w="1776" w:type="dxa"/>
            <w:tcBorders>
              <w:top w:val="single" w:sz="4" w:space="0" w:color="auto"/>
              <w:bottom w:val="single" w:sz="4" w:space="0" w:color="auto"/>
            </w:tcBorders>
            <w:shd w:val="clear" w:color="000000" w:fill="FFFFFF"/>
            <w:noWrap/>
            <w:vAlign w:val="center"/>
            <w:hideMark/>
          </w:tcPr>
          <w:p w14:paraId="4861076D" w14:textId="77777777" w:rsidR="00606924" w:rsidRPr="00050704" w:rsidRDefault="00606924" w:rsidP="007C0E26">
            <w:pPr>
              <w:suppressAutoHyphens w:val="0"/>
              <w:jc w:val="left"/>
              <w:rPr>
                <w:b/>
                <w:bCs/>
                <w:sz w:val="20"/>
                <w:lang w:eastAsia="de-AT"/>
              </w:rPr>
            </w:pPr>
            <w:r w:rsidRPr="00050704">
              <w:rPr>
                <w:b/>
                <w:bCs/>
                <w:sz w:val="20"/>
                <w:lang w:eastAsia="de-AT"/>
              </w:rPr>
              <w:t>Climate</w:t>
            </w:r>
          </w:p>
        </w:tc>
        <w:tc>
          <w:tcPr>
            <w:tcW w:w="3984" w:type="dxa"/>
            <w:tcBorders>
              <w:top w:val="single" w:sz="4" w:space="0" w:color="auto"/>
              <w:bottom w:val="single" w:sz="4" w:space="0" w:color="auto"/>
              <w:right w:val="single" w:sz="4" w:space="0" w:color="auto"/>
            </w:tcBorders>
            <w:shd w:val="clear" w:color="auto" w:fill="auto"/>
            <w:vAlign w:val="center"/>
            <w:hideMark/>
          </w:tcPr>
          <w:p w14:paraId="4D66BDCF" w14:textId="77777777" w:rsidR="00606924" w:rsidRPr="00050704" w:rsidRDefault="00606924" w:rsidP="007C0E26">
            <w:pPr>
              <w:pStyle w:val="EEAtableleft"/>
              <w:rPr>
                <w:lang w:eastAsia="de-AT"/>
              </w:rPr>
            </w:pPr>
            <w:r w:rsidRPr="00050704">
              <w:rPr>
                <w:lang w:eastAsia="de-AT"/>
              </w:rPr>
              <w:t>Carbon storage</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98C8689" w14:textId="77777777" w:rsidR="00606924" w:rsidRPr="00A24072" w:rsidRDefault="00606924" w:rsidP="00DC7B4A">
            <w:pPr>
              <w:pStyle w:val="EEATabcenter"/>
              <w:rPr>
                <w:lang w:eastAsia="de-AT"/>
              </w:rPr>
            </w:pPr>
            <w:r w:rsidRPr="00A24072">
              <w:rPr>
                <w:lang w:eastAsia="de-AT"/>
              </w:rPr>
              <w:t>+/-</w:t>
            </w:r>
          </w:p>
        </w:tc>
      </w:tr>
      <w:tr w:rsidR="00606924" w:rsidRPr="001455B4" w14:paraId="77C4A489" w14:textId="77777777" w:rsidTr="000439C6">
        <w:trPr>
          <w:trHeight w:val="300"/>
        </w:trPr>
        <w:tc>
          <w:tcPr>
            <w:tcW w:w="1776" w:type="dxa"/>
            <w:tcBorders>
              <w:top w:val="single" w:sz="4" w:space="0" w:color="auto"/>
              <w:bottom w:val="single" w:sz="4" w:space="0" w:color="auto"/>
            </w:tcBorders>
            <w:shd w:val="clear" w:color="000000" w:fill="FFFFFF"/>
            <w:noWrap/>
            <w:vAlign w:val="center"/>
            <w:hideMark/>
          </w:tcPr>
          <w:p w14:paraId="19907911" w14:textId="77777777" w:rsidR="00606924" w:rsidRPr="001455B4" w:rsidRDefault="00606924" w:rsidP="007C0E26">
            <w:pPr>
              <w:suppressAutoHyphens w:val="0"/>
              <w:jc w:val="left"/>
              <w:rPr>
                <w:b/>
                <w:bCs/>
                <w:sz w:val="20"/>
                <w:lang w:eastAsia="de-AT"/>
              </w:rPr>
            </w:pPr>
            <w:r w:rsidRPr="001455B4">
              <w:rPr>
                <w:b/>
                <w:bCs/>
                <w:sz w:val="20"/>
                <w:lang w:eastAsia="de-AT"/>
              </w:rPr>
              <w:t>Biodiversity</w:t>
            </w:r>
          </w:p>
        </w:tc>
        <w:tc>
          <w:tcPr>
            <w:tcW w:w="3984" w:type="dxa"/>
            <w:tcBorders>
              <w:top w:val="single" w:sz="4" w:space="0" w:color="auto"/>
              <w:bottom w:val="single" w:sz="4" w:space="0" w:color="auto"/>
              <w:right w:val="single" w:sz="4" w:space="0" w:color="auto"/>
            </w:tcBorders>
            <w:shd w:val="clear" w:color="auto" w:fill="auto"/>
            <w:vAlign w:val="center"/>
            <w:hideMark/>
          </w:tcPr>
          <w:p w14:paraId="56812F7B" w14:textId="77777777" w:rsidR="00606924" w:rsidRPr="001455B4" w:rsidRDefault="00606924" w:rsidP="007C0E26">
            <w:pPr>
              <w:pStyle w:val="EEAtableleft"/>
              <w:rPr>
                <w:lang w:eastAsia="de-AT"/>
              </w:rPr>
            </w:pPr>
            <w:r w:rsidRPr="001455B4">
              <w:rPr>
                <w:lang w:eastAsia="de-AT"/>
              </w:rPr>
              <w:t>Habitat for plants, insects, microbes, fungi</w:t>
            </w:r>
          </w:p>
        </w:tc>
        <w:tc>
          <w:tcPr>
            <w:tcW w:w="120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5076544" w14:textId="34765E27" w:rsidR="00606924" w:rsidRPr="00A24072" w:rsidRDefault="000439C6" w:rsidP="00DC7B4A">
            <w:pPr>
              <w:pStyle w:val="EEATabcenter"/>
              <w:rPr>
                <w:szCs w:val="22"/>
                <w:lang w:eastAsia="de-AT"/>
              </w:rPr>
            </w:pPr>
            <w:r w:rsidRPr="00A24072">
              <w:rPr>
                <w:szCs w:val="22"/>
                <w:lang w:eastAsia="de-AT"/>
              </w:rPr>
              <w:t>-</w:t>
            </w:r>
          </w:p>
        </w:tc>
      </w:tr>
      <w:tr w:rsidR="00606924" w:rsidRPr="001455B4" w14:paraId="49AA7BCA" w14:textId="77777777" w:rsidTr="007C0E26">
        <w:trPr>
          <w:trHeight w:val="300"/>
        </w:trPr>
        <w:tc>
          <w:tcPr>
            <w:tcW w:w="1776" w:type="dxa"/>
            <w:vMerge w:val="restart"/>
            <w:tcBorders>
              <w:top w:val="single" w:sz="4" w:space="0" w:color="auto"/>
              <w:bottom w:val="single" w:sz="4" w:space="0" w:color="auto"/>
            </w:tcBorders>
            <w:shd w:val="clear" w:color="auto" w:fill="auto"/>
            <w:noWrap/>
            <w:vAlign w:val="center"/>
            <w:hideMark/>
          </w:tcPr>
          <w:p w14:paraId="4DE91CDF" w14:textId="77777777" w:rsidR="00606924" w:rsidRPr="001455B4" w:rsidRDefault="00606924" w:rsidP="007C0E26">
            <w:pPr>
              <w:suppressAutoHyphens w:val="0"/>
              <w:jc w:val="left"/>
              <w:rPr>
                <w:b/>
                <w:bCs/>
                <w:sz w:val="20"/>
                <w:lang w:eastAsia="de-AT"/>
              </w:rPr>
            </w:pPr>
            <w:r w:rsidRPr="001455B4">
              <w:rPr>
                <w:b/>
                <w:bCs/>
                <w:sz w:val="20"/>
                <w:lang w:eastAsia="de-AT"/>
              </w:rPr>
              <w:t>Infrastructure</w:t>
            </w:r>
          </w:p>
        </w:tc>
        <w:tc>
          <w:tcPr>
            <w:tcW w:w="3984" w:type="dxa"/>
            <w:tcBorders>
              <w:top w:val="single" w:sz="4" w:space="0" w:color="auto"/>
              <w:bottom w:val="single" w:sz="4" w:space="0" w:color="auto"/>
              <w:right w:val="single" w:sz="4" w:space="0" w:color="auto"/>
            </w:tcBorders>
            <w:shd w:val="clear" w:color="auto" w:fill="auto"/>
            <w:vAlign w:val="center"/>
            <w:hideMark/>
          </w:tcPr>
          <w:p w14:paraId="03056FA8" w14:textId="77777777" w:rsidR="00606924" w:rsidRPr="001455B4" w:rsidRDefault="00606924" w:rsidP="007C0E26">
            <w:pPr>
              <w:pStyle w:val="EEAtableleft"/>
              <w:rPr>
                <w:lang w:eastAsia="de-AT"/>
              </w:rPr>
            </w:pPr>
            <w:r w:rsidRPr="001455B4">
              <w:rPr>
                <w:lang w:eastAsia="de-AT"/>
              </w:rPr>
              <w:t>Platform for infrastructure</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992EF1" w14:textId="77777777" w:rsidR="00606924" w:rsidRPr="001455B4" w:rsidRDefault="00606924" w:rsidP="00DC7B4A">
            <w:pPr>
              <w:pStyle w:val="EEATabcenter"/>
              <w:rPr>
                <w:lang w:eastAsia="de-AT"/>
              </w:rPr>
            </w:pPr>
            <w:r w:rsidRPr="001455B4">
              <w:rPr>
                <w:lang w:eastAsia="de-AT"/>
              </w:rPr>
              <w:t>indiff</w:t>
            </w:r>
          </w:p>
        </w:tc>
      </w:tr>
      <w:tr w:rsidR="00606924" w:rsidRPr="001455B4" w14:paraId="02A46073" w14:textId="77777777" w:rsidTr="007C0E26">
        <w:trPr>
          <w:trHeight w:val="300"/>
        </w:trPr>
        <w:tc>
          <w:tcPr>
            <w:tcW w:w="1776" w:type="dxa"/>
            <w:vMerge/>
            <w:tcBorders>
              <w:top w:val="single" w:sz="4" w:space="0" w:color="auto"/>
            </w:tcBorders>
            <w:vAlign w:val="center"/>
            <w:hideMark/>
          </w:tcPr>
          <w:p w14:paraId="2C5BD39D" w14:textId="77777777" w:rsidR="00606924" w:rsidRPr="001455B4" w:rsidRDefault="00606924" w:rsidP="007C0E26">
            <w:pPr>
              <w:suppressAutoHyphens w:val="0"/>
              <w:jc w:val="left"/>
              <w:rPr>
                <w:b/>
                <w:bCs/>
                <w:sz w:val="20"/>
                <w:lang w:eastAsia="de-AT"/>
              </w:rPr>
            </w:pPr>
          </w:p>
        </w:tc>
        <w:tc>
          <w:tcPr>
            <w:tcW w:w="3984" w:type="dxa"/>
            <w:tcBorders>
              <w:top w:val="single" w:sz="4" w:space="0" w:color="auto"/>
              <w:right w:val="single" w:sz="4" w:space="0" w:color="auto"/>
            </w:tcBorders>
            <w:shd w:val="clear" w:color="auto" w:fill="auto"/>
            <w:vAlign w:val="center"/>
            <w:hideMark/>
          </w:tcPr>
          <w:p w14:paraId="59D1FB0F" w14:textId="77777777" w:rsidR="00606924" w:rsidRPr="001455B4" w:rsidRDefault="00606924" w:rsidP="007C0E26">
            <w:pPr>
              <w:pStyle w:val="EEAtableleft"/>
              <w:rPr>
                <w:lang w:eastAsia="de-AT"/>
              </w:rPr>
            </w:pPr>
            <w:r w:rsidRPr="001455B4">
              <w:rPr>
                <w:lang w:eastAsia="de-AT"/>
              </w:rPr>
              <w:t>Storage of geological material</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996429" w14:textId="77777777" w:rsidR="00606924" w:rsidRPr="001455B4" w:rsidRDefault="00606924" w:rsidP="00DC7B4A">
            <w:pPr>
              <w:pStyle w:val="EEATabcenter"/>
              <w:rPr>
                <w:lang w:eastAsia="de-AT"/>
              </w:rPr>
            </w:pPr>
            <w:r w:rsidRPr="001455B4">
              <w:rPr>
                <w:lang w:eastAsia="de-AT"/>
              </w:rPr>
              <w:t>indiff</w:t>
            </w:r>
          </w:p>
        </w:tc>
      </w:tr>
    </w:tbl>
    <w:p w14:paraId="2D358525" w14:textId="34369070" w:rsidR="00606924" w:rsidRDefault="00606924" w:rsidP="006C39AA"/>
    <w:p w14:paraId="3610EE16" w14:textId="77777777" w:rsidR="006C39AA" w:rsidRPr="006C39AA" w:rsidRDefault="006C39AA" w:rsidP="006C39AA"/>
    <w:p w14:paraId="5915171B" w14:textId="239AA73C" w:rsidR="00A13FA7" w:rsidRPr="00261BB8" w:rsidRDefault="00A13FA7" w:rsidP="00A13FA7">
      <w:pPr>
        <w:pStyle w:val="berschrift2"/>
      </w:pPr>
      <w:bookmarkStart w:id="160" w:name="_Toc54100690"/>
      <w:bookmarkStart w:id="161" w:name="_Toc58973216"/>
      <w:bookmarkStart w:id="162" w:name="_Toc83997349"/>
      <w:r w:rsidRPr="00261BB8">
        <w:t>Rationale: impacts of soil acidification on soil fertility and crop growth</w:t>
      </w:r>
      <w:bookmarkEnd w:id="160"/>
      <w:bookmarkEnd w:id="161"/>
      <w:bookmarkEnd w:id="162"/>
    </w:p>
    <w:p w14:paraId="19245B06" w14:textId="77777777" w:rsidR="00A13FA7" w:rsidRPr="00261BB8" w:rsidRDefault="00A13FA7" w:rsidP="00A13FA7"/>
    <w:p w14:paraId="22C4C475" w14:textId="1A65C144" w:rsidR="00A13FA7" w:rsidRDefault="00A13FA7" w:rsidP="00A13FA7">
      <w:r w:rsidRPr="00261BB8">
        <w:t xml:space="preserve">Nitrogen generally has a positive effect on the quality of agricultural </w:t>
      </w:r>
      <w:r w:rsidR="00E53021" w:rsidRPr="00261BB8">
        <w:t>soils because</w:t>
      </w:r>
      <w:r w:rsidRPr="00261BB8">
        <w:t xml:space="preserve"> it enhances soil fertility and conditions for crop growth. However, the overuse of N fertilizer can also lead to significant cropland acidification, reflected by pH decline (Guo et al., 2010), unless soils are properly managed (e.g. limed). In slightly acidic soils (4.5&lt;pH&lt;7.0), base cation nutrients, i.e. calcium (Ca), magnesium (Mg) and potassium (K), adsorbed on soil organic matter and clay, are crucial in buffering produced protons by elevated nitrogen inputs (De Vries et al., 2015). During acidification, these base cations are replaced by protons and subsequently leached from the rooted zone, accompanied with nitrate (De Vries et al., 1989; Lucas et al., 2011), which decrease their availability. This is an adverse effect since this loss of base cations implies a loss of the acid neutralization capacity and it may affect plant growth at low base saturation (being the ratio of adsorbed base cations on clay and organic matter as compared to the so-called cation exchange capacity).</w:t>
      </w:r>
    </w:p>
    <w:p w14:paraId="0FF03BA6" w14:textId="5872481C" w:rsidR="00B50A3E" w:rsidRDefault="00B50A3E" w:rsidP="00A13FA7"/>
    <w:p w14:paraId="33454D30" w14:textId="330537B5" w:rsidR="00B50A3E" w:rsidRDefault="00B50A3E" w:rsidP="00A13FA7">
      <w:r w:rsidRPr="00B50A3E">
        <w:t xml:space="preserve">In forest soils, the link between acid deposition and changes in soil and soil solution chemistry is well documented. In calcareous soils, the input of acidifying compounds (N and S) will not change soil pH until almost all the calcium carbonate has been depleted. In these soils protons (H+) are buffered by the dissolution of bicarbonate (HCO3-) and calcium (Ca2+) from calcium carbonate, with HCO3- and Ca2+ ions leaching from the system, while </w:t>
      </w:r>
      <w:r w:rsidR="00E53021">
        <w:t>t</w:t>
      </w:r>
      <w:r w:rsidRPr="00B50A3E">
        <w:t xml:space="preserve">he pH remains the same. In non-calcareous soils, buffering is taken over by weathering of silicate minerals and by cation exchange processes of the soil adsorption complexes. In these soils, protons are exchanged for calcium (Ca2+ ), magnesium (Mg2+) and potassium (K+) and these </w:t>
      </w:r>
      <w:r w:rsidRPr="00B50A3E">
        <w:lastRenderedPageBreak/>
        <w:t>cations are leached from the soil together with anions (mostly nitrate or sulphate). Subsequent leaching of Ca2+, Mg2+ and K+ leads to loss of the soil’s buffering capacity by base cations and to nutrient imbalances for plant growth. Because of the restricted capacity of this buffering system, soil pH will decrease. In many forested catchments, it has been shown that acid deposition has caused prolonged export of base cations, such as Ca2+ and Mg2+, from forest soils, resulting in base cation nutrient depletion (Akselsson et al., 2007; Sverdrup et al., 2006; Watmough et al., 2005). When the soil pH drops below 4.5, the acid input is also buffered by aluminium (Al) release, causing Al toxicity. Significant correlations between S and N deposition and enhanced concentrations of Al3+ in soil solutions have been demonstrated in acidic forest soils in Europe (De Vries et al., 2003). This has led to liming campaigns of forest soils, which has – in combinations with decreasing acid deposition - then significantly increased soil pH.</w:t>
      </w:r>
    </w:p>
    <w:p w14:paraId="0E914B49" w14:textId="77777777" w:rsidR="00B50A3E" w:rsidRDefault="00B50A3E" w:rsidP="00A13FA7"/>
    <w:p w14:paraId="66D5B5C0" w14:textId="59523CE4" w:rsidR="00A13FA7" w:rsidRDefault="00A13FA7" w:rsidP="00A13FA7">
      <w:r w:rsidRPr="00C0222B">
        <w:t xml:space="preserve">With decreasing pH, there is thus generally a more limited availability of </w:t>
      </w:r>
      <w:r>
        <w:t xml:space="preserve">base cation </w:t>
      </w:r>
      <w:r w:rsidRPr="00C0222B">
        <w:t>nutrients</w:t>
      </w:r>
      <w:r>
        <w:t xml:space="preserve"> (from leaching, together with nitrate and sulphate)</w:t>
      </w:r>
      <w:r w:rsidRPr="00C0222B">
        <w:t>, such as calcium, magnesium, potassium</w:t>
      </w:r>
      <w:r>
        <w:t xml:space="preserve">, </w:t>
      </w:r>
      <w:r w:rsidRPr="00C0222B">
        <w:t xml:space="preserve">and elevated concentrations of toxic elements, such as aluminium, manganese and heavy metals, which can restrict plant and soil biota growth due to nutrient deficiency and metal toxicity (Kochian et al., 2004; Rengel, 1992; Wang et al., 2007). </w:t>
      </w:r>
      <w:r>
        <w:t xml:space="preserve">In addition, pH can also </w:t>
      </w:r>
      <w:r w:rsidR="00E53021">
        <w:t>affect</w:t>
      </w:r>
      <w:r>
        <w:t xml:space="preserve"> the availability of </w:t>
      </w:r>
      <w:r w:rsidRPr="00C0222B">
        <w:t>phosph</w:t>
      </w:r>
      <w:r>
        <w:t xml:space="preserve">orus (P). </w:t>
      </w:r>
      <w:r w:rsidRPr="00C0222B">
        <w:t>There are indications that the soil can be limiting crop growth in acidic soils (Baquy et al., 2017; Lucas and Davis, 1961). Al toxicity is a major constraint for crop production in highly acidic soils (pH&lt;4.5) by damaging and stunting root systems (Delhaize and Ryan, 1995; Kochian et al., 2015) and potentially decreasing the availability of phosphate by formation of Al-P precipitates (Hinsinger, 2001).</w:t>
      </w:r>
    </w:p>
    <w:p w14:paraId="2FAA6ED4" w14:textId="77777777" w:rsidR="00A13FA7" w:rsidRDefault="00A13FA7" w:rsidP="00A13FA7"/>
    <w:p w14:paraId="386A79F5" w14:textId="7047B1C2" w:rsidR="00A13FA7" w:rsidRDefault="00A13FA7" w:rsidP="00A13FA7">
      <w:pPr>
        <w:pStyle w:val="berschrift2"/>
      </w:pPr>
      <w:bookmarkStart w:id="163" w:name="_Toc54100691"/>
      <w:bookmarkStart w:id="164" w:name="_Toc58973217"/>
      <w:bookmarkStart w:id="165" w:name="_Toc83997350"/>
      <w:r>
        <w:t>Indicato</w:t>
      </w:r>
      <w:r w:rsidR="008A30F6">
        <w:t>r</w:t>
      </w:r>
      <w:r>
        <w:t>s</w:t>
      </w:r>
      <w:r w:rsidR="008A30F6">
        <w:t xml:space="preserve"> for aci</w:t>
      </w:r>
      <w:r w:rsidR="006748FD">
        <w:t xml:space="preserve">dity status </w:t>
      </w:r>
      <w:bookmarkEnd w:id="163"/>
      <w:bookmarkEnd w:id="164"/>
      <w:r w:rsidR="006748FD">
        <w:t>of soils</w:t>
      </w:r>
      <w:bookmarkEnd w:id="165"/>
    </w:p>
    <w:p w14:paraId="67D575A8" w14:textId="77777777" w:rsidR="00A13FA7" w:rsidRDefault="00A13FA7" w:rsidP="00A13FA7"/>
    <w:p w14:paraId="030F9D14" w14:textId="119EC292" w:rsidR="00A13FA7" w:rsidRDefault="00A13FA7" w:rsidP="00A13FA7">
      <w:r>
        <w:t xml:space="preserve">There are various indicators for soil acidification, including pH, base saturation, Al concentration and the ratio of Al to base cations (De Vries et al., 2015). In agricultural soils, pH, and related </w:t>
      </w:r>
      <w:r w:rsidRPr="00DF6A7F">
        <w:t>base saturation</w:t>
      </w:r>
      <w:r>
        <w:t xml:space="preserve">, is the indicator that is used to assess the soil acidity status and the related need for liming. Dissolved Al concentrations or the ratio of Al to base cations are never used as indicators since Al release happens at pH values below 4.5 and a base saturation below 25% considered as (far) too low for agricultural soils, since crop </w:t>
      </w:r>
      <w:r w:rsidR="00E53021">
        <w:t>yield</w:t>
      </w:r>
      <w:r>
        <w:t xml:space="preserve"> is clearly affected below such values (see 4.3).</w:t>
      </w:r>
    </w:p>
    <w:p w14:paraId="0909C317" w14:textId="4BB8C59B" w:rsidR="00A13FA7" w:rsidRDefault="00A13FA7" w:rsidP="00A13FA7"/>
    <w:p w14:paraId="198550F1" w14:textId="1C0ABB44" w:rsidR="00B50A3E" w:rsidRDefault="00B50A3E" w:rsidP="00B50A3E">
      <w:r>
        <w:t xml:space="preserve">Ulrich and co-workers (e.g. Ulrich &amp; Matzner, 1983) were among the first who postulated that increased Al concentrations, specifically inorganic Al, and elevated Al/Ca ratios in soil solution are a major cause of forest dieback, by damaging the root system of tree species. Effects of high concentrations of Al on trees were tested with seedlings, either grown in water cultures, pot trials or in a greenhouse, mainly carried out in 1980s (for overviews, see Rengel (1992) and Kinraide (2003). Hypothesized mechanisms of Al toxicity </w:t>
      </w:r>
      <w:r w:rsidR="00E53021">
        <w:t>include hampered</w:t>
      </w:r>
      <w:r>
        <w:t xml:space="preserve"> root growth and inhibition of uptake of nutrients (Matzner &amp; Murach, 1995; Schulze, 1989; Sverdrup et al., 1990 and 1992; Sverdrup &amp; Warfvinge, 1993; Warfvinge et al., 1993). Furthermore, several authors (e.g. Roelofs et al., 1985) showed that release of Al by soil acidification and imbalances of ammonium to base cations, due to excessive N inputs and reduced nitrification, may cause nutrient deficiencies, which may be aggravated by a loss of mycorrhiza or root damage. This coincided temporally with field observations and foliage analyses </w:t>
      </w:r>
      <w:r w:rsidR="007A418D">
        <w:t>where</w:t>
      </w:r>
      <w:r>
        <w:t xml:space="preserve"> deficiencies of Mg and K caused yellowing of needles of Norway spruce (Zöttl &amp; Mies, 1983). In the eighties, several authors (for example Hutchinson et al., 1986; Ulrich &amp; Pankrath, 1983) considered soil acidification, especially the increase of the concentration of Al</w:t>
      </w:r>
      <w:r w:rsidRPr="007A418D">
        <w:rPr>
          <w:vertAlign w:val="superscript"/>
        </w:rPr>
        <w:t>3+</w:t>
      </w:r>
      <w:r>
        <w:t xml:space="preserve"> in soil solution, responsible for forest decline, since Al</w:t>
      </w:r>
      <w:r w:rsidRPr="007A418D">
        <w:rPr>
          <w:vertAlign w:val="superscript"/>
        </w:rPr>
        <w:t>3+</w:t>
      </w:r>
      <w:r>
        <w:t xml:space="preserve"> is very likely to be toxic to plant roots (Cronan &amp; Grigal, 1995; Marschner, 1990; Mengel, 1991; Sverdrup &amp; Warfvinge, 1992). The risk of Al</w:t>
      </w:r>
      <w:r w:rsidRPr="007A418D">
        <w:rPr>
          <w:vertAlign w:val="superscript"/>
        </w:rPr>
        <w:t>3+</w:t>
      </w:r>
      <w:r>
        <w:t xml:space="preserve"> for forest health in the field is considered lower but the adverse impact of Al</w:t>
      </w:r>
      <w:r w:rsidRPr="007A418D">
        <w:rPr>
          <w:vertAlign w:val="superscript"/>
        </w:rPr>
        <w:t>3+</w:t>
      </w:r>
      <w:r>
        <w:t xml:space="preserve"> on root functioning is an established fact, at least under laboratory conditions. </w:t>
      </w:r>
    </w:p>
    <w:p w14:paraId="2A7EE29A" w14:textId="77777777" w:rsidR="00B50A3E" w:rsidRDefault="00B50A3E" w:rsidP="00B50A3E"/>
    <w:p w14:paraId="0A81A0BB" w14:textId="60C7F87F" w:rsidR="00B50A3E" w:rsidRDefault="00B50A3E" w:rsidP="00B50A3E">
      <w:r>
        <w:t>In forest soils, critical levels for Al concentrations and for the Al/BC ratio have been derived and an overview of these levels is given in e.g. De Vries et al (2015). However, the standard indicator for soil acidity is the pH level, being the indicator used in this study.</w:t>
      </w:r>
    </w:p>
    <w:p w14:paraId="4CC99439" w14:textId="77777777" w:rsidR="00A13FA7" w:rsidRDefault="00A13FA7" w:rsidP="00A13FA7"/>
    <w:p w14:paraId="6C48253F" w14:textId="24927F16" w:rsidR="00A13FA7" w:rsidRDefault="00A13FA7" w:rsidP="00A13FA7">
      <w:pPr>
        <w:pStyle w:val="berschrift2"/>
      </w:pPr>
      <w:bookmarkStart w:id="166" w:name="_Toc54100692"/>
      <w:bookmarkStart w:id="167" w:name="_Toc83997351"/>
      <w:bookmarkStart w:id="168" w:name="_Toc58973218"/>
      <w:r w:rsidRPr="008F64E4">
        <w:t>Critical limits</w:t>
      </w:r>
      <w:bookmarkEnd w:id="166"/>
      <w:bookmarkEnd w:id="167"/>
      <w:r w:rsidRPr="008F64E4">
        <w:t xml:space="preserve"> </w:t>
      </w:r>
      <w:bookmarkEnd w:id="168"/>
    </w:p>
    <w:p w14:paraId="26C9DA39" w14:textId="77777777" w:rsidR="00A13FA7" w:rsidRDefault="00A13FA7" w:rsidP="00A13FA7"/>
    <w:p w14:paraId="28C58BC2" w14:textId="77777777" w:rsidR="00A13FA7" w:rsidRPr="006C39AA" w:rsidRDefault="00A13FA7" w:rsidP="006C39AA">
      <w:pPr>
        <w:pStyle w:val="EEAStandardbold"/>
      </w:pPr>
      <w:r w:rsidRPr="006C39AA">
        <w:t>Critical pH levels for agricultural (crop) land</w:t>
      </w:r>
    </w:p>
    <w:p w14:paraId="3D8F5D28" w14:textId="36272B6D" w:rsidR="00A13FA7" w:rsidRDefault="00A13FA7" w:rsidP="00DC7B4A">
      <w:r w:rsidRPr="00F174F3">
        <w:t xml:space="preserve">To avoid losses in crop production and environmental impacts, in terms of enhanced metal uptake and metal leaching, soil pH should stay above a critical level below which crop yield is limited, being generally </w:t>
      </w:r>
      <w:r w:rsidR="00F20B74" w:rsidRPr="00F174F3">
        <w:t>a level,</w:t>
      </w:r>
      <w:r w:rsidRPr="00F174F3">
        <w:t xml:space="preserve"> in which also soil metal availability is limited</w:t>
      </w:r>
      <w:r>
        <w:t xml:space="preserve">. As with P, the critical pH level can be derived by: </w:t>
      </w:r>
    </w:p>
    <w:p w14:paraId="694F9E46" w14:textId="77777777" w:rsidR="006C39AA" w:rsidRDefault="006C39AA" w:rsidP="00A13FA7">
      <w:pPr>
        <w:spacing w:before="120"/>
      </w:pPr>
    </w:p>
    <w:p w14:paraId="3FF58C8A" w14:textId="2109DF97" w:rsidR="00A13FA7" w:rsidRDefault="00A13FA7" w:rsidP="006C39AA">
      <w:pPr>
        <w:pStyle w:val="EEAbullet0"/>
      </w:pPr>
      <w:bookmarkStart w:id="169" w:name="_Hlk58955627"/>
      <w:r w:rsidRPr="006C39AA">
        <w:t xml:space="preserve">Short-term manipulation experiments in which the soil is manipulated to pH values by adding H+ or OH- and then a crop is grown on it (pot experiments in a laboratory or greenhouse). Advantage is that soil pH being the only variance while all other circumstances, such as soil type, temperature, water availability, nutrient availability, etc. were kept equal. Disadvantage is the different environment conditions between laboratory and field responses. Also, an adjusted soil pH by add acid or alkali can strongly affect the microorganism community, as well as the nutrients availability and the biomass accumulation. </w:t>
      </w:r>
    </w:p>
    <w:p w14:paraId="12D3753B" w14:textId="77777777" w:rsidR="006C39AA" w:rsidRPr="006C39AA" w:rsidRDefault="006C39AA" w:rsidP="006C39AA">
      <w:pPr>
        <w:pStyle w:val="EEAbullet0"/>
        <w:numPr>
          <w:ilvl w:val="0"/>
          <w:numId w:val="0"/>
        </w:numPr>
        <w:ind w:left="397"/>
      </w:pPr>
    </w:p>
    <w:p w14:paraId="4A1D6F23" w14:textId="77777777" w:rsidR="00A13FA7" w:rsidRPr="006C39AA" w:rsidRDefault="00A13FA7" w:rsidP="006C39AA">
      <w:pPr>
        <w:pStyle w:val="EEAbullet0"/>
      </w:pPr>
      <w:bookmarkStart w:id="170" w:name="_Hlk54971090"/>
      <w:r w:rsidRPr="006C39AA">
        <w:t xml:space="preserve">Long-term field experiments on the impacts of declining soil pH on plant growth/crop yield. Advantage is that the impacts are derived field conditions, but the disadvantage is that other (confounding) factors may change in time, including changes in climatic variables and the occurrence of pests and diseases, requiring careful consideration of the data. </w:t>
      </w:r>
    </w:p>
    <w:bookmarkEnd w:id="169"/>
    <w:p w14:paraId="663D65DB" w14:textId="77777777" w:rsidR="00A13FA7" w:rsidRDefault="00A13FA7" w:rsidP="00A13FA7"/>
    <w:bookmarkEnd w:id="170"/>
    <w:p w14:paraId="5C798216" w14:textId="549BE767" w:rsidR="00A13FA7" w:rsidRDefault="00A13FA7" w:rsidP="00A13FA7">
      <w:r w:rsidRPr="00842C73">
        <w:t>An ex</w:t>
      </w:r>
      <w:r>
        <w:t xml:space="preserve">ample of results thus obtained is given in </w:t>
      </w:r>
      <w:r w:rsidR="00616A32">
        <w:fldChar w:fldCharType="begin"/>
      </w:r>
      <w:r w:rsidR="00616A32">
        <w:instrText xml:space="preserve"> REF _Ref82784794 \h </w:instrText>
      </w:r>
      <w:r w:rsidR="00616A32">
        <w:fldChar w:fldCharType="separate"/>
      </w:r>
      <w:r w:rsidR="0067767C" w:rsidRPr="0001281B">
        <w:t xml:space="preserve">Figure </w:t>
      </w:r>
      <w:r w:rsidR="0067767C">
        <w:rPr>
          <w:noProof/>
        </w:rPr>
        <w:t>4</w:t>
      </w:r>
      <w:r w:rsidR="0067767C">
        <w:noBreakHyphen/>
      </w:r>
      <w:r w:rsidR="0067767C">
        <w:rPr>
          <w:noProof/>
        </w:rPr>
        <w:t>1</w:t>
      </w:r>
      <w:r w:rsidR="00616A32">
        <w:fldChar w:fldCharType="end"/>
      </w:r>
      <w:r>
        <w:t>.</w:t>
      </w:r>
      <w:r w:rsidRPr="00842C73">
        <w:t xml:space="preserve"> A significant non-linear relationship was found between soil pH and relative crop yield, defined as a fraction of the maximum crop yield without acidification impacts, both in short-term manipulated experiments (STE) and long-term experiments (LTE) for wheat, maize and rice. In STE, the critical pH values, related to an expected yield loss of 5%, i.e. a crop yield that equals 95% of the maximum yield, were comparable (4.5 - 4.7) for all three cereal crops (</w:t>
      </w:r>
      <w:r w:rsidR="005F311B">
        <w:fldChar w:fldCharType="begin"/>
      </w:r>
      <w:r w:rsidR="005F311B">
        <w:instrText xml:space="preserve"> REF _Ref64635669 \h </w:instrText>
      </w:r>
      <w:r w:rsidR="005F311B">
        <w:fldChar w:fldCharType="separate"/>
      </w:r>
      <w:r w:rsidR="0067767C" w:rsidRPr="00776F43">
        <w:t xml:space="preserve">Table </w:t>
      </w:r>
      <w:r w:rsidR="0067767C">
        <w:rPr>
          <w:noProof/>
        </w:rPr>
        <w:t>4</w:t>
      </w:r>
      <w:r w:rsidR="0067767C">
        <w:noBreakHyphen/>
      </w:r>
      <w:r w:rsidR="0067767C">
        <w:rPr>
          <w:noProof/>
        </w:rPr>
        <w:t>2</w:t>
      </w:r>
      <w:r w:rsidR="005F311B">
        <w:fldChar w:fldCharType="end"/>
      </w:r>
      <w:r w:rsidRPr="00842C73">
        <w:t>), being close to the pH value of 4.5 at which aluminium release starts to occur.</w:t>
      </w:r>
    </w:p>
    <w:p w14:paraId="61EBAF09" w14:textId="54E9DD46" w:rsidR="005F311B" w:rsidRDefault="005F311B" w:rsidP="00F20B74">
      <w:pPr>
        <w:spacing w:before="120"/>
      </w:pPr>
    </w:p>
    <w:p w14:paraId="242A2E47" w14:textId="30B663F3" w:rsidR="00DC7B4A" w:rsidRPr="0001281B" w:rsidRDefault="00DC7B4A" w:rsidP="00DC7B4A">
      <w:pPr>
        <w:pStyle w:val="FormatvorlageBeschriftung"/>
      </w:pPr>
      <w:bookmarkStart w:id="171" w:name="_Ref82784794"/>
      <w:bookmarkStart w:id="172" w:name="_Toc83997436"/>
      <w:r w:rsidRPr="0001281B">
        <w:t xml:space="preserve">Figure </w:t>
      </w:r>
      <w:r w:rsidR="00CA7716">
        <w:fldChar w:fldCharType="begin"/>
      </w:r>
      <w:r w:rsidR="00CA7716">
        <w:instrText xml:space="preserve"> STYLEREF 1 \s </w:instrText>
      </w:r>
      <w:r w:rsidR="00CA7716">
        <w:fldChar w:fldCharType="separate"/>
      </w:r>
      <w:r w:rsidR="0067767C">
        <w:rPr>
          <w:noProof/>
        </w:rPr>
        <w:t>4</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171"/>
      <w:r w:rsidRPr="0001281B">
        <w:t>:</w:t>
      </w:r>
      <w:r w:rsidRPr="0001281B">
        <w:tab/>
      </w:r>
      <w:r w:rsidRPr="00DC7B4A">
        <w:t>S-functional relationships of soil pH impacts on the relative yield of wheat (a), maize (b) and rice (c) using combined short-term pH manipulation experiments and long-term observations</w:t>
      </w:r>
      <w:bookmarkEnd w:id="172"/>
    </w:p>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476"/>
      </w:tblGrid>
      <w:tr w:rsidR="006C39AA" w14:paraId="7A7C12B7" w14:textId="77777777" w:rsidTr="006C39AA">
        <w:tc>
          <w:tcPr>
            <w:tcW w:w="4925" w:type="dxa"/>
          </w:tcPr>
          <w:p w14:paraId="47E534FD" w14:textId="3BBAF6A4" w:rsidR="006C39AA" w:rsidRDefault="006C39AA" w:rsidP="00321205">
            <w:pPr>
              <w:pStyle w:val="FormatvorlageEEATabfootnoteLinks0cmErsteZeile0cm"/>
              <w:ind w:left="0" w:firstLine="0"/>
            </w:pPr>
            <w:r>
              <w:rPr>
                <w:noProof/>
                <w:lang w:eastAsia="en-GB"/>
              </w:rPr>
              <w:drawing>
                <wp:anchor distT="0" distB="0" distL="114300" distR="114300" simplePos="0" relativeHeight="251722240" behindDoc="0" locked="0" layoutInCell="1" allowOverlap="1" wp14:anchorId="3E6AFDF6" wp14:editId="38082F67">
                  <wp:simplePos x="0" y="0"/>
                  <wp:positionH relativeFrom="column">
                    <wp:posOffset>2721</wp:posOffset>
                  </wp:positionH>
                  <wp:positionV relativeFrom="paragraph">
                    <wp:posOffset>272</wp:posOffset>
                  </wp:positionV>
                  <wp:extent cx="2700000" cy="1821600"/>
                  <wp:effectExtent l="0" t="0" r="5715" b="7620"/>
                  <wp:wrapTopAndBottom/>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1618" r="4445" b="67086"/>
                          <a:stretch/>
                        </pic:blipFill>
                        <pic:spPr bwMode="auto">
                          <a:xfrm>
                            <a:off x="0" y="0"/>
                            <a:ext cx="2700000" cy="1821600"/>
                          </a:xfrm>
                          <a:prstGeom prst="rect">
                            <a:avLst/>
                          </a:prstGeom>
                          <a:noFill/>
                          <a:ln>
                            <a:noFill/>
                          </a:ln>
                          <a:extLst>
                            <a:ext uri="{53640926-AAD7-44D8-BBD7-CCE9431645EC}">
                              <a14:shadowObscured xmlns:a14="http://schemas.microsoft.com/office/drawing/2010/main"/>
                            </a:ext>
                          </a:extLst>
                        </pic:spPr>
                      </pic:pic>
                    </a:graphicData>
                  </a:graphic>
                </wp:anchor>
              </w:drawing>
            </w:r>
            <w:r>
              <w:t>Soil pH</w:t>
            </w:r>
          </w:p>
        </w:tc>
        <w:tc>
          <w:tcPr>
            <w:tcW w:w="4476" w:type="dxa"/>
          </w:tcPr>
          <w:p w14:paraId="20312959" w14:textId="77777777" w:rsidR="006C39AA" w:rsidRDefault="006C39AA" w:rsidP="006C39AA">
            <w:pPr>
              <w:pStyle w:val="FormatvorlageEEATabfootnoteLinks0cmErsteZeile0cm"/>
              <w:ind w:left="0" w:firstLine="0"/>
              <w:rPr>
                <w:b/>
              </w:rPr>
            </w:pPr>
            <w:r>
              <w:rPr>
                <w:noProof/>
                <w:lang w:eastAsia="en-GB"/>
              </w:rPr>
              <w:drawing>
                <wp:anchor distT="0" distB="0" distL="114300" distR="114300" simplePos="0" relativeHeight="251723264" behindDoc="0" locked="0" layoutInCell="1" allowOverlap="1" wp14:anchorId="03BAD641" wp14:editId="713A58D6">
                  <wp:simplePos x="0" y="0"/>
                  <wp:positionH relativeFrom="column">
                    <wp:posOffset>-454</wp:posOffset>
                  </wp:positionH>
                  <wp:positionV relativeFrom="paragraph">
                    <wp:posOffset>272</wp:posOffset>
                  </wp:positionV>
                  <wp:extent cx="2700000" cy="1821600"/>
                  <wp:effectExtent l="0" t="0" r="5715" b="7620"/>
                  <wp:wrapTopAndBottom/>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t="32014" r="2222" b="36511"/>
                          <a:stretch/>
                        </pic:blipFill>
                        <pic:spPr bwMode="auto">
                          <a:xfrm>
                            <a:off x="0" y="0"/>
                            <a:ext cx="2700000" cy="1821600"/>
                          </a:xfrm>
                          <a:prstGeom prst="rect">
                            <a:avLst/>
                          </a:prstGeom>
                          <a:noFill/>
                          <a:ln>
                            <a:noFill/>
                          </a:ln>
                          <a:extLst>
                            <a:ext uri="{53640926-AAD7-44D8-BBD7-CCE9431645EC}">
                              <a14:shadowObscured xmlns:a14="http://schemas.microsoft.com/office/drawing/2010/main"/>
                            </a:ext>
                          </a:extLst>
                        </pic:spPr>
                      </pic:pic>
                    </a:graphicData>
                  </a:graphic>
                </wp:anchor>
              </w:drawing>
            </w:r>
          </w:p>
          <w:p w14:paraId="3F2E9E4F" w14:textId="60D3296D" w:rsidR="006C39AA" w:rsidRDefault="006C39AA" w:rsidP="006C39AA">
            <w:pPr>
              <w:pStyle w:val="EEATabcenterbold"/>
            </w:pPr>
            <w:r>
              <w:t>soil pH</w:t>
            </w:r>
          </w:p>
        </w:tc>
      </w:tr>
      <w:tr w:rsidR="006C39AA" w14:paraId="0FC261D4" w14:textId="77777777" w:rsidTr="006C39AA">
        <w:tc>
          <w:tcPr>
            <w:tcW w:w="4925" w:type="dxa"/>
          </w:tcPr>
          <w:p w14:paraId="7068FA85" w14:textId="77777777" w:rsidR="006C39AA" w:rsidRDefault="006C39AA" w:rsidP="006C39AA">
            <w:pPr>
              <w:pStyle w:val="FormatvorlageEEATabfootnoteLinks0cmErsteZeile0cm"/>
              <w:ind w:left="0" w:firstLine="0"/>
              <w:rPr>
                <w:b/>
              </w:rPr>
            </w:pPr>
            <w:r>
              <w:rPr>
                <w:noProof/>
                <w:lang w:eastAsia="en-GB"/>
              </w:rPr>
              <w:lastRenderedPageBreak/>
              <w:drawing>
                <wp:anchor distT="0" distB="0" distL="114300" distR="114300" simplePos="0" relativeHeight="251724288" behindDoc="0" locked="0" layoutInCell="1" allowOverlap="1" wp14:anchorId="4FCCF559" wp14:editId="1B4656C4">
                  <wp:simplePos x="0" y="0"/>
                  <wp:positionH relativeFrom="column">
                    <wp:posOffset>2721</wp:posOffset>
                  </wp:positionH>
                  <wp:positionV relativeFrom="paragraph">
                    <wp:posOffset>544</wp:posOffset>
                  </wp:positionV>
                  <wp:extent cx="2700000" cy="1821600"/>
                  <wp:effectExtent l="0" t="0" r="5715" b="7620"/>
                  <wp:wrapTopAndBottom/>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t="62770" r="2963" b="3597"/>
                          <a:stretch/>
                        </pic:blipFill>
                        <pic:spPr bwMode="auto">
                          <a:xfrm>
                            <a:off x="0" y="0"/>
                            <a:ext cx="2700000" cy="1821600"/>
                          </a:xfrm>
                          <a:prstGeom prst="rect">
                            <a:avLst/>
                          </a:prstGeom>
                          <a:noFill/>
                          <a:ln>
                            <a:noFill/>
                          </a:ln>
                          <a:extLst>
                            <a:ext uri="{53640926-AAD7-44D8-BBD7-CCE9431645EC}">
                              <a14:shadowObscured xmlns:a14="http://schemas.microsoft.com/office/drawing/2010/main"/>
                            </a:ext>
                          </a:extLst>
                        </pic:spPr>
                      </pic:pic>
                    </a:graphicData>
                  </a:graphic>
                </wp:anchor>
              </w:drawing>
            </w:r>
          </w:p>
          <w:p w14:paraId="04E6E467" w14:textId="61B10265" w:rsidR="006C39AA" w:rsidRDefault="006C39AA" w:rsidP="006C39AA">
            <w:pPr>
              <w:pStyle w:val="EEATabcenterbold"/>
            </w:pPr>
            <w:r>
              <w:t>Soil pH</w:t>
            </w:r>
          </w:p>
        </w:tc>
        <w:tc>
          <w:tcPr>
            <w:tcW w:w="4476" w:type="dxa"/>
          </w:tcPr>
          <w:p w14:paraId="28D508E1" w14:textId="77777777" w:rsidR="006C39AA" w:rsidRDefault="006C39AA" w:rsidP="006C39AA">
            <w:pPr>
              <w:pStyle w:val="FormatvorlageEEATabfootnoteLinks0cmErsteZeile0cm"/>
              <w:ind w:left="0" w:firstLine="0"/>
              <w:rPr>
                <w:b/>
              </w:rPr>
            </w:pPr>
          </w:p>
        </w:tc>
      </w:tr>
    </w:tbl>
    <w:p w14:paraId="495CF293" w14:textId="3FD34F45" w:rsidR="00A13FA7" w:rsidRPr="00454EA7" w:rsidRDefault="006C39AA" w:rsidP="00454EA7">
      <w:pPr>
        <w:pStyle w:val="EEASource"/>
      </w:pPr>
      <w:r w:rsidRPr="00454EA7">
        <w:t xml:space="preserve">Note: </w:t>
      </w:r>
      <w:r w:rsidRPr="00454EA7">
        <w:tab/>
      </w:r>
      <w:r w:rsidR="00A13FA7" w:rsidRPr="00454EA7">
        <w:t>** denotes P&lt;0.01, indicating a highly significant non-linear relationship.</w:t>
      </w:r>
    </w:p>
    <w:p w14:paraId="61B7A3DF" w14:textId="5BFDA4EE" w:rsidR="006C39AA" w:rsidRPr="00454EA7" w:rsidRDefault="006C39AA" w:rsidP="00454EA7">
      <w:pPr>
        <w:pStyle w:val="EEASource"/>
      </w:pPr>
      <w:r w:rsidRPr="00454EA7">
        <w:t xml:space="preserve">Source: </w:t>
      </w:r>
      <w:r w:rsidRPr="00454EA7">
        <w:tab/>
        <w:t>Zhu et al.; 2020</w:t>
      </w:r>
    </w:p>
    <w:p w14:paraId="0DD2DD61" w14:textId="7D77D772" w:rsidR="00A13FA7" w:rsidRDefault="00A13FA7" w:rsidP="00F20B74">
      <w:pPr>
        <w:spacing w:before="240"/>
      </w:pPr>
    </w:p>
    <w:p w14:paraId="03221EBE" w14:textId="72624402" w:rsidR="005F311B" w:rsidRPr="00776F43" w:rsidRDefault="005F311B" w:rsidP="005F311B">
      <w:pPr>
        <w:pStyle w:val="EEALabel"/>
        <w:rPr>
          <w:rFonts w:eastAsia="Calibri"/>
        </w:rPr>
      </w:pPr>
      <w:bookmarkStart w:id="173" w:name="_Ref64635669"/>
      <w:bookmarkStart w:id="174" w:name="_Toc83997514"/>
      <w:r w:rsidRPr="00776F43">
        <w:t xml:space="preserve">Table </w:t>
      </w:r>
      <w:r w:rsidR="00C76C23">
        <w:fldChar w:fldCharType="begin"/>
      </w:r>
      <w:r w:rsidR="00C76C23">
        <w:instrText xml:space="preserve"> STYLEREF 1 \s </w:instrText>
      </w:r>
      <w:r w:rsidR="00C76C23">
        <w:fldChar w:fldCharType="separate"/>
      </w:r>
      <w:r w:rsidR="0067767C">
        <w:rPr>
          <w:noProof/>
        </w:rPr>
        <w:t>4</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173"/>
      <w:r w:rsidRPr="00776F43">
        <w:t>:</w:t>
      </w:r>
      <w:r w:rsidRPr="00776F43">
        <w:rPr>
          <w:rFonts w:eastAsia="Calibri"/>
        </w:rPr>
        <w:tab/>
      </w:r>
      <w:r w:rsidRPr="00C17EBE">
        <w:rPr>
          <w:rFonts w:eastAsia="Calibri"/>
        </w:rPr>
        <w:t>Summarized critical pH values of wheat, maize and rice derived from short-term manipulation experiments (STE) and long-term observations (LTE)</w:t>
      </w:r>
      <w:bookmarkEnd w:id="174"/>
    </w:p>
    <w:p w14:paraId="566CA325" w14:textId="4DA57D80" w:rsidR="005F311B" w:rsidRDefault="005F311B" w:rsidP="00A13FA7">
      <w:pPr>
        <w:spacing w:before="120"/>
      </w:pPr>
    </w:p>
    <w:tbl>
      <w:tblPr>
        <w:tblStyle w:val="Tabellenraster"/>
        <w:tblW w:w="455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83"/>
        <w:gridCol w:w="997"/>
        <w:gridCol w:w="1139"/>
        <w:gridCol w:w="1124"/>
        <w:gridCol w:w="16"/>
      </w:tblGrid>
      <w:tr w:rsidR="00A13FA7" w:rsidRPr="0029065D" w14:paraId="37D94EA7" w14:textId="77777777" w:rsidTr="0029065D">
        <w:trPr>
          <w:gridAfter w:val="1"/>
          <w:wAfter w:w="16" w:type="dxa"/>
          <w:trHeight w:val="255"/>
        </w:trPr>
        <w:tc>
          <w:tcPr>
            <w:tcW w:w="993" w:type="dxa"/>
            <w:vMerge w:val="restart"/>
            <w:tcBorders>
              <w:top w:val="single" w:sz="4" w:space="0" w:color="auto"/>
            </w:tcBorders>
            <w:shd w:val="pct10" w:color="auto" w:fill="auto"/>
            <w:vAlign w:val="center"/>
          </w:tcPr>
          <w:p w14:paraId="68350018" w14:textId="77777777" w:rsidR="00A13FA7" w:rsidRPr="0029065D" w:rsidRDefault="00A13FA7" w:rsidP="0029065D">
            <w:pPr>
              <w:pStyle w:val="EEAtableleft"/>
              <w:rPr>
                <w:b/>
                <w:bCs/>
              </w:rPr>
            </w:pPr>
            <w:r w:rsidRPr="0029065D">
              <w:rPr>
                <w:b/>
                <w:bCs/>
              </w:rPr>
              <w:t>Crops</w:t>
            </w:r>
          </w:p>
        </w:tc>
        <w:tc>
          <w:tcPr>
            <w:tcW w:w="283" w:type="dxa"/>
            <w:tcBorders>
              <w:top w:val="single" w:sz="4" w:space="0" w:color="auto"/>
              <w:bottom w:val="nil"/>
            </w:tcBorders>
            <w:shd w:val="pct10" w:color="auto" w:fill="auto"/>
            <w:vAlign w:val="center"/>
          </w:tcPr>
          <w:p w14:paraId="545174F4" w14:textId="77777777" w:rsidR="00A13FA7" w:rsidRPr="0029065D" w:rsidRDefault="00A13FA7" w:rsidP="0029065D">
            <w:pPr>
              <w:pStyle w:val="EEAtableleft"/>
              <w:rPr>
                <w:b/>
                <w:bCs/>
              </w:rPr>
            </w:pPr>
          </w:p>
        </w:tc>
        <w:tc>
          <w:tcPr>
            <w:tcW w:w="3260" w:type="dxa"/>
            <w:gridSpan w:val="3"/>
            <w:tcBorders>
              <w:top w:val="single" w:sz="4" w:space="0" w:color="auto"/>
              <w:bottom w:val="single" w:sz="4" w:space="0" w:color="auto"/>
            </w:tcBorders>
            <w:shd w:val="pct10" w:color="auto" w:fill="auto"/>
            <w:vAlign w:val="center"/>
          </w:tcPr>
          <w:p w14:paraId="5400A57B" w14:textId="77777777" w:rsidR="00A13FA7" w:rsidRPr="0029065D" w:rsidRDefault="00A13FA7" w:rsidP="0029065D">
            <w:pPr>
              <w:pStyle w:val="EEATabcenterbold"/>
            </w:pPr>
            <w:r w:rsidRPr="0029065D">
              <w:rPr>
                <w:rFonts w:hint="eastAsia"/>
              </w:rPr>
              <w:t>pH</w:t>
            </w:r>
            <w:r w:rsidRPr="0029065D">
              <w:t xml:space="preserve"> at </w:t>
            </w:r>
            <w:r w:rsidRPr="0029065D">
              <w:rPr>
                <w:rFonts w:hint="eastAsia"/>
              </w:rPr>
              <w:t>95%</w:t>
            </w:r>
            <w:r w:rsidRPr="0029065D">
              <w:t xml:space="preserve"> </w:t>
            </w:r>
            <w:r w:rsidRPr="0029065D">
              <w:rPr>
                <w:rFonts w:hint="eastAsia"/>
              </w:rPr>
              <w:t>yield</w:t>
            </w:r>
          </w:p>
        </w:tc>
      </w:tr>
      <w:tr w:rsidR="00A13FA7" w:rsidRPr="006C39AA" w14:paraId="5E4311D5" w14:textId="77777777" w:rsidTr="0029065D">
        <w:trPr>
          <w:trHeight w:val="285"/>
        </w:trPr>
        <w:tc>
          <w:tcPr>
            <w:tcW w:w="993" w:type="dxa"/>
            <w:vMerge/>
            <w:tcBorders>
              <w:bottom w:val="single" w:sz="4" w:space="0" w:color="auto"/>
            </w:tcBorders>
            <w:shd w:val="pct10" w:color="auto" w:fill="auto"/>
            <w:vAlign w:val="center"/>
          </w:tcPr>
          <w:p w14:paraId="26AB36E2" w14:textId="77777777" w:rsidR="00A13FA7" w:rsidRPr="0029065D" w:rsidRDefault="00A13FA7" w:rsidP="0029065D">
            <w:pPr>
              <w:pStyle w:val="EEAtableleft"/>
              <w:rPr>
                <w:b/>
                <w:bCs/>
              </w:rPr>
            </w:pPr>
          </w:p>
        </w:tc>
        <w:tc>
          <w:tcPr>
            <w:tcW w:w="283" w:type="dxa"/>
            <w:tcBorders>
              <w:top w:val="nil"/>
              <w:bottom w:val="single" w:sz="4" w:space="0" w:color="auto"/>
            </w:tcBorders>
            <w:shd w:val="pct10" w:color="auto" w:fill="auto"/>
          </w:tcPr>
          <w:p w14:paraId="11654A41" w14:textId="77777777" w:rsidR="00A13FA7" w:rsidRPr="0029065D" w:rsidRDefault="00A13FA7" w:rsidP="0029065D">
            <w:pPr>
              <w:pStyle w:val="EEAtableleft"/>
              <w:rPr>
                <w:b/>
                <w:bCs/>
              </w:rPr>
            </w:pPr>
          </w:p>
        </w:tc>
        <w:tc>
          <w:tcPr>
            <w:tcW w:w="997" w:type="dxa"/>
            <w:tcBorders>
              <w:top w:val="nil"/>
              <w:bottom w:val="single" w:sz="4" w:space="0" w:color="auto"/>
            </w:tcBorders>
            <w:shd w:val="pct10" w:color="auto" w:fill="auto"/>
            <w:vAlign w:val="center"/>
          </w:tcPr>
          <w:p w14:paraId="75DE6465" w14:textId="77777777" w:rsidR="00A13FA7" w:rsidRPr="0029065D" w:rsidRDefault="00A13FA7" w:rsidP="0029065D">
            <w:pPr>
              <w:pStyle w:val="EEATabcenterbold"/>
            </w:pPr>
            <w:r w:rsidRPr="0029065D">
              <w:t>STE</w:t>
            </w:r>
          </w:p>
        </w:tc>
        <w:tc>
          <w:tcPr>
            <w:tcW w:w="1139" w:type="dxa"/>
            <w:tcBorders>
              <w:top w:val="nil"/>
              <w:bottom w:val="single" w:sz="4" w:space="0" w:color="auto"/>
            </w:tcBorders>
            <w:shd w:val="pct10" w:color="auto" w:fill="auto"/>
            <w:vAlign w:val="center"/>
          </w:tcPr>
          <w:p w14:paraId="6FBE6D27" w14:textId="77777777" w:rsidR="00A13FA7" w:rsidRPr="0029065D" w:rsidRDefault="00A13FA7" w:rsidP="0029065D">
            <w:pPr>
              <w:pStyle w:val="EEATabcenterbold"/>
            </w:pPr>
            <w:r w:rsidRPr="0029065D">
              <w:t>LTE</w:t>
            </w:r>
          </w:p>
        </w:tc>
        <w:tc>
          <w:tcPr>
            <w:tcW w:w="1140" w:type="dxa"/>
            <w:gridSpan w:val="2"/>
            <w:tcBorders>
              <w:top w:val="nil"/>
              <w:bottom w:val="single" w:sz="4" w:space="0" w:color="auto"/>
            </w:tcBorders>
            <w:shd w:val="pct10" w:color="auto" w:fill="auto"/>
            <w:vAlign w:val="center"/>
          </w:tcPr>
          <w:p w14:paraId="776E51BF" w14:textId="77777777" w:rsidR="00A13FA7" w:rsidRPr="0029065D" w:rsidRDefault="00A13FA7" w:rsidP="0029065D">
            <w:pPr>
              <w:pStyle w:val="EEATabcenterbold"/>
            </w:pPr>
            <w:r w:rsidRPr="0029065D">
              <w:t>STE+LTE</w:t>
            </w:r>
          </w:p>
        </w:tc>
      </w:tr>
      <w:tr w:rsidR="00A13FA7" w:rsidRPr="006C39AA" w14:paraId="291FC0B6" w14:textId="77777777" w:rsidTr="0029065D">
        <w:trPr>
          <w:trHeight w:val="255"/>
        </w:trPr>
        <w:tc>
          <w:tcPr>
            <w:tcW w:w="993" w:type="dxa"/>
            <w:tcBorders>
              <w:top w:val="single" w:sz="4" w:space="0" w:color="auto"/>
              <w:bottom w:val="single" w:sz="4" w:space="0" w:color="auto"/>
            </w:tcBorders>
            <w:vAlign w:val="center"/>
          </w:tcPr>
          <w:p w14:paraId="4E10058D" w14:textId="77777777" w:rsidR="00A13FA7" w:rsidRPr="006C39AA" w:rsidRDefault="00A13FA7" w:rsidP="006C39AA">
            <w:pPr>
              <w:pStyle w:val="EEAtableleft"/>
            </w:pPr>
            <w:r w:rsidRPr="006C39AA">
              <w:t>Wheat</w:t>
            </w:r>
          </w:p>
        </w:tc>
        <w:tc>
          <w:tcPr>
            <w:tcW w:w="283" w:type="dxa"/>
            <w:tcBorders>
              <w:top w:val="single" w:sz="4" w:space="0" w:color="auto"/>
              <w:bottom w:val="single" w:sz="4" w:space="0" w:color="auto"/>
            </w:tcBorders>
          </w:tcPr>
          <w:p w14:paraId="57B1BEA6" w14:textId="77777777" w:rsidR="00A13FA7" w:rsidRPr="006C39AA" w:rsidRDefault="00A13FA7" w:rsidP="006C39AA">
            <w:pPr>
              <w:pStyle w:val="EEAtableleft"/>
            </w:pPr>
          </w:p>
        </w:tc>
        <w:tc>
          <w:tcPr>
            <w:tcW w:w="997" w:type="dxa"/>
            <w:tcBorders>
              <w:top w:val="single" w:sz="4" w:space="0" w:color="auto"/>
              <w:bottom w:val="single" w:sz="4" w:space="0" w:color="auto"/>
            </w:tcBorders>
            <w:vAlign w:val="center"/>
          </w:tcPr>
          <w:p w14:paraId="58EBCAA2" w14:textId="77777777" w:rsidR="00A13FA7" w:rsidRPr="006C39AA" w:rsidRDefault="00A13FA7" w:rsidP="0029065D">
            <w:pPr>
              <w:pStyle w:val="EEATabcenter"/>
            </w:pPr>
            <w:r w:rsidRPr="006C39AA">
              <w:rPr>
                <w:rFonts w:hint="eastAsia"/>
              </w:rPr>
              <w:t>4.</w:t>
            </w:r>
            <w:r w:rsidRPr="006C39AA">
              <w:t>5</w:t>
            </w:r>
          </w:p>
        </w:tc>
        <w:tc>
          <w:tcPr>
            <w:tcW w:w="1139" w:type="dxa"/>
            <w:tcBorders>
              <w:top w:val="single" w:sz="4" w:space="0" w:color="auto"/>
              <w:bottom w:val="single" w:sz="4" w:space="0" w:color="auto"/>
            </w:tcBorders>
            <w:vAlign w:val="center"/>
          </w:tcPr>
          <w:p w14:paraId="68C98B01" w14:textId="77777777" w:rsidR="00A13FA7" w:rsidRPr="006C39AA" w:rsidRDefault="00A13FA7" w:rsidP="0029065D">
            <w:pPr>
              <w:pStyle w:val="EEATabcenter"/>
            </w:pPr>
            <w:r w:rsidRPr="006C39AA">
              <w:rPr>
                <w:rFonts w:hint="eastAsia"/>
              </w:rPr>
              <w:t>5.9</w:t>
            </w:r>
          </w:p>
        </w:tc>
        <w:tc>
          <w:tcPr>
            <w:tcW w:w="1140" w:type="dxa"/>
            <w:gridSpan w:val="2"/>
            <w:tcBorders>
              <w:top w:val="single" w:sz="4" w:space="0" w:color="auto"/>
              <w:bottom w:val="single" w:sz="4" w:space="0" w:color="auto"/>
            </w:tcBorders>
            <w:vAlign w:val="center"/>
          </w:tcPr>
          <w:p w14:paraId="16E6A39F" w14:textId="77777777" w:rsidR="00A13FA7" w:rsidRPr="006C39AA" w:rsidRDefault="00A13FA7" w:rsidP="0029065D">
            <w:pPr>
              <w:pStyle w:val="EEATabcenter"/>
            </w:pPr>
            <w:r w:rsidRPr="006C39AA">
              <w:t>5.3</w:t>
            </w:r>
          </w:p>
        </w:tc>
      </w:tr>
      <w:tr w:rsidR="00A13FA7" w:rsidRPr="006C39AA" w14:paraId="49DBF160" w14:textId="77777777" w:rsidTr="0029065D">
        <w:trPr>
          <w:trHeight w:val="255"/>
        </w:trPr>
        <w:tc>
          <w:tcPr>
            <w:tcW w:w="993" w:type="dxa"/>
            <w:tcBorders>
              <w:top w:val="single" w:sz="4" w:space="0" w:color="auto"/>
              <w:bottom w:val="single" w:sz="4" w:space="0" w:color="auto"/>
            </w:tcBorders>
            <w:vAlign w:val="center"/>
          </w:tcPr>
          <w:p w14:paraId="4230D790" w14:textId="77777777" w:rsidR="00A13FA7" w:rsidRPr="006C39AA" w:rsidRDefault="00A13FA7" w:rsidP="006C39AA">
            <w:pPr>
              <w:pStyle w:val="EEAtableleft"/>
            </w:pPr>
            <w:r w:rsidRPr="006C39AA">
              <w:t>Maize</w:t>
            </w:r>
          </w:p>
        </w:tc>
        <w:tc>
          <w:tcPr>
            <w:tcW w:w="283" w:type="dxa"/>
            <w:tcBorders>
              <w:top w:val="single" w:sz="4" w:space="0" w:color="auto"/>
              <w:bottom w:val="single" w:sz="4" w:space="0" w:color="auto"/>
            </w:tcBorders>
          </w:tcPr>
          <w:p w14:paraId="66CA9A28" w14:textId="77777777" w:rsidR="00A13FA7" w:rsidRPr="006C39AA" w:rsidRDefault="00A13FA7" w:rsidP="006C39AA">
            <w:pPr>
              <w:pStyle w:val="EEAtableleft"/>
            </w:pPr>
          </w:p>
        </w:tc>
        <w:tc>
          <w:tcPr>
            <w:tcW w:w="997" w:type="dxa"/>
            <w:tcBorders>
              <w:top w:val="single" w:sz="4" w:space="0" w:color="auto"/>
              <w:bottom w:val="single" w:sz="4" w:space="0" w:color="auto"/>
            </w:tcBorders>
            <w:vAlign w:val="center"/>
          </w:tcPr>
          <w:p w14:paraId="0588F17D" w14:textId="77777777" w:rsidR="00A13FA7" w:rsidRPr="006C39AA" w:rsidRDefault="00A13FA7" w:rsidP="0029065D">
            <w:pPr>
              <w:pStyle w:val="EEATabcenter"/>
            </w:pPr>
            <w:r w:rsidRPr="006C39AA">
              <w:rPr>
                <w:rFonts w:hint="eastAsia"/>
              </w:rPr>
              <w:t>4.</w:t>
            </w:r>
            <w:r w:rsidRPr="006C39AA">
              <w:t>6</w:t>
            </w:r>
          </w:p>
        </w:tc>
        <w:tc>
          <w:tcPr>
            <w:tcW w:w="1139" w:type="dxa"/>
            <w:tcBorders>
              <w:top w:val="single" w:sz="4" w:space="0" w:color="auto"/>
              <w:bottom w:val="single" w:sz="4" w:space="0" w:color="auto"/>
            </w:tcBorders>
            <w:vAlign w:val="center"/>
          </w:tcPr>
          <w:p w14:paraId="71A4ECAC" w14:textId="77777777" w:rsidR="00A13FA7" w:rsidRPr="006C39AA" w:rsidRDefault="00A13FA7" w:rsidP="0029065D">
            <w:pPr>
              <w:pStyle w:val="EEATabcenter"/>
            </w:pPr>
            <w:r w:rsidRPr="006C39AA">
              <w:t>5.1</w:t>
            </w:r>
          </w:p>
        </w:tc>
        <w:tc>
          <w:tcPr>
            <w:tcW w:w="1140" w:type="dxa"/>
            <w:gridSpan w:val="2"/>
            <w:tcBorders>
              <w:top w:val="single" w:sz="4" w:space="0" w:color="auto"/>
              <w:bottom w:val="single" w:sz="4" w:space="0" w:color="auto"/>
            </w:tcBorders>
            <w:vAlign w:val="center"/>
          </w:tcPr>
          <w:p w14:paraId="5F187F63" w14:textId="77777777" w:rsidR="00A13FA7" w:rsidRPr="006C39AA" w:rsidRDefault="00A13FA7" w:rsidP="0029065D">
            <w:pPr>
              <w:pStyle w:val="EEATabcenter"/>
            </w:pPr>
            <w:r w:rsidRPr="006C39AA">
              <w:t>4.8</w:t>
            </w:r>
          </w:p>
        </w:tc>
      </w:tr>
      <w:tr w:rsidR="00A13FA7" w:rsidRPr="006C39AA" w14:paraId="53AA3D88" w14:textId="77777777" w:rsidTr="0029065D">
        <w:trPr>
          <w:trHeight w:val="255"/>
        </w:trPr>
        <w:tc>
          <w:tcPr>
            <w:tcW w:w="993" w:type="dxa"/>
            <w:tcBorders>
              <w:top w:val="single" w:sz="4" w:space="0" w:color="auto"/>
              <w:bottom w:val="single" w:sz="4" w:space="0" w:color="auto"/>
            </w:tcBorders>
            <w:vAlign w:val="center"/>
          </w:tcPr>
          <w:p w14:paraId="15C7C5BF" w14:textId="77777777" w:rsidR="00A13FA7" w:rsidRPr="006C39AA" w:rsidRDefault="00A13FA7" w:rsidP="006C39AA">
            <w:pPr>
              <w:pStyle w:val="EEAtableleft"/>
            </w:pPr>
            <w:r w:rsidRPr="006C39AA">
              <w:t>Rice</w:t>
            </w:r>
          </w:p>
        </w:tc>
        <w:tc>
          <w:tcPr>
            <w:tcW w:w="283" w:type="dxa"/>
            <w:tcBorders>
              <w:top w:val="single" w:sz="4" w:space="0" w:color="auto"/>
              <w:bottom w:val="single" w:sz="4" w:space="0" w:color="auto"/>
            </w:tcBorders>
          </w:tcPr>
          <w:p w14:paraId="2BF9EA02" w14:textId="77777777" w:rsidR="00A13FA7" w:rsidRPr="006C39AA" w:rsidRDefault="00A13FA7" w:rsidP="006C39AA">
            <w:pPr>
              <w:pStyle w:val="EEAtableleft"/>
            </w:pPr>
          </w:p>
        </w:tc>
        <w:tc>
          <w:tcPr>
            <w:tcW w:w="997" w:type="dxa"/>
            <w:tcBorders>
              <w:top w:val="single" w:sz="4" w:space="0" w:color="auto"/>
              <w:bottom w:val="single" w:sz="4" w:space="0" w:color="auto"/>
            </w:tcBorders>
            <w:vAlign w:val="center"/>
          </w:tcPr>
          <w:p w14:paraId="2D931C5B" w14:textId="77777777" w:rsidR="00A13FA7" w:rsidRPr="006C39AA" w:rsidRDefault="00A13FA7" w:rsidP="0029065D">
            <w:pPr>
              <w:pStyle w:val="EEATabcenter"/>
            </w:pPr>
            <w:r w:rsidRPr="006C39AA">
              <w:rPr>
                <w:rFonts w:hint="eastAsia"/>
              </w:rPr>
              <w:t>4.</w:t>
            </w:r>
            <w:r w:rsidRPr="006C39AA">
              <w:t>7</w:t>
            </w:r>
          </w:p>
        </w:tc>
        <w:tc>
          <w:tcPr>
            <w:tcW w:w="1139" w:type="dxa"/>
            <w:tcBorders>
              <w:top w:val="single" w:sz="4" w:space="0" w:color="auto"/>
              <w:bottom w:val="single" w:sz="4" w:space="0" w:color="auto"/>
            </w:tcBorders>
            <w:vAlign w:val="center"/>
          </w:tcPr>
          <w:p w14:paraId="7FB3896D" w14:textId="77777777" w:rsidR="00A13FA7" w:rsidRPr="006C39AA" w:rsidRDefault="00A13FA7" w:rsidP="0029065D">
            <w:pPr>
              <w:pStyle w:val="EEATabcenter"/>
            </w:pPr>
            <w:r w:rsidRPr="006C39AA">
              <w:t>5.0</w:t>
            </w:r>
          </w:p>
        </w:tc>
        <w:tc>
          <w:tcPr>
            <w:tcW w:w="1140" w:type="dxa"/>
            <w:gridSpan w:val="2"/>
            <w:tcBorders>
              <w:top w:val="single" w:sz="4" w:space="0" w:color="auto"/>
              <w:bottom w:val="single" w:sz="4" w:space="0" w:color="auto"/>
            </w:tcBorders>
            <w:vAlign w:val="center"/>
          </w:tcPr>
          <w:p w14:paraId="25AC078C" w14:textId="77777777" w:rsidR="00A13FA7" w:rsidRPr="006C39AA" w:rsidRDefault="00A13FA7" w:rsidP="0029065D">
            <w:pPr>
              <w:pStyle w:val="EEATabcenter"/>
            </w:pPr>
            <w:r w:rsidRPr="006C39AA">
              <w:t>4.7</w:t>
            </w:r>
          </w:p>
        </w:tc>
      </w:tr>
    </w:tbl>
    <w:p w14:paraId="65178856" w14:textId="08A36265" w:rsidR="006C39AA" w:rsidRPr="005F311B" w:rsidRDefault="006C39AA" w:rsidP="00714D8B">
      <w:pPr>
        <w:pStyle w:val="EEASource"/>
        <w:rPr>
          <w:rFonts w:eastAsia="Calibri"/>
        </w:rPr>
      </w:pPr>
      <w:r w:rsidRPr="005F311B">
        <w:rPr>
          <w:b/>
        </w:rPr>
        <w:t>Note:</w:t>
      </w:r>
      <w:r w:rsidRPr="005F311B">
        <w:t xml:space="preserve"> </w:t>
      </w:r>
      <w:r w:rsidR="0029065D" w:rsidRPr="005F311B">
        <w:tab/>
      </w:r>
      <w:r w:rsidRPr="005F311B">
        <w:rPr>
          <w:rFonts w:eastAsia="Calibri"/>
        </w:rPr>
        <w:t>Based on Zhu et al</w:t>
      </w:r>
      <w:proofErr w:type="gramStart"/>
      <w:r w:rsidRPr="005F311B">
        <w:rPr>
          <w:rFonts w:eastAsia="Calibri"/>
        </w:rPr>
        <w:t>.</w:t>
      </w:r>
      <w:r w:rsidR="0029065D" w:rsidRPr="005F311B">
        <w:rPr>
          <w:rFonts w:eastAsia="Calibri"/>
        </w:rPr>
        <w:t>(</w:t>
      </w:r>
      <w:proofErr w:type="gramEnd"/>
      <w:r w:rsidR="0029065D" w:rsidRPr="005F311B">
        <w:rPr>
          <w:rFonts w:eastAsia="Calibri"/>
        </w:rPr>
        <w:t>2020)</w:t>
      </w:r>
    </w:p>
    <w:p w14:paraId="53F3E2D5" w14:textId="77777777" w:rsidR="0029065D" w:rsidRDefault="0029065D" w:rsidP="00F20B74">
      <w:pPr>
        <w:spacing w:before="120"/>
      </w:pPr>
    </w:p>
    <w:p w14:paraId="47613946" w14:textId="58BFDFA7" w:rsidR="00A13FA7" w:rsidRDefault="00A13FA7" w:rsidP="00A13FA7">
      <w:r w:rsidRPr="00C0222B">
        <w:t>Various studies indicate that crop production is already restrained at pH values below 5.5-6.</w:t>
      </w:r>
      <w:r>
        <w:t>0</w:t>
      </w:r>
      <w:r w:rsidRPr="00C0222B">
        <w:t xml:space="preserve"> due to limited availability of Ca, Mg, K and P (Holland et al., 2019; Walker et al., 2011).</w:t>
      </w:r>
      <w:r>
        <w:t xml:space="preserve"> The results at least indicate that a pH value below 5 should for sure be avoided while 4.5 is really critical in view of Al toxicity. Preferably, the pH stay above 5.5 or even 6.</w:t>
      </w:r>
    </w:p>
    <w:p w14:paraId="77DF15A2" w14:textId="77777777" w:rsidR="00A13FA7" w:rsidRDefault="00A13FA7" w:rsidP="00A13FA7"/>
    <w:p w14:paraId="0D2300A6" w14:textId="678C31E6" w:rsidR="0029065D" w:rsidRDefault="0029065D" w:rsidP="0029065D">
      <w:pPr>
        <w:pStyle w:val="berschrift2"/>
      </w:pPr>
      <w:bookmarkStart w:id="175" w:name="_Toc83997352"/>
      <w:r w:rsidRPr="0029065D">
        <w:t>Critical levels of dissolved free aluminium and the molar base cation/aluminium ratio in forest soils</w:t>
      </w:r>
      <w:bookmarkEnd w:id="175"/>
    </w:p>
    <w:p w14:paraId="05898769" w14:textId="77777777" w:rsidR="00E17ADF" w:rsidRDefault="00E17ADF" w:rsidP="00A13FA7">
      <w:pPr>
        <w:rPr>
          <w:u w:val="single"/>
        </w:rPr>
      </w:pPr>
    </w:p>
    <w:p w14:paraId="78E0D474" w14:textId="1BAE373B" w:rsidR="00A13FA7" w:rsidRDefault="00A13FA7" w:rsidP="0029065D">
      <w:pPr>
        <w:pStyle w:val="EEAStandardbold"/>
      </w:pPr>
      <w:r w:rsidRPr="00E15850">
        <w:t>Free aluminium concentration</w:t>
      </w:r>
      <w:r>
        <w:t xml:space="preserve"> of 2 mg l</w:t>
      </w:r>
      <w:r w:rsidRPr="00783AFE">
        <w:rPr>
          <w:vertAlign w:val="superscript"/>
        </w:rPr>
        <w:t>-1</w:t>
      </w:r>
      <w:r>
        <w:t xml:space="preserve"> </w:t>
      </w:r>
    </w:p>
    <w:p w14:paraId="20450FD5" w14:textId="2BFAA202" w:rsidR="00B50A3E" w:rsidRDefault="00B50A3E" w:rsidP="00F20B74">
      <w:pPr>
        <w:spacing w:before="120"/>
      </w:pPr>
      <w:r w:rsidRPr="00B50A3E">
        <w:t>The sensitivity of a tree to Al varies as a function of solution pH, Al speciation, Ca concentration, overall ionic strength, the form of inorganic N (NH4 or NO3), mycorrhiza interactions, soil moisture etc. Consequently, a wide range of Al toxicity thresholds for various tree species has been reported in the literature, varying between less than 1.5 and more than 30 mg l–1 (e.g. Cronan et al., 1989; Joslin &amp; Wolfe, 1988, 1989; Keltjens &amp; van Loenen, 1989; McCormick &amp; Steiner, 1978; Ryan et al., 1986a, b; Smit et al., 1987; Steiner et al., 1980; Thornton et al., 1987). The sensitivity increases from red spruce, with significant biomass reductions starting to occur near 2 mg l–1 of inorganic Al, to Douglas fir, spruce and European beech, whereas Scots pine, oak and birch are relatively insensitive to Al (Cronan et al., 1989).</w:t>
      </w:r>
    </w:p>
    <w:p w14:paraId="094CA933" w14:textId="77777777" w:rsidR="00A13FA7" w:rsidRDefault="00A13FA7" w:rsidP="00A13FA7"/>
    <w:p w14:paraId="5D03B822" w14:textId="77777777" w:rsidR="00A13FA7" w:rsidRDefault="00A13FA7" w:rsidP="00F20B74">
      <w:pPr>
        <w:pStyle w:val="EEAStandardbold"/>
        <w:spacing w:before="120"/>
      </w:pPr>
      <w:r>
        <w:t>M</w:t>
      </w:r>
      <w:r w:rsidRPr="00E15850">
        <w:t>olar base cation/aluminium ratio</w:t>
      </w:r>
      <w:r>
        <w:t xml:space="preserve"> of 1 (0.5-2.0)</w:t>
      </w:r>
    </w:p>
    <w:p w14:paraId="0F0AB342" w14:textId="732DD23F" w:rsidR="00B50A3E" w:rsidRDefault="00B50A3E" w:rsidP="00F20B74">
      <w:pPr>
        <w:spacing w:before="120"/>
      </w:pPr>
      <w:r w:rsidRPr="00B50A3E">
        <w:t xml:space="preserve">Results in a variety of laboratory experiments described above showed that the Ca/Al ratio was a better indicator for root impacts than inorganic Al (Cronan &amp; Grigal, 1995; Sverdrup &amp; Warfvinge, 1993; Sverdrup et al., 1992). As with Al, a wide range in toxicity thresholds for the Al/Ca ratio has been reported. Sverdrup </w:t>
      </w:r>
      <w:r w:rsidRPr="00B50A3E">
        <w:lastRenderedPageBreak/>
        <w:t>and Warfvinge (1993) carried out a systematic review of impacts of Al on the growth of tree seedlings and plants in laboratory experiments, based on approximately 200 studies. The response in acid soils, as expressed by root growth, stem growth or plant growth in experiments, has been determined for different species of coniferous and deciduous trees. Studies showed that the plant response can be described better as a function of the base cation and Al concentration in soil solution than just as a function of Al alone or a Ca/Al ratio. The critical limit was most conveniently expressed as a molar Bc/Al</w:t>
      </w:r>
      <w:r w:rsidRPr="000E16D5">
        <w:rPr>
          <w:vertAlign w:val="subscript"/>
        </w:rPr>
        <w:t>tot</w:t>
      </w:r>
      <w:r w:rsidRPr="00B50A3E">
        <w:t xml:space="preserve"> ratio, with Altot being the total (inorganic and organically complexed) Al concentration and </w:t>
      </w:r>
      <w:proofErr w:type="gramStart"/>
      <w:r w:rsidRPr="00B50A3E">
        <w:t>Bc</w:t>
      </w:r>
      <w:proofErr w:type="gramEnd"/>
      <w:r w:rsidRPr="00B50A3E">
        <w:t xml:space="preserve"> denoting Ca+Mg+K. In many calculations of critical loads of acid deposition to forest ecosystems, either a general limit value of 1 is used for Bc/Al, or a tree species specific value, ranging mostly between 0.5-2.0.</w:t>
      </w:r>
    </w:p>
    <w:p w14:paraId="51EC9C6B" w14:textId="77777777" w:rsidR="00B50A3E" w:rsidRDefault="00B50A3E" w:rsidP="00A13FA7"/>
    <w:p w14:paraId="35230EED" w14:textId="355134CF" w:rsidR="00B50A3E" w:rsidRDefault="00B50A3E" w:rsidP="00A13FA7">
      <w:r w:rsidRPr="00B50A3E">
        <w:t>The relevance of laboratory experiments addressing Al toxicity under field conditions has been disputed (Binkley &amp; Hogberg, 1997; De Wit et al., 2001; Kreutzer, 1995; Løkke et al., 1996). Indeed, healthy trees have been found at sites where high soil solution Al concentrations were measured (Huber et al., 2004), while nutrient deficiency symptoms in trees have been found at other sites with similar conditions (Alewell et al., 2000). In addition, whole-ecosystem experiments, designed to test effects of acid deposition on forests (Abrahamsen et al., 1993; Beier et al., 1998; Huber et al., 2004; Kreutzer &amp; Weiss, 1998), have been inconclusive with respect to Al-toxicity effects on root growth and nutrient uptake. Despite this criticism, the above-mentioned critical values are still often used in risk assessment (De Vries et al., 2015)</w:t>
      </w:r>
      <w:r>
        <w:t>.</w:t>
      </w:r>
    </w:p>
    <w:p w14:paraId="26FFD142" w14:textId="13DA690C" w:rsidR="00861B19" w:rsidRDefault="00861B19" w:rsidP="00861B19"/>
    <w:p w14:paraId="389A2ABF" w14:textId="101FBAB3" w:rsidR="00C73D0E" w:rsidRDefault="00C73D0E">
      <w:pPr>
        <w:suppressAutoHyphens w:val="0"/>
        <w:jc w:val="left"/>
        <w:rPr>
          <w:rFonts w:cs="Times New Roman"/>
          <w:bCs/>
          <w:color w:val="008173"/>
          <w:sz w:val="28"/>
          <w:szCs w:val="28"/>
        </w:rPr>
      </w:pPr>
      <w:r>
        <w:br w:type="page"/>
      </w:r>
    </w:p>
    <w:p w14:paraId="10A06446" w14:textId="6F69BFBD" w:rsidR="008F64E4" w:rsidRDefault="007B2272" w:rsidP="00756DC9">
      <w:pPr>
        <w:pStyle w:val="berschrift1"/>
        <w:tabs>
          <w:tab w:val="clear" w:pos="567"/>
        </w:tabs>
        <w:ind w:left="426" w:hanging="426"/>
      </w:pPr>
      <w:bookmarkStart w:id="176" w:name="_Toc55223674"/>
      <w:bookmarkStart w:id="177" w:name="_Toc83997353"/>
      <w:r>
        <w:lastRenderedPageBreak/>
        <w:t>Contaminants in soil</w:t>
      </w:r>
      <w:bookmarkEnd w:id="176"/>
      <w:bookmarkEnd w:id="177"/>
    </w:p>
    <w:p w14:paraId="6AA51E14" w14:textId="77777777" w:rsidR="00D35E90" w:rsidRDefault="00D35E90" w:rsidP="00D35E90">
      <w:bookmarkStart w:id="178" w:name="_Toc56190993"/>
      <w:bookmarkStart w:id="179" w:name="_Ref54363567"/>
      <w:bookmarkStart w:id="180" w:name="_Ref2261672"/>
      <w:bookmarkEnd w:id="178"/>
    </w:p>
    <w:tbl>
      <w:tblPr>
        <w:tblW w:w="0" w:type="auto"/>
        <w:shd w:val="clear" w:color="auto" w:fill="D9D9D9" w:themeFill="background1" w:themeFillShade="D9"/>
        <w:tblLook w:val="04A0" w:firstRow="1" w:lastRow="0" w:firstColumn="1" w:lastColumn="0" w:noHBand="0" w:noVBand="1"/>
      </w:tblPr>
      <w:tblGrid>
        <w:gridCol w:w="9406"/>
      </w:tblGrid>
      <w:tr w:rsidR="00D35E90" w14:paraId="05B73AF7" w14:textId="77777777" w:rsidTr="007C0E26">
        <w:tc>
          <w:tcPr>
            <w:tcW w:w="9546" w:type="dxa"/>
            <w:shd w:val="clear" w:color="auto" w:fill="D9D9D9" w:themeFill="background1" w:themeFillShade="D9"/>
          </w:tcPr>
          <w:p w14:paraId="5B7FDB20" w14:textId="77777777" w:rsidR="00D35E90" w:rsidRDefault="00D35E90" w:rsidP="007C0E26">
            <w:pPr>
              <w:pStyle w:val="EEAspacesm"/>
            </w:pPr>
          </w:p>
          <w:p w14:paraId="5306501D" w14:textId="013154A0" w:rsidR="00D35E90" w:rsidRPr="00E26535" w:rsidRDefault="00D35E90" w:rsidP="007C0E26">
            <w:r>
              <w:t>C</w:t>
            </w:r>
            <w:r w:rsidRPr="006E3B54">
              <w:t xml:space="preserve">ontamination of soil is one of the pressing concerns </w:t>
            </w:r>
            <w:r>
              <w:t xml:space="preserve">about human health and food quality, as well as ecosystem condition and biodiversity. Sustainable land management needs to address the corresponding risks, and this requires reliable information about the accumulation of contaminants to soil to a level, at which risk-based thresholds may be </w:t>
            </w:r>
            <w:r w:rsidRPr="001A2561">
              <w:t>exceed</w:t>
            </w:r>
            <w:r>
              <w:t xml:space="preserve">ed; beyond that level, </w:t>
            </w:r>
            <w:r w:rsidR="000E16D5" w:rsidRPr="001A2561">
              <w:t>soil</w:t>
            </w:r>
            <w:r w:rsidR="000E16D5">
              <w:t>s,</w:t>
            </w:r>
            <w:r>
              <w:t xml:space="preserve"> and the ecosystem they are part of, do</w:t>
            </w:r>
            <w:r w:rsidRPr="001A2561">
              <w:t xml:space="preserve"> not properly function anymore</w:t>
            </w:r>
            <w:r>
              <w:t xml:space="preserve">. </w:t>
            </w:r>
            <w:r w:rsidR="000E16D5">
              <w:t>To</w:t>
            </w:r>
            <w:r>
              <w:t xml:space="preserve"> derive meaningful thresholds for contaminants in soil, the entire chain from loads to soil and losses from soil as well as biogeochemical filter and transformation processes need to be considered. This chapter provides an overview of some of the existing approaches for setting such thresholds at European level, highlighting the remaining challenges, such as the lack of harmonized terminology as well as monitoring methods and risk levels. The latter calls for an accurate and updated compilation of current approaches and values set at the national and regional level in the EU.</w:t>
            </w:r>
          </w:p>
          <w:p w14:paraId="343C3B2F" w14:textId="77777777" w:rsidR="00D35E90" w:rsidRDefault="00D35E90" w:rsidP="007C0E26">
            <w:pPr>
              <w:pStyle w:val="EEAspacesm"/>
            </w:pPr>
          </w:p>
        </w:tc>
      </w:tr>
    </w:tbl>
    <w:p w14:paraId="615DD4BE" w14:textId="77777777" w:rsidR="00D35E90" w:rsidRDefault="00D35E90" w:rsidP="00D35E90"/>
    <w:p w14:paraId="67B77402" w14:textId="7166ECD0" w:rsidR="00D35E90" w:rsidRDefault="00D35E90" w:rsidP="00D35E90">
      <w:r w:rsidRPr="00CA3728">
        <w:t xml:space="preserve">The aim of this chapter is to provide a more consistent view </w:t>
      </w:r>
      <w:r>
        <w:t xml:space="preserve">about </w:t>
      </w:r>
      <w:r w:rsidRPr="00CA3728">
        <w:t xml:space="preserve">soil contamination in view of relevant environmental risks and risks to human health. This includes, but is not limited to, the impact of pollution by metals. At present, the concept of the </w:t>
      </w:r>
      <w:r>
        <w:t>r</w:t>
      </w:r>
      <w:r w:rsidRPr="00CA3728">
        <w:t>isk</w:t>
      </w:r>
      <w:r>
        <w:t>-b</w:t>
      </w:r>
      <w:r w:rsidRPr="00CA3728">
        <w:t xml:space="preserve">ased </w:t>
      </w:r>
      <w:r>
        <w:t>l</w:t>
      </w:r>
      <w:r w:rsidRPr="00CA3728">
        <w:t xml:space="preserve">and Management has been elaborated predominantly for metals and metalloids. Depending on the balance between inputs and outputs of contaminants to soil, accumulation can occur. Depending on the rate of accumulation, contaminant concentrations in soil may, or may not, exceed risk-based thresholds (which can be specific for soil type, crop type, climatic </w:t>
      </w:r>
      <w:r w:rsidR="000E16D5" w:rsidRPr="00CA3728">
        <w:t>conditions,</w:t>
      </w:r>
      <w:r w:rsidRPr="00CA3728">
        <w:t xml:space="preserve"> and parent material). A key aspect in this respect is the degree to which pollutants in soil are </w:t>
      </w:r>
      <w:r w:rsidR="000E16D5" w:rsidRPr="00CA3728">
        <w:t>bioavailable</w:t>
      </w:r>
      <w:r w:rsidRPr="00CA3728">
        <w:t xml:space="preserve"> for plants or </w:t>
      </w:r>
      <w:proofErr w:type="gramStart"/>
      <w:r w:rsidRPr="00CA3728">
        <w:t>organisms, that</w:t>
      </w:r>
      <w:proofErr w:type="gramEnd"/>
      <w:r w:rsidRPr="00CA3728">
        <w:t xml:space="preserve"> is, whether or not contaminants can be taken up by roots, permeate cell membranes or are translocated to deeper soil layers and/or ground- and surface water systems.</w:t>
      </w:r>
    </w:p>
    <w:p w14:paraId="279D0B4F" w14:textId="233C7042" w:rsidR="0094627F" w:rsidRDefault="0094627F" w:rsidP="00D35E90"/>
    <w:p w14:paraId="0765BA19" w14:textId="0EDF18E5" w:rsidR="0094627F" w:rsidRPr="00776F43" w:rsidRDefault="0094627F" w:rsidP="0094627F">
      <w:pPr>
        <w:pStyle w:val="EEALabel"/>
        <w:rPr>
          <w:rFonts w:eastAsia="Calibri"/>
        </w:rPr>
      </w:pPr>
      <w:bookmarkStart w:id="181" w:name="_Toc83997515"/>
      <w:r w:rsidRPr="00776F43">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1</w:t>
      </w:r>
      <w:r>
        <w:fldChar w:fldCharType="end"/>
      </w:r>
      <w:r w:rsidRPr="00776F43">
        <w:t>:</w:t>
      </w:r>
      <w:r w:rsidRPr="00776F43">
        <w:rPr>
          <w:rFonts w:eastAsia="Calibri"/>
        </w:rPr>
        <w:tab/>
      </w:r>
      <w:r w:rsidRPr="0094627F">
        <w:rPr>
          <w:rFonts w:eastAsia="Calibri"/>
        </w:rPr>
        <w:t>Relation of soil pollution with other threats and main soil services affected by pollution</w:t>
      </w:r>
      <w:bookmarkEnd w:id="181"/>
    </w:p>
    <w:p w14:paraId="60AB5CA8" w14:textId="77777777" w:rsidR="0094627F" w:rsidRDefault="0094627F" w:rsidP="00D35E90"/>
    <w:tbl>
      <w:tblPr>
        <w:tblW w:w="9356" w:type="dxa"/>
        <w:tblCellMar>
          <w:left w:w="70" w:type="dxa"/>
          <w:right w:w="70" w:type="dxa"/>
        </w:tblCellMar>
        <w:tblLook w:val="04A0" w:firstRow="1" w:lastRow="0" w:firstColumn="1" w:lastColumn="0" w:noHBand="0" w:noVBand="1"/>
      </w:tblPr>
      <w:tblGrid>
        <w:gridCol w:w="1600"/>
        <w:gridCol w:w="6338"/>
        <w:gridCol w:w="1418"/>
      </w:tblGrid>
      <w:tr w:rsidR="00CB1493" w:rsidRPr="001455B4" w14:paraId="5C452D74" w14:textId="77777777" w:rsidTr="00CB1493">
        <w:trPr>
          <w:trHeight w:val="300"/>
        </w:trPr>
        <w:tc>
          <w:tcPr>
            <w:tcW w:w="1600" w:type="dxa"/>
            <w:tcBorders>
              <w:top w:val="single" w:sz="4" w:space="0" w:color="auto"/>
              <w:left w:val="nil"/>
              <w:bottom w:val="single" w:sz="4" w:space="0" w:color="auto"/>
              <w:right w:val="nil"/>
            </w:tcBorders>
            <w:shd w:val="pct10" w:color="auto" w:fill="auto"/>
            <w:noWrap/>
            <w:vAlign w:val="bottom"/>
            <w:hideMark/>
          </w:tcPr>
          <w:p w14:paraId="3FFE7729" w14:textId="77777777" w:rsidR="00CB1493" w:rsidRPr="001455B4" w:rsidRDefault="00CB1493" w:rsidP="007C0E26">
            <w:pPr>
              <w:suppressAutoHyphens w:val="0"/>
              <w:jc w:val="left"/>
              <w:rPr>
                <w:b/>
                <w:bCs/>
                <w:color w:val="000000"/>
                <w:szCs w:val="22"/>
                <w:lang w:eastAsia="de-AT"/>
              </w:rPr>
            </w:pPr>
            <w:r w:rsidRPr="001455B4">
              <w:rPr>
                <w:b/>
                <w:bCs/>
                <w:color w:val="000000"/>
                <w:szCs w:val="22"/>
                <w:lang w:eastAsia="de-AT"/>
              </w:rPr>
              <w:t>Soil erosion</w:t>
            </w:r>
          </w:p>
        </w:tc>
        <w:tc>
          <w:tcPr>
            <w:tcW w:w="6338" w:type="dxa"/>
            <w:tcBorders>
              <w:top w:val="single" w:sz="4" w:space="0" w:color="auto"/>
              <w:left w:val="nil"/>
              <w:bottom w:val="single" w:sz="4" w:space="0" w:color="auto"/>
              <w:right w:val="nil"/>
            </w:tcBorders>
            <w:shd w:val="pct10" w:color="auto" w:fill="auto"/>
            <w:noWrap/>
            <w:vAlign w:val="bottom"/>
            <w:hideMark/>
          </w:tcPr>
          <w:p w14:paraId="202E41FA" w14:textId="77777777" w:rsidR="00CB1493" w:rsidRPr="001455B4" w:rsidRDefault="00CB1493" w:rsidP="007C0E26">
            <w:pPr>
              <w:suppressAutoHyphens w:val="0"/>
              <w:jc w:val="left"/>
              <w:rPr>
                <w:b/>
                <w:bCs/>
                <w:color w:val="000000"/>
                <w:szCs w:val="22"/>
                <w:lang w:eastAsia="de-AT"/>
              </w:rPr>
            </w:pPr>
          </w:p>
        </w:tc>
        <w:tc>
          <w:tcPr>
            <w:tcW w:w="1418" w:type="dxa"/>
            <w:tcBorders>
              <w:top w:val="single" w:sz="4" w:space="0" w:color="auto"/>
              <w:left w:val="nil"/>
              <w:bottom w:val="single" w:sz="4" w:space="0" w:color="auto"/>
              <w:right w:val="nil"/>
            </w:tcBorders>
            <w:shd w:val="pct10" w:color="auto" w:fill="auto"/>
            <w:noWrap/>
            <w:vAlign w:val="bottom"/>
            <w:hideMark/>
          </w:tcPr>
          <w:p w14:paraId="29A5E4BF" w14:textId="77777777" w:rsidR="00CB1493" w:rsidRPr="001455B4" w:rsidRDefault="00CB1493" w:rsidP="007C0E26">
            <w:pPr>
              <w:suppressAutoHyphens w:val="0"/>
              <w:jc w:val="left"/>
              <w:rPr>
                <w:rFonts w:ascii="Times New Roman" w:hAnsi="Times New Roman" w:cs="Times New Roman"/>
                <w:sz w:val="20"/>
                <w:lang w:eastAsia="de-AT"/>
              </w:rPr>
            </w:pPr>
          </w:p>
        </w:tc>
      </w:tr>
      <w:tr w:rsidR="00CB1493" w:rsidRPr="001455B4" w14:paraId="10D5FC99" w14:textId="77777777" w:rsidTr="00CB1493">
        <w:trPr>
          <w:trHeight w:val="300"/>
        </w:trPr>
        <w:tc>
          <w:tcPr>
            <w:tcW w:w="1600" w:type="dxa"/>
            <w:tcBorders>
              <w:top w:val="single" w:sz="4" w:space="0" w:color="auto"/>
              <w:bottom w:val="single" w:sz="4" w:space="0" w:color="auto"/>
            </w:tcBorders>
            <w:shd w:val="pct10" w:color="auto" w:fill="auto"/>
            <w:noWrap/>
            <w:vAlign w:val="bottom"/>
            <w:hideMark/>
          </w:tcPr>
          <w:p w14:paraId="64EDB293" w14:textId="77777777" w:rsidR="00CB1493" w:rsidRPr="001455B4" w:rsidRDefault="00CB1493" w:rsidP="009B7BC4">
            <w:pPr>
              <w:pStyle w:val="EEAtableleftbold"/>
              <w:rPr>
                <w:lang w:eastAsia="de-AT"/>
              </w:rPr>
            </w:pPr>
            <w:r w:rsidRPr="001455B4">
              <w:rPr>
                <w:lang w:eastAsia="de-AT"/>
              </w:rPr>
              <w:t>Societal need</w:t>
            </w:r>
          </w:p>
        </w:tc>
        <w:tc>
          <w:tcPr>
            <w:tcW w:w="6338" w:type="dxa"/>
            <w:tcBorders>
              <w:top w:val="single" w:sz="4" w:space="0" w:color="auto"/>
              <w:bottom w:val="single" w:sz="4" w:space="0" w:color="auto"/>
            </w:tcBorders>
            <w:shd w:val="pct10" w:color="auto" w:fill="auto"/>
            <w:noWrap/>
            <w:vAlign w:val="bottom"/>
            <w:hideMark/>
          </w:tcPr>
          <w:p w14:paraId="0DE89FC6" w14:textId="77777777" w:rsidR="00CB1493" w:rsidRPr="001455B4" w:rsidRDefault="00CB1493" w:rsidP="009B7BC4">
            <w:pPr>
              <w:pStyle w:val="EEAtableleftbold"/>
              <w:rPr>
                <w:lang w:eastAsia="de-AT"/>
              </w:rPr>
            </w:pPr>
            <w:r w:rsidRPr="001455B4">
              <w:rPr>
                <w:lang w:eastAsia="de-AT"/>
              </w:rPr>
              <w:t>Soil service</w:t>
            </w:r>
          </w:p>
        </w:tc>
        <w:tc>
          <w:tcPr>
            <w:tcW w:w="1418" w:type="dxa"/>
            <w:tcBorders>
              <w:top w:val="single" w:sz="4" w:space="0" w:color="auto"/>
              <w:bottom w:val="single" w:sz="4" w:space="0" w:color="auto"/>
            </w:tcBorders>
            <w:shd w:val="pct10" w:color="auto" w:fill="auto"/>
            <w:noWrap/>
            <w:vAlign w:val="bottom"/>
            <w:hideMark/>
          </w:tcPr>
          <w:p w14:paraId="304637C3" w14:textId="77777777" w:rsidR="00CB1493" w:rsidRPr="001455B4" w:rsidRDefault="00CB1493" w:rsidP="009B7BC4">
            <w:pPr>
              <w:pStyle w:val="EEATabcenterbold"/>
            </w:pPr>
            <w:r w:rsidRPr="001455B4">
              <w:t>impact</w:t>
            </w:r>
          </w:p>
        </w:tc>
      </w:tr>
      <w:tr w:rsidR="00CB1493" w:rsidRPr="001455B4" w14:paraId="74198B90" w14:textId="77777777" w:rsidTr="00CB1493">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7C483B5E" w14:textId="77777777" w:rsidR="00CB1493" w:rsidRPr="001455B4" w:rsidRDefault="00CB1493" w:rsidP="009B7BC4">
            <w:pPr>
              <w:pStyle w:val="EEAtableleftbold"/>
              <w:rPr>
                <w:lang w:eastAsia="de-AT"/>
              </w:rPr>
            </w:pPr>
            <w:r w:rsidRPr="001455B4">
              <w:rPr>
                <w:lang w:eastAsia="de-AT"/>
              </w:rPr>
              <w:t>Biomass</w:t>
            </w:r>
          </w:p>
        </w:tc>
        <w:tc>
          <w:tcPr>
            <w:tcW w:w="6338" w:type="dxa"/>
            <w:tcBorders>
              <w:top w:val="single" w:sz="4" w:space="0" w:color="auto"/>
              <w:bottom w:val="single" w:sz="4" w:space="0" w:color="auto"/>
            </w:tcBorders>
            <w:shd w:val="clear" w:color="auto" w:fill="auto"/>
            <w:vAlign w:val="center"/>
            <w:hideMark/>
          </w:tcPr>
          <w:p w14:paraId="7A1A716B" w14:textId="77777777" w:rsidR="00CB1493" w:rsidRPr="001455B4" w:rsidRDefault="00CB1493" w:rsidP="007C0E26">
            <w:pPr>
              <w:pStyle w:val="EEAtableleft"/>
              <w:rPr>
                <w:lang w:eastAsia="de-AT"/>
              </w:rPr>
            </w:pPr>
            <w:r w:rsidRPr="001455B4">
              <w:rPr>
                <w:lang w:eastAsia="de-AT"/>
              </w:rPr>
              <w:t>Wood &amp; fibre production</w:t>
            </w:r>
          </w:p>
        </w:tc>
        <w:tc>
          <w:tcPr>
            <w:tcW w:w="1418" w:type="dxa"/>
            <w:tcBorders>
              <w:top w:val="single" w:sz="4" w:space="0" w:color="auto"/>
              <w:bottom w:val="single" w:sz="4" w:space="0" w:color="auto"/>
            </w:tcBorders>
            <w:shd w:val="clear" w:color="000000" w:fill="FF0000"/>
            <w:noWrap/>
            <w:vAlign w:val="bottom"/>
            <w:hideMark/>
          </w:tcPr>
          <w:p w14:paraId="637E01D7" w14:textId="77777777" w:rsidR="00CB1493" w:rsidRPr="001455B4" w:rsidRDefault="00CB1493" w:rsidP="009B7BC4">
            <w:pPr>
              <w:pStyle w:val="EEATabcenter"/>
              <w:rPr>
                <w:lang w:eastAsia="de-AT"/>
              </w:rPr>
            </w:pPr>
            <w:r w:rsidRPr="001455B4">
              <w:rPr>
                <w:lang w:eastAsia="de-AT"/>
              </w:rPr>
              <w:t>-</w:t>
            </w:r>
          </w:p>
        </w:tc>
      </w:tr>
      <w:tr w:rsidR="00CB1493" w:rsidRPr="001455B4" w14:paraId="0FFC9F3A" w14:textId="77777777" w:rsidTr="00CB1493">
        <w:trPr>
          <w:trHeight w:val="300"/>
        </w:trPr>
        <w:tc>
          <w:tcPr>
            <w:tcW w:w="1600" w:type="dxa"/>
            <w:vMerge/>
            <w:tcBorders>
              <w:top w:val="single" w:sz="4" w:space="0" w:color="auto"/>
              <w:bottom w:val="single" w:sz="4" w:space="0" w:color="auto"/>
            </w:tcBorders>
            <w:vAlign w:val="center"/>
            <w:hideMark/>
          </w:tcPr>
          <w:p w14:paraId="130C1A30" w14:textId="77777777" w:rsidR="00CB1493" w:rsidRPr="001455B4" w:rsidRDefault="00CB1493" w:rsidP="009B7BC4">
            <w:pPr>
              <w:pStyle w:val="EEAtableleftbold"/>
              <w:rPr>
                <w:lang w:eastAsia="de-AT"/>
              </w:rPr>
            </w:pPr>
          </w:p>
        </w:tc>
        <w:tc>
          <w:tcPr>
            <w:tcW w:w="6338" w:type="dxa"/>
            <w:tcBorders>
              <w:top w:val="single" w:sz="4" w:space="0" w:color="auto"/>
              <w:bottom w:val="single" w:sz="4" w:space="0" w:color="auto"/>
            </w:tcBorders>
            <w:shd w:val="clear" w:color="auto" w:fill="auto"/>
            <w:vAlign w:val="center"/>
            <w:hideMark/>
          </w:tcPr>
          <w:p w14:paraId="5255551D" w14:textId="77777777" w:rsidR="00CB1493" w:rsidRPr="001455B4" w:rsidRDefault="00CB1493" w:rsidP="007C0E26">
            <w:pPr>
              <w:pStyle w:val="EEAtableleft"/>
              <w:rPr>
                <w:lang w:eastAsia="de-AT"/>
              </w:rPr>
            </w:pPr>
            <w:r w:rsidRPr="001455B4">
              <w:rPr>
                <w:lang w:eastAsia="de-AT"/>
              </w:rPr>
              <w:t>Growth of crops</w:t>
            </w:r>
          </w:p>
        </w:tc>
        <w:tc>
          <w:tcPr>
            <w:tcW w:w="1418" w:type="dxa"/>
            <w:tcBorders>
              <w:top w:val="single" w:sz="4" w:space="0" w:color="auto"/>
              <w:bottom w:val="single" w:sz="4" w:space="0" w:color="auto"/>
            </w:tcBorders>
            <w:shd w:val="clear" w:color="000000" w:fill="FF0000"/>
            <w:noWrap/>
            <w:vAlign w:val="bottom"/>
            <w:hideMark/>
          </w:tcPr>
          <w:p w14:paraId="2EAF23C9" w14:textId="77777777" w:rsidR="00CB1493" w:rsidRPr="001455B4" w:rsidRDefault="00CB1493" w:rsidP="009B7BC4">
            <w:pPr>
              <w:pStyle w:val="EEATabcenter"/>
              <w:rPr>
                <w:lang w:eastAsia="de-AT"/>
              </w:rPr>
            </w:pPr>
            <w:r w:rsidRPr="001455B4">
              <w:rPr>
                <w:lang w:eastAsia="de-AT"/>
              </w:rPr>
              <w:t>-</w:t>
            </w:r>
          </w:p>
        </w:tc>
      </w:tr>
      <w:tr w:rsidR="00CB1493" w:rsidRPr="001455B4" w14:paraId="2266A164" w14:textId="77777777" w:rsidTr="00CB1493">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6975394D" w14:textId="77777777" w:rsidR="00CB1493" w:rsidRPr="001455B4" w:rsidRDefault="00CB1493" w:rsidP="009B7BC4">
            <w:pPr>
              <w:pStyle w:val="EEAtableleftbold"/>
              <w:rPr>
                <w:lang w:eastAsia="de-AT"/>
              </w:rPr>
            </w:pPr>
            <w:r w:rsidRPr="001455B4">
              <w:rPr>
                <w:lang w:eastAsia="de-AT"/>
              </w:rPr>
              <w:t>Water</w:t>
            </w:r>
          </w:p>
        </w:tc>
        <w:tc>
          <w:tcPr>
            <w:tcW w:w="6338" w:type="dxa"/>
            <w:tcBorders>
              <w:top w:val="single" w:sz="4" w:space="0" w:color="auto"/>
              <w:bottom w:val="single" w:sz="4" w:space="0" w:color="auto"/>
            </w:tcBorders>
            <w:shd w:val="clear" w:color="auto" w:fill="auto"/>
            <w:vAlign w:val="center"/>
            <w:hideMark/>
          </w:tcPr>
          <w:p w14:paraId="512438E1" w14:textId="77777777" w:rsidR="00CB1493" w:rsidRPr="001455B4" w:rsidRDefault="00CB1493" w:rsidP="007C0E26">
            <w:pPr>
              <w:pStyle w:val="EEAtableleft"/>
              <w:rPr>
                <w:lang w:eastAsia="de-AT"/>
              </w:rPr>
            </w:pPr>
            <w:r w:rsidRPr="001455B4">
              <w:rPr>
                <w:lang w:eastAsia="de-AT"/>
              </w:rPr>
              <w:t>Filtering of contaminants</w:t>
            </w:r>
          </w:p>
        </w:tc>
        <w:tc>
          <w:tcPr>
            <w:tcW w:w="1418" w:type="dxa"/>
            <w:tcBorders>
              <w:top w:val="single" w:sz="4" w:space="0" w:color="auto"/>
              <w:bottom w:val="single" w:sz="4" w:space="0" w:color="auto"/>
            </w:tcBorders>
            <w:shd w:val="clear" w:color="000000" w:fill="FF0000"/>
            <w:noWrap/>
            <w:vAlign w:val="bottom"/>
            <w:hideMark/>
          </w:tcPr>
          <w:p w14:paraId="75A6FDE1" w14:textId="77777777" w:rsidR="00CB1493" w:rsidRPr="001455B4" w:rsidRDefault="00CB1493" w:rsidP="009B7BC4">
            <w:pPr>
              <w:pStyle w:val="EEATabcenter"/>
              <w:rPr>
                <w:lang w:eastAsia="de-AT"/>
              </w:rPr>
            </w:pPr>
            <w:r w:rsidRPr="001455B4">
              <w:rPr>
                <w:lang w:eastAsia="de-AT"/>
              </w:rPr>
              <w:t>-</w:t>
            </w:r>
          </w:p>
        </w:tc>
      </w:tr>
      <w:tr w:rsidR="00CB1493" w:rsidRPr="001455B4" w14:paraId="5A9006F1" w14:textId="77777777" w:rsidTr="00CB1493">
        <w:trPr>
          <w:trHeight w:val="300"/>
        </w:trPr>
        <w:tc>
          <w:tcPr>
            <w:tcW w:w="1600" w:type="dxa"/>
            <w:vMerge/>
            <w:tcBorders>
              <w:top w:val="single" w:sz="4" w:space="0" w:color="auto"/>
              <w:bottom w:val="single" w:sz="4" w:space="0" w:color="auto"/>
            </w:tcBorders>
            <w:vAlign w:val="center"/>
            <w:hideMark/>
          </w:tcPr>
          <w:p w14:paraId="564A4E85" w14:textId="77777777" w:rsidR="00CB1493" w:rsidRPr="001455B4" w:rsidRDefault="00CB1493" w:rsidP="009B7BC4">
            <w:pPr>
              <w:pStyle w:val="EEAtableleftbold"/>
              <w:rPr>
                <w:lang w:eastAsia="de-AT"/>
              </w:rPr>
            </w:pPr>
          </w:p>
        </w:tc>
        <w:tc>
          <w:tcPr>
            <w:tcW w:w="6338" w:type="dxa"/>
            <w:tcBorders>
              <w:top w:val="single" w:sz="4" w:space="0" w:color="auto"/>
              <w:bottom w:val="single" w:sz="4" w:space="0" w:color="auto"/>
            </w:tcBorders>
            <w:shd w:val="clear" w:color="auto" w:fill="auto"/>
            <w:vAlign w:val="center"/>
            <w:hideMark/>
          </w:tcPr>
          <w:p w14:paraId="7BB3324F" w14:textId="77777777" w:rsidR="00CB1493" w:rsidRPr="001455B4" w:rsidRDefault="00CB1493" w:rsidP="007C0E26">
            <w:pPr>
              <w:pStyle w:val="EEAtableleft"/>
              <w:rPr>
                <w:lang w:eastAsia="de-AT"/>
              </w:rPr>
            </w:pPr>
            <w:r w:rsidRPr="001455B4">
              <w:rPr>
                <w:lang w:eastAsia="de-AT"/>
              </w:rPr>
              <w:t>Water storage</w:t>
            </w:r>
          </w:p>
        </w:tc>
        <w:tc>
          <w:tcPr>
            <w:tcW w:w="1418" w:type="dxa"/>
            <w:tcBorders>
              <w:top w:val="single" w:sz="4" w:space="0" w:color="auto"/>
              <w:bottom w:val="single" w:sz="4" w:space="0" w:color="auto"/>
            </w:tcBorders>
            <w:shd w:val="clear" w:color="000000" w:fill="FF0000"/>
            <w:noWrap/>
            <w:vAlign w:val="bottom"/>
            <w:hideMark/>
          </w:tcPr>
          <w:p w14:paraId="249DF36B" w14:textId="77777777" w:rsidR="00CB1493" w:rsidRPr="001455B4" w:rsidRDefault="00CB1493" w:rsidP="009B7BC4">
            <w:pPr>
              <w:pStyle w:val="EEATabcenter"/>
              <w:rPr>
                <w:lang w:eastAsia="de-AT"/>
              </w:rPr>
            </w:pPr>
            <w:r w:rsidRPr="001455B4">
              <w:rPr>
                <w:lang w:eastAsia="de-AT"/>
              </w:rPr>
              <w:t>-</w:t>
            </w:r>
          </w:p>
        </w:tc>
      </w:tr>
      <w:tr w:rsidR="00CB1493" w:rsidRPr="001455B4" w14:paraId="2F083B12" w14:textId="77777777" w:rsidTr="00CB1493">
        <w:trPr>
          <w:trHeight w:val="300"/>
        </w:trPr>
        <w:tc>
          <w:tcPr>
            <w:tcW w:w="1600" w:type="dxa"/>
            <w:tcBorders>
              <w:top w:val="single" w:sz="4" w:space="0" w:color="auto"/>
              <w:bottom w:val="single" w:sz="4" w:space="0" w:color="auto"/>
            </w:tcBorders>
            <w:shd w:val="clear" w:color="000000" w:fill="FFFFFF"/>
            <w:noWrap/>
            <w:vAlign w:val="center"/>
            <w:hideMark/>
          </w:tcPr>
          <w:p w14:paraId="626738CB" w14:textId="77777777" w:rsidR="00CB1493" w:rsidRPr="001455B4" w:rsidRDefault="00CB1493" w:rsidP="009B7BC4">
            <w:pPr>
              <w:pStyle w:val="EEAtableleftbold"/>
              <w:rPr>
                <w:lang w:eastAsia="de-AT"/>
              </w:rPr>
            </w:pPr>
            <w:r w:rsidRPr="001455B4">
              <w:rPr>
                <w:lang w:eastAsia="de-AT"/>
              </w:rPr>
              <w:t>Climate</w:t>
            </w:r>
          </w:p>
        </w:tc>
        <w:tc>
          <w:tcPr>
            <w:tcW w:w="6338" w:type="dxa"/>
            <w:tcBorders>
              <w:top w:val="single" w:sz="4" w:space="0" w:color="auto"/>
              <w:bottom w:val="single" w:sz="4" w:space="0" w:color="auto"/>
            </w:tcBorders>
            <w:shd w:val="clear" w:color="auto" w:fill="auto"/>
            <w:vAlign w:val="center"/>
            <w:hideMark/>
          </w:tcPr>
          <w:p w14:paraId="2CFABD82" w14:textId="77777777" w:rsidR="00CB1493" w:rsidRPr="001455B4" w:rsidRDefault="00CB1493" w:rsidP="007C0E26">
            <w:pPr>
              <w:pStyle w:val="EEAtableleft"/>
              <w:rPr>
                <w:lang w:eastAsia="de-AT"/>
              </w:rPr>
            </w:pPr>
            <w:r w:rsidRPr="001455B4">
              <w:rPr>
                <w:lang w:eastAsia="de-AT"/>
              </w:rPr>
              <w:t>Carbon storage</w:t>
            </w:r>
          </w:p>
        </w:tc>
        <w:tc>
          <w:tcPr>
            <w:tcW w:w="1418" w:type="dxa"/>
            <w:tcBorders>
              <w:top w:val="single" w:sz="4" w:space="0" w:color="auto"/>
              <w:bottom w:val="single" w:sz="4" w:space="0" w:color="auto"/>
            </w:tcBorders>
            <w:shd w:val="clear" w:color="000000" w:fill="auto"/>
            <w:noWrap/>
            <w:vAlign w:val="bottom"/>
            <w:hideMark/>
          </w:tcPr>
          <w:p w14:paraId="2A44DE13" w14:textId="2BFDA640" w:rsidR="00CB1493" w:rsidRPr="001455B4" w:rsidRDefault="00CB1493" w:rsidP="009B7BC4">
            <w:pPr>
              <w:pStyle w:val="EEATabcenter"/>
              <w:rPr>
                <w:lang w:eastAsia="de-AT"/>
              </w:rPr>
            </w:pPr>
            <w:r>
              <w:rPr>
                <w:lang w:eastAsia="de-AT"/>
              </w:rPr>
              <w:t>+/-</w:t>
            </w:r>
          </w:p>
        </w:tc>
      </w:tr>
      <w:tr w:rsidR="00CB1493" w:rsidRPr="001455B4" w14:paraId="67CC0DB1" w14:textId="77777777" w:rsidTr="00CB1493">
        <w:trPr>
          <w:trHeight w:val="300"/>
        </w:trPr>
        <w:tc>
          <w:tcPr>
            <w:tcW w:w="1600" w:type="dxa"/>
            <w:tcBorders>
              <w:top w:val="single" w:sz="4" w:space="0" w:color="auto"/>
              <w:bottom w:val="single" w:sz="4" w:space="0" w:color="auto"/>
            </w:tcBorders>
            <w:shd w:val="clear" w:color="000000" w:fill="FFFFFF"/>
            <w:noWrap/>
            <w:vAlign w:val="center"/>
            <w:hideMark/>
          </w:tcPr>
          <w:p w14:paraId="69CEF5E8" w14:textId="77777777" w:rsidR="00CB1493" w:rsidRPr="001455B4" w:rsidRDefault="00CB1493" w:rsidP="009B7BC4">
            <w:pPr>
              <w:pStyle w:val="EEAtableleftbold"/>
              <w:rPr>
                <w:lang w:eastAsia="de-AT"/>
              </w:rPr>
            </w:pPr>
            <w:r w:rsidRPr="001455B4">
              <w:rPr>
                <w:lang w:eastAsia="de-AT"/>
              </w:rPr>
              <w:t>Biodiversity</w:t>
            </w:r>
          </w:p>
        </w:tc>
        <w:tc>
          <w:tcPr>
            <w:tcW w:w="6338" w:type="dxa"/>
            <w:tcBorders>
              <w:top w:val="single" w:sz="4" w:space="0" w:color="auto"/>
              <w:bottom w:val="single" w:sz="4" w:space="0" w:color="auto"/>
            </w:tcBorders>
            <w:shd w:val="clear" w:color="auto" w:fill="auto"/>
            <w:vAlign w:val="center"/>
            <w:hideMark/>
          </w:tcPr>
          <w:p w14:paraId="43BCB35A" w14:textId="77777777" w:rsidR="00CB1493" w:rsidRPr="001455B4" w:rsidRDefault="00CB1493" w:rsidP="007C0E26">
            <w:pPr>
              <w:pStyle w:val="EEAtableleft"/>
              <w:rPr>
                <w:lang w:eastAsia="de-AT"/>
              </w:rPr>
            </w:pPr>
            <w:r w:rsidRPr="001455B4">
              <w:rPr>
                <w:lang w:eastAsia="de-AT"/>
              </w:rPr>
              <w:t>Habitat for plants</w:t>
            </w:r>
            <w:r>
              <w:rPr>
                <w:lang w:eastAsia="de-AT"/>
              </w:rPr>
              <w:t>.</w:t>
            </w:r>
            <w:r w:rsidRPr="001455B4">
              <w:rPr>
                <w:lang w:eastAsia="de-AT"/>
              </w:rPr>
              <w:t xml:space="preserve"> </w:t>
            </w:r>
            <w:proofErr w:type="gramStart"/>
            <w:r w:rsidRPr="001455B4">
              <w:rPr>
                <w:lang w:eastAsia="de-AT"/>
              </w:rPr>
              <w:t>insects</w:t>
            </w:r>
            <w:proofErr w:type="gramEnd"/>
            <w:r>
              <w:rPr>
                <w:lang w:eastAsia="de-AT"/>
              </w:rPr>
              <w:t>.</w:t>
            </w:r>
            <w:r w:rsidRPr="001455B4">
              <w:rPr>
                <w:lang w:eastAsia="de-AT"/>
              </w:rPr>
              <w:t xml:space="preserve"> </w:t>
            </w:r>
            <w:proofErr w:type="gramStart"/>
            <w:r w:rsidRPr="001455B4">
              <w:rPr>
                <w:lang w:eastAsia="de-AT"/>
              </w:rPr>
              <w:t>microbes</w:t>
            </w:r>
            <w:proofErr w:type="gramEnd"/>
            <w:r>
              <w:rPr>
                <w:lang w:eastAsia="de-AT"/>
              </w:rPr>
              <w:t>.</w:t>
            </w:r>
            <w:r w:rsidRPr="001455B4">
              <w:rPr>
                <w:lang w:eastAsia="de-AT"/>
              </w:rPr>
              <w:t xml:space="preserve"> funghi</w:t>
            </w:r>
          </w:p>
        </w:tc>
        <w:tc>
          <w:tcPr>
            <w:tcW w:w="1418" w:type="dxa"/>
            <w:tcBorders>
              <w:top w:val="single" w:sz="4" w:space="0" w:color="auto"/>
              <w:bottom w:val="single" w:sz="4" w:space="0" w:color="auto"/>
            </w:tcBorders>
            <w:shd w:val="clear" w:color="000000" w:fill="FF0000"/>
            <w:noWrap/>
            <w:vAlign w:val="bottom"/>
            <w:hideMark/>
          </w:tcPr>
          <w:p w14:paraId="39395704" w14:textId="77777777" w:rsidR="00CB1493" w:rsidRPr="001455B4" w:rsidRDefault="00CB1493" w:rsidP="009B7BC4">
            <w:pPr>
              <w:pStyle w:val="EEATabcenter"/>
              <w:rPr>
                <w:lang w:eastAsia="de-AT"/>
              </w:rPr>
            </w:pPr>
            <w:r w:rsidRPr="001455B4">
              <w:rPr>
                <w:lang w:eastAsia="de-AT"/>
              </w:rPr>
              <w:t>-</w:t>
            </w:r>
          </w:p>
        </w:tc>
      </w:tr>
      <w:tr w:rsidR="00CB1493" w:rsidRPr="001455B4" w14:paraId="39856BFA" w14:textId="77777777" w:rsidTr="00CB1493">
        <w:trPr>
          <w:trHeight w:val="300"/>
        </w:trPr>
        <w:tc>
          <w:tcPr>
            <w:tcW w:w="1600" w:type="dxa"/>
            <w:vMerge w:val="restart"/>
            <w:tcBorders>
              <w:top w:val="single" w:sz="4" w:space="0" w:color="auto"/>
              <w:bottom w:val="single" w:sz="4" w:space="0" w:color="auto"/>
            </w:tcBorders>
            <w:shd w:val="clear" w:color="auto" w:fill="auto"/>
            <w:noWrap/>
            <w:vAlign w:val="center"/>
            <w:hideMark/>
          </w:tcPr>
          <w:p w14:paraId="1A3625F5" w14:textId="77777777" w:rsidR="00CB1493" w:rsidRPr="001455B4" w:rsidRDefault="00CB1493" w:rsidP="009B7BC4">
            <w:pPr>
              <w:pStyle w:val="EEAtableleftbold"/>
              <w:rPr>
                <w:lang w:eastAsia="de-AT"/>
              </w:rPr>
            </w:pPr>
            <w:r w:rsidRPr="001455B4">
              <w:rPr>
                <w:lang w:eastAsia="de-AT"/>
              </w:rPr>
              <w:t>Infrastructure</w:t>
            </w:r>
          </w:p>
        </w:tc>
        <w:tc>
          <w:tcPr>
            <w:tcW w:w="6338" w:type="dxa"/>
            <w:tcBorders>
              <w:top w:val="single" w:sz="4" w:space="0" w:color="auto"/>
              <w:bottom w:val="single" w:sz="4" w:space="0" w:color="auto"/>
            </w:tcBorders>
            <w:shd w:val="clear" w:color="auto" w:fill="auto"/>
            <w:vAlign w:val="center"/>
            <w:hideMark/>
          </w:tcPr>
          <w:p w14:paraId="2A5AD5A3" w14:textId="77777777" w:rsidR="00CB1493" w:rsidRPr="001455B4" w:rsidRDefault="00CB1493" w:rsidP="007C0E26">
            <w:pPr>
              <w:pStyle w:val="EEAtableleft"/>
              <w:rPr>
                <w:lang w:eastAsia="de-AT"/>
              </w:rPr>
            </w:pPr>
            <w:r w:rsidRPr="001455B4">
              <w:rPr>
                <w:lang w:eastAsia="de-AT"/>
              </w:rPr>
              <w:t>Platform for infrastructure</w:t>
            </w:r>
          </w:p>
        </w:tc>
        <w:tc>
          <w:tcPr>
            <w:tcW w:w="1418" w:type="dxa"/>
            <w:tcBorders>
              <w:top w:val="single" w:sz="4" w:space="0" w:color="auto"/>
              <w:bottom w:val="single" w:sz="4" w:space="0" w:color="auto"/>
            </w:tcBorders>
            <w:shd w:val="clear" w:color="000000" w:fill="FFFFFF"/>
            <w:noWrap/>
            <w:vAlign w:val="center"/>
            <w:hideMark/>
          </w:tcPr>
          <w:p w14:paraId="79C29971" w14:textId="77777777" w:rsidR="00CB1493" w:rsidRPr="001455B4" w:rsidRDefault="00CB1493" w:rsidP="009B7BC4">
            <w:pPr>
              <w:pStyle w:val="EEATabcenter"/>
              <w:rPr>
                <w:lang w:eastAsia="de-AT"/>
              </w:rPr>
            </w:pPr>
            <w:r w:rsidRPr="001455B4">
              <w:rPr>
                <w:lang w:eastAsia="de-AT"/>
              </w:rPr>
              <w:t>indiff</w:t>
            </w:r>
            <w:r>
              <w:rPr>
                <w:lang w:eastAsia="de-AT"/>
              </w:rPr>
              <w:t>erent</w:t>
            </w:r>
          </w:p>
        </w:tc>
      </w:tr>
      <w:tr w:rsidR="00CB1493" w:rsidRPr="001455B4" w14:paraId="2EE72B7D" w14:textId="77777777" w:rsidTr="00CB1493">
        <w:trPr>
          <w:trHeight w:val="300"/>
        </w:trPr>
        <w:tc>
          <w:tcPr>
            <w:tcW w:w="1600" w:type="dxa"/>
            <w:vMerge/>
            <w:tcBorders>
              <w:top w:val="single" w:sz="4" w:space="0" w:color="auto"/>
              <w:bottom w:val="single" w:sz="4" w:space="0" w:color="auto"/>
            </w:tcBorders>
            <w:vAlign w:val="center"/>
            <w:hideMark/>
          </w:tcPr>
          <w:p w14:paraId="4E8C2D43" w14:textId="77777777" w:rsidR="00CB1493" w:rsidRPr="001455B4" w:rsidRDefault="00CB1493" w:rsidP="007C0E26">
            <w:pPr>
              <w:suppressAutoHyphens w:val="0"/>
              <w:jc w:val="left"/>
              <w:rPr>
                <w:b/>
                <w:bCs/>
                <w:sz w:val="20"/>
                <w:lang w:eastAsia="de-AT"/>
              </w:rPr>
            </w:pPr>
          </w:p>
        </w:tc>
        <w:tc>
          <w:tcPr>
            <w:tcW w:w="6338" w:type="dxa"/>
            <w:tcBorders>
              <w:top w:val="single" w:sz="4" w:space="0" w:color="auto"/>
              <w:bottom w:val="single" w:sz="4" w:space="0" w:color="auto"/>
            </w:tcBorders>
            <w:shd w:val="clear" w:color="auto" w:fill="auto"/>
            <w:vAlign w:val="center"/>
            <w:hideMark/>
          </w:tcPr>
          <w:p w14:paraId="72B13C34" w14:textId="77777777" w:rsidR="00CB1493" w:rsidRPr="001455B4" w:rsidRDefault="00CB1493" w:rsidP="007C0E26">
            <w:pPr>
              <w:pStyle w:val="EEAtableleft"/>
              <w:rPr>
                <w:lang w:eastAsia="de-AT"/>
              </w:rPr>
            </w:pPr>
            <w:r w:rsidRPr="001455B4">
              <w:rPr>
                <w:lang w:eastAsia="de-AT"/>
              </w:rPr>
              <w:t xml:space="preserve">Storage of </w:t>
            </w:r>
            <w:r>
              <w:rPr>
                <w:lang w:eastAsia="de-AT"/>
              </w:rPr>
              <w:t>relocated material or artefacts  (excavated geological material, sediments, cables and pipelines, archaeological material)</w:t>
            </w:r>
          </w:p>
        </w:tc>
        <w:tc>
          <w:tcPr>
            <w:tcW w:w="1418" w:type="dxa"/>
            <w:tcBorders>
              <w:top w:val="single" w:sz="4" w:space="0" w:color="auto"/>
              <w:bottom w:val="single" w:sz="4" w:space="0" w:color="auto"/>
            </w:tcBorders>
            <w:shd w:val="clear" w:color="000000" w:fill="FFFFFF"/>
            <w:noWrap/>
            <w:vAlign w:val="center"/>
            <w:hideMark/>
          </w:tcPr>
          <w:p w14:paraId="145F8111" w14:textId="77777777" w:rsidR="00CB1493" w:rsidRPr="001455B4" w:rsidRDefault="00CB1493" w:rsidP="009B7BC4">
            <w:pPr>
              <w:pStyle w:val="EEATabcenter"/>
              <w:rPr>
                <w:lang w:eastAsia="de-AT"/>
              </w:rPr>
            </w:pPr>
            <w:r w:rsidRPr="001455B4">
              <w:rPr>
                <w:lang w:eastAsia="de-AT"/>
              </w:rPr>
              <w:t>indiff</w:t>
            </w:r>
            <w:r>
              <w:rPr>
                <w:lang w:eastAsia="de-AT"/>
              </w:rPr>
              <w:t>erent</w:t>
            </w:r>
          </w:p>
        </w:tc>
      </w:tr>
    </w:tbl>
    <w:p w14:paraId="08801CD2" w14:textId="77777777" w:rsidR="00D35E90" w:rsidRDefault="00D35E90" w:rsidP="00D35E90"/>
    <w:p w14:paraId="27692E62" w14:textId="5AB25D06" w:rsidR="009B7BC4" w:rsidRDefault="009B7BC4" w:rsidP="009B7BC4">
      <w:pPr>
        <w:pStyle w:val="berschrift2"/>
      </w:pPr>
      <w:bookmarkStart w:id="182" w:name="_Toc83997354"/>
      <w:r w:rsidRPr="009B7BC4">
        <w:t>Methodical aspects to detect and treat soil pollution</w:t>
      </w:r>
      <w:bookmarkEnd w:id="182"/>
    </w:p>
    <w:p w14:paraId="35DE6AF3" w14:textId="093ECDA1" w:rsidR="00D35E90" w:rsidRDefault="00D35E90" w:rsidP="00D35E90"/>
    <w:p w14:paraId="12A239EE" w14:textId="40E26449" w:rsidR="009B7BC4" w:rsidRPr="009D5972" w:rsidRDefault="009B7BC4" w:rsidP="009B7BC4">
      <w:pPr>
        <w:pStyle w:val="berschrift2"/>
        <w:numPr>
          <w:ilvl w:val="2"/>
          <w:numId w:val="4"/>
        </w:numPr>
        <w:rPr>
          <w:rStyle w:val="FormatvorlageFormatvorlageberschrift3Zchn1"/>
        </w:rPr>
      </w:pPr>
      <w:bookmarkStart w:id="183" w:name="_Toc83997355"/>
      <w:r w:rsidRPr="009B7BC4">
        <w:rPr>
          <w:rStyle w:val="FormatvorlageFormatvorlageberschrift3Zchn1"/>
        </w:rPr>
        <w:t>Protection targets</w:t>
      </w:r>
      <w:bookmarkEnd w:id="183"/>
    </w:p>
    <w:p w14:paraId="496340FA" w14:textId="77777777" w:rsidR="009B7BC4" w:rsidRDefault="009B7BC4" w:rsidP="00D35E90"/>
    <w:p w14:paraId="6AF24656" w14:textId="77777777" w:rsidR="00D35E90" w:rsidRDefault="00D35E90" w:rsidP="00D24035">
      <w:r>
        <w:t xml:space="preserve">Soil pollution can be defined as the presence of contaminants in the upper (unsaturated) soil layer, including the root zone, and in groundwater in excess of levels deemed acceptable in view of risks. It affects human health and degrades the functionality of soils by affecting some of its major functions, such as hosting biological diversity, production of food, and the filter function to protect water bodies. Soil pollution as such is one of the relevant threats known to affect soil quality. </w:t>
      </w:r>
    </w:p>
    <w:p w14:paraId="6B81302D" w14:textId="04178E81" w:rsidR="00D35E90" w:rsidRDefault="00D35E90" w:rsidP="00D24035">
      <w:r>
        <w:lastRenderedPageBreak/>
        <w:t xml:space="preserve">Clearly several relevant links or interactions exist between soil threats, in particular with soil biodiversity and carbon storage. For </w:t>
      </w:r>
      <w:r w:rsidR="000E16D5">
        <w:t>example,</w:t>
      </w:r>
      <w:r>
        <w:t xml:space="preserve"> the decline in soil organic matter, acknowledged as a serious threat notably in agricultural soil, can aggravate the impact of soil pollution since effects the active micro-surface and substrate for biochemical soil processes affecting storage, breakdown and release of contaminants. Nevertheless, this chapter will focus largely on how risks of contaminants in soil can be quantified in relation to soil functions. Here, especially relevant soil functions are the production of sufficient (quantity) and safe (quality) food and fodder crops as well as animal products, filter function to preserve water quality, carbon storage and habitat function for soil life (including the health of animal feeding from soil such (</w:t>
      </w:r>
      <w:r w:rsidR="00407864">
        <w:t>i.e.,</w:t>
      </w:r>
      <w:r>
        <w:t xml:space="preserve"> cattle, horses, sheep etc) are prime functions to be considered. </w:t>
      </w:r>
    </w:p>
    <w:p w14:paraId="26D988DC" w14:textId="77777777" w:rsidR="00984450" w:rsidRDefault="00984450" w:rsidP="00D24035"/>
    <w:p w14:paraId="56220D95" w14:textId="77777777" w:rsidR="00D35E90" w:rsidRDefault="00D35E90" w:rsidP="00D24035">
      <w:r>
        <w:t>If present in excess levels, soil pollution can lead to health effects and decrease the activity of soil organisms and affect its functional composition. Crop performance, micro-organisms and enzyme activity in the soil are proven to be negatively affected in contaminated soil, on the long-term leading to a decline of aggregate stability and affecting the decomposition of organic matter in soils (Stolte et al., 2016). This in turn can aggravate erosion. However, even more importantly, s</w:t>
      </w:r>
      <w:r w:rsidRPr="0099401B">
        <w:t xml:space="preserve">ubstances </w:t>
      </w:r>
      <w:r>
        <w:t xml:space="preserve">entering the root zone may </w:t>
      </w:r>
      <w:r w:rsidRPr="0099401B">
        <w:t>accumulate</w:t>
      </w:r>
      <w:r>
        <w:t xml:space="preserve"> </w:t>
      </w:r>
      <w:r w:rsidRPr="0099401B">
        <w:t>in food chains</w:t>
      </w:r>
      <w:r>
        <w:t>.</w:t>
      </w:r>
      <w:r w:rsidRPr="0099401B">
        <w:t xml:space="preserve"> </w:t>
      </w:r>
      <w:r>
        <w:t xml:space="preserve">Moreover, mobile substances leaching into the unsaturated groundwater zone can threat drinking water resources, often after years, decades or even centuries. </w:t>
      </w:r>
    </w:p>
    <w:p w14:paraId="736FE1DF" w14:textId="77777777" w:rsidR="00D35E90" w:rsidRDefault="00D35E90" w:rsidP="00D24035"/>
    <w:p w14:paraId="26391290" w14:textId="3185A069" w:rsidR="00D35E90" w:rsidRDefault="00D35E90" w:rsidP="00D24035">
      <w:r>
        <w:t xml:space="preserve">The goal of soil protection regulations and procedures is to protect human health, the environment, agricultural </w:t>
      </w:r>
      <w:r w:rsidR="00407864">
        <w:t>production,</w:t>
      </w:r>
      <w:r>
        <w:t xml:space="preserve"> and groundwater resources. In </w:t>
      </w:r>
      <w:r w:rsidR="00984450">
        <w:fldChar w:fldCharType="begin"/>
      </w:r>
      <w:r w:rsidR="00984450">
        <w:instrText xml:space="preserve"> REF _Ref82773818 \h </w:instrText>
      </w:r>
      <w:r w:rsidR="00984450">
        <w:fldChar w:fldCharType="separate"/>
      </w:r>
      <w:r w:rsidR="0067767C" w:rsidRPr="00776F43">
        <w:t xml:space="preserve">Table </w:t>
      </w:r>
      <w:r w:rsidR="0067767C">
        <w:rPr>
          <w:noProof/>
        </w:rPr>
        <w:t>5</w:t>
      </w:r>
      <w:r w:rsidR="0067767C">
        <w:noBreakHyphen/>
      </w:r>
      <w:r w:rsidR="0067767C">
        <w:rPr>
          <w:noProof/>
        </w:rPr>
        <w:t>3</w:t>
      </w:r>
      <w:r w:rsidR="00984450">
        <w:fldChar w:fldCharType="end"/>
      </w:r>
      <w:r w:rsidRPr="00AB0D8C">
        <w:t xml:space="preserve">, </w:t>
      </w:r>
      <w:r>
        <w:t xml:space="preserve">three main groups of environmental compartments and endpoints that need to be protected are summarized: arable cropping systems (targeting food and feed quality as well as animal health), the soil ecosystem (targeting life support functions and biodiversity), and protection of water bodies, including both groundwater and surface water bodies (targeting human health and aquatic ecosystem functioning). </w:t>
      </w:r>
    </w:p>
    <w:p w14:paraId="7689DD2D" w14:textId="724BBDC9" w:rsidR="00D35E90" w:rsidRDefault="00D35E90" w:rsidP="00407864">
      <w:pPr>
        <w:spacing w:before="120"/>
      </w:pPr>
    </w:p>
    <w:p w14:paraId="23542FC5" w14:textId="000B2E31" w:rsidR="0094627F" w:rsidRPr="00776F43" w:rsidRDefault="0094627F" w:rsidP="0094627F">
      <w:pPr>
        <w:pStyle w:val="EEALabel"/>
        <w:rPr>
          <w:rFonts w:eastAsia="Calibri"/>
        </w:rPr>
      </w:pPr>
      <w:bookmarkStart w:id="184" w:name="_Ref82774204"/>
      <w:bookmarkStart w:id="185" w:name="_Toc83997516"/>
      <w:r w:rsidRPr="00776F43">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2</w:t>
      </w:r>
      <w:r>
        <w:fldChar w:fldCharType="end"/>
      </w:r>
      <w:bookmarkEnd w:id="184"/>
      <w:r w:rsidRPr="00776F43">
        <w:t>:</w:t>
      </w:r>
      <w:r w:rsidRPr="00776F43">
        <w:rPr>
          <w:rFonts w:eastAsia="Calibri"/>
        </w:rPr>
        <w:tab/>
      </w:r>
      <w:r w:rsidRPr="0094627F">
        <w:rPr>
          <w:rFonts w:eastAsia="Calibri"/>
        </w:rPr>
        <w:t>Overview of relevant entities to be protected and critical limits in relevant endpoints</w:t>
      </w:r>
      <w:bookmarkEnd w:id="185"/>
    </w:p>
    <w:p w14:paraId="5EBCAF45" w14:textId="3CAE6982" w:rsidR="0094627F" w:rsidRDefault="0094627F" w:rsidP="00D24035"/>
    <w:tbl>
      <w:tblPr>
        <w:tblStyle w:val="Tabellenraster"/>
        <w:tblW w:w="9498"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357"/>
        <w:gridCol w:w="1985"/>
        <w:gridCol w:w="3746"/>
        <w:gridCol w:w="2410"/>
      </w:tblGrid>
      <w:tr w:rsidR="00D35E90" w:rsidRPr="00BD6FB8" w14:paraId="7C16EB19" w14:textId="77777777" w:rsidTr="00BD6FB8">
        <w:tc>
          <w:tcPr>
            <w:tcW w:w="1357" w:type="dxa"/>
            <w:tcBorders>
              <w:top w:val="single" w:sz="4" w:space="0" w:color="auto"/>
            </w:tcBorders>
            <w:shd w:val="clear" w:color="auto" w:fill="F2F2F2" w:themeFill="background1" w:themeFillShade="F2"/>
          </w:tcPr>
          <w:p w14:paraId="2997831C" w14:textId="77777777" w:rsidR="00D35E90" w:rsidRPr="00BD6FB8" w:rsidRDefault="00D35E90" w:rsidP="00BD6FB8">
            <w:pPr>
              <w:pStyle w:val="EEAtableleft"/>
              <w:rPr>
                <w:b/>
                <w:bCs/>
              </w:rPr>
            </w:pPr>
            <w:r w:rsidRPr="00BD6FB8">
              <w:rPr>
                <w:b/>
                <w:bCs/>
              </w:rPr>
              <w:t>Relevant compartment</w:t>
            </w:r>
          </w:p>
        </w:tc>
        <w:tc>
          <w:tcPr>
            <w:tcW w:w="1985" w:type="dxa"/>
            <w:tcBorders>
              <w:top w:val="single" w:sz="4" w:space="0" w:color="auto"/>
            </w:tcBorders>
            <w:shd w:val="clear" w:color="auto" w:fill="F2F2F2" w:themeFill="background1" w:themeFillShade="F2"/>
          </w:tcPr>
          <w:p w14:paraId="348D8E7B" w14:textId="77777777" w:rsidR="00D35E90" w:rsidRPr="00BD6FB8" w:rsidRDefault="00D35E90" w:rsidP="00BD6FB8">
            <w:pPr>
              <w:pStyle w:val="EEAtableleft"/>
              <w:rPr>
                <w:b/>
                <w:bCs/>
              </w:rPr>
            </w:pPr>
            <w:r w:rsidRPr="00BD6FB8">
              <w:rPr>
                <w:b/>
                <w:bCs/>
              </w:rPr>
              <w:t xml:space="preserve">Protection target/ endpoint </w:t>
            </w:r>
          </w:p>
        </w:tc>
        <w:tc>
          <w:tcPr>
            <w:tcW w:w="3746" w:type="dxa"/>
            <w:tcBorders>
              <w:top w:val="single" w:sz="4" w:space="0" w:color="auto"/>
            </w:tcBorders>
            <w:shd w:val="clear" w:color="auto" w:fill="F2F2F2" w:themeFill="background1" w:themeFillShade="F2"/>
          </w:tcPr>
          <w:p w14:paraId="359FDF33" w14:textId="77777777" w:rsidR="00D35E90" w:rsidRPr="00BD6FB8" w:rsidRDefault="00D35E90" w:rsidP="00BD6FB8">
            <w:pPr>
              <w:pStyle w:val="EEAtableleft"/>
              <w:rPr>
                <w:b/>
                <w:bCs/>
              </w:rPr>
            </w:pPr>
            <w:r w:rsidRPr="00BD6FB8">
              <w:rPr>
                <w:b/>
                <w:bCs/>
              </w:rPr>
              <w:t>Assessment criterion</w:t>
            </w:r>
          </w:p>
        </w:tc>
        <w:tc>
          <w:tcPr>
            <w:tcW w:w="2410" w:type="dxa"/>
            <w:tcBorders>
              <w:top w:val="single" w:sz="4" w:space="0" w:color="auto"/>
            </w:tcBorders>
            <w:shd w:val="clear" w:color="auto" w:fill="F2F2F2" w:themeFill="background1" w:themeFillShade="F2"/>
          </w:tcPr>
          <w:p w14:paraId="51426B30" w14:textId="77777777" w:rsidR="00D35E90" w:rsidRPr="00BD6FB8" w:rsidRDefault="00D35E90" w:rsidP="00BD6FB8">
            <w:pPr>
              <w:pStyle w:val="EEAtableleft"/>
              <w:rPr>
                <w:b/>
                <w:bCs/>
              </w:rPr>
            </w:pPr>
            <w:r w:rsidRPr="00BD6FB8">
              <w:rPr>
                <w:b/>
                <w:bCs/>
              </w:rPr>
              <w:t>Regulation addressing the issue</w:t>
            </w:r>
          </w:p>
        </w:tc>
      </w:tr>
      <w:tr w:rsidR="00D35E90" w:rsidRPr="00281EF0" w14:paraId="75922CE8" w14:textId="77777777" w:rsidTr="007C0E26">
        <w:tc>
          <w:tcPr>
            <w:tcW w:w="1357" w:type="dxa"/>
            <w:vMerge w:val="restart"/>
            <w:vAlign w:val="center"/>
          </w:tcPr>
          <w:p w14:paraId="1646160C" w14:textId="77777777" w:rsidR="00D35E90" w:rsidRPr="00281EF0" w:rsidRDefault="00D35E90" w:rsidP="007C0E26">
            <w:pPr>
              <w:pStyle w:val="EEAtableleft"/>
            </w:pPr>
            <w:r w:rsidRPr="00281EF0">
              <w:t>A</w:t>
            </w:r>
            <w:r>
              <w:t>rable, pasture and allotment soils</w:t>
            </w:r>
          </w:p>
        </w:tc>
        <w:tc>
          <w:tcPr>
            <w:tcW w:w="1985" w:type="dxa"/>
            <w:vAlign w:val="center"/>
          </w:tcPr>
          <w:p w14:paraId="19C8767F" w14:textId="77777777" w:rsidR="00D35E90" w:rsidRPr="00281EF0" w:rsidRDefault="00D35E90" w:rsidP="007C0E26">
            <w:pPr>
              <w:pStyle w:val="EEAtableleft"/>
            </w:pPr>
            <w:r w:rsidRPr="00281EF0">
              <w:t>Food quality for human consumption</w:t>
            </w:r>
          </w:p>
        </w:tc>
        <w:tc>
          <w:tcPr>
            <w:tcW w:w="3746" w:type="dxa"/>
            <w:vAlign w:val="center"/>
          </w:tcPr>
          <w:p w14:paraId="3A769917" w14:textId="77777777" w:rsidR="00D35E90" w:rsidRPr="00281EF0" w:rsidRDefault="00D35E90" w:rsidP="007C0E26">
            <w:pPr>
              <w:pStyle w:val="EEAtableleft"/>
            </w:pPr>
            <w:r w:rsidRPr="00281EF0">
              <w:t>Food quality standards</w:t>
            </w:r>
            <w:r>
              <w:t xml:space="preserve"> and </w:t>
            </w:r>
            <w:r w:rsidRPr="00CB3215">
              <w:t>toxicological limit value</w:t>
            </w:r>
            <w:r>
              <w:t>s</w:t>
            </w:r>
          </w:p>
        </w:tc>
        <w:tc>
          <w:tcPr>
            <w:tcW w:w="2410" w:type="dxa"/>
            <w:vAlign w:val="center"/>
          </w:tcPr>
          <w:p w14:paraId="72DBCE9C" w14:textId="77777777" w:rsidR="00D35E90" w:rsidRPr="00281EF0" w:rsidRDefault="00D35E90" w:rsidP="007C0E26">
            <w:pPr>
              <w:pStyle w:val="EEAtableleft"/>
            </w:pPr>
            <w:r w:rsidRPr="00281EF0">
              <w:t>EU, WHO, FAO</w:t>
            </w:r>
            <w:r>
              <w:t>, national regulations</w:t>
            </w:r>
          </w:p>
        </w:tc>
      </w:tr>
      <w:tr w:rsidR="00D35E90" w:rsidRPr="00281EF0" w14:paraId="35B27EC4" w14:textId="77777777" w:rsidTr="007C0E26">
        <w:tc>
          <w:tcPr>
            <w:tcW w:w="1357" w:type="dxa"/>
            <w:vMerge/>
            <w:vAlign w:val="center"/>
          </w:tcPr>
          <w:p w14:paraId="03D1B267" w14:textId="77777777" w:rsidR="00D35E90" w:rsidRPr="00281EF0" w:rsidRDefault="00D35E90" w:rsidP="007C0E26">
            <w:pPr>
              <w:pStyle w:val="EEAtableleft"/>
            </w:pPr>
          </w:p>
        </w:tc>
        <w:tc>
          <w:tcPr>
            <w:tcW w:w="1985" w:type="dxa"/>
            <w:vAlign w:val="center"/>
          </w:tcPr>
          <w:p w14:paraId="1EB5BF1C" w14:textId="77777777" w:rsidR="00D35E90" w:rsidRPr="00281EF0" w:rsidRDefault="00D35E90" w:rsidP="007C0E26">
            <w:pPr>
              <w:pStyle w:val="EEAtableleft"/>
            </w:pPr>
            <w:r w:rsidRPr="00281EF0">
              <w:t>Fodder quality for animal feed</w:t>
            </w:r>
          </w:p>
        </w:tc>
        <w:tc>
          <w:tcPr>
            <w:tcW w:w="3746" w:type="dxa"/>
            <w:vAlign w:val="center"/>
          </w:tcPr>
          <w:p w14:paraId="3D7156A9" w14:textId="77777777" w:rsidR="00D35E90" w:rsidRPr="00281EF0" w:rsidRDefault="00D35E90" w:rsidP="007C0E26">
            <w:pPr>
              <w:pStyle w:val="EEAtableleft"/>
            </w:pPr>
            <w:r w:rsidRPr="00281EF0">
              <w:t>Feed quality standards</w:t>
            </w:r>
            <w:r>
              <w:t xml:space="preserve"> </w:t>
            </w:r>
          </w:p>
        </w:tc>
        <w:tc>
          <w:tcPr>
            <w:tcW w:w="2410" w:type="dxa"/>
            <w:vAlign w:val="center"/>
          </w:tcPr>
          <w:p w14:paraId="401661CB" w14:textId="77777777" w:rsidR="00D35E90" w:rsidRPr="00281EF0" w:rsidRDefault="00D35E90" w:rsidP="007C0E26">
            <w:pPr>
              <w:pStyle w:val="EEAtableleft"/>
            </w:pPr>
            <w:r w:rsidRPr="00281EF0">
              <w:t>EU</w:t>
            </w:r>
          </w:p>
        </w:tc>
      </w:tr>
      <w:tr w:rsidR="00D35E90" w:rsidRPr="00281EF0" w14:paraId="1719ADA5" w14:textId="77777777" w:rsidTr="007C0E26">
        <w:tc>
          <w:tcPr>
            <w:tcW w:w="1357" w:type="dxa"/>
            <w:vMerge/>
            <w:vAlign w:val="center"/>
          </w:tcPr>
          <w:p w14:paraId="1BB5ECC3" w14:textId="77777777" w:rsidR="00D35E90" w:rsidRPr="00281EF0" w:rsidRDefault="00D35E90" w:rsidP="007C0E26">
            <w:pPr>
              <w:pStyle w:val="EEAtableleft"/>
            </w:pPr>
          </w:p>
        </w:tc>
        <w:tc>
          <w:tcPr>
            <w:tcW w:w="1985" w:type="dxa"/>
            <w:vAlign w:val="center"/>
          </w:tcPr>
          <w:p w14:paraId="2D48BA3A" w14:textId="77777777" w:rsidR="00D35E90" w:rsidRPr="00281EF0" w:rsidRDefault="00D35E90" w:rsidP="007C0E26">
            <w:pPr>
              <w:pStyle w:val="EEAtableleft"/>
            </w:pPr>
            <w:r w:rsidRPr="00281EF0">
              <w:t>Animal health</w:t>
            </w:r>
          </w:p>
        </w:tc>
        <w:tc>
          <w:tcPr>
            <w:tcW w:w="3746" w:type="dxa"/>
            <w:vAlign w:val="center"/>
          </w:tcPr>
          <w:p w14:paraId="5A1CFE30" w14:textId="77777777" w:rsidR="00D35E90" w:rsidRPr="00281EF0" w:rsidRDefault="00D35E90" w:rsidP="007C0E26">
            <w:pPr>
              <w:pStyle w:val="EEAtableleft"/>
            </w:pPr>
            <w:r>
              <w:t>T</w:t>
            </w:r>
            <w:r w:rsidRPr="00CB3215">
              <w:t>oxicological limit value</w:t>
            </w:r>
            <w:r>
              <w:t>s</w:t>
            </w:r>
          </w:p>
        </w:tc>
        <w:tc>
          <w:tcPr>
            <w:tcW w:w="2410" w:type="dxa"/>
            <w:vAlign w:val="center"/>
          </w:tcPr>
          <w:p w14:paraId="25505D58" w14:textId="77777777" w:rsidR="00D35E90" w:rsidRPr="00281EF0" w:rsidRDefault="00D35E90" w:rsidP="007C0E26">
            <w:pPr>
              <w:pStyle w:val="EEAtableleft"/>
            </w:pPr>
            <w:r w:rsidRPr="00281EF0">
              <w:t>Recommended levels</w:t>
            </w:r>
          </w:p>
        </w:tc>
      </w:tr>
      <w:tr w:rsidR="00D35E90" w:rsidRPr="00281EF0" w14:paraId="48A4810C" w14:textId="77777777" w:rsidTr="007C0E26">
        <w:tc>
          <w:tcPr>
            <w:tcW w:w="1357" w:type="dxa"/>
            <w:vMerge/>
            <w:vAlign w:val="center"/>
          </w:tcPr>
          <w:p w14:paraId="4F276104" w14:textId="77777777" w:rsidR="00D35E90" w:rsidRPr="00281EF0" w:rsidRDefault="00D35E90" w:rsidP="007C0E26">
            <w:pPr>
              <w:pStyle w:val="EEAtableleft"/>
            </w:pPr>
          </w:p>
        </w:tc>
        <w:tc>
          <w:tcPr>
            <w:tcW w:w="1985" w:type="dxa"/>
            <w:vAlign w:val="center"/>
          </w:tcPr>
          <w:p w14:paraId="34C1BAA2" w14:textId="77777777" w:rsidR="00D35E90" w:rsidRPr="00281EF0" w:rsidRDefault="00D35E90" w:rsidP="007C0E26">
            <w:pPr>
              <w:pStyle w:val="EEAtableleft"/>
            </w:pPr>
            <w:r w:rsidRPr="00281EF0">
              <w:t>Animal products</w:t>
            </w:r>
          </w:p>
        </w:tc>
        <w:tc>
          <w:tcPr>
            <w:tcW w:w="3746" w:type="dxa"/>
            <w:vAlign w:val="center"/>
          </w:tcPr>
          <w:p w14:paraId="0721AD13" w14:textId="77777777" w:rsidR="00D35E90" w:rsidRPr="00281EF0" w:rsidRDefault="00D35E90" w:rsidP="007C0E26">
            <w:pPr>
              <w:pStyle w:val="EEAtableleft"/>
            </w:pPr>
            <w:r w:rsidRPr="00281EF0">
              <w:t>Food quality standards</w:t>
            </w:r>
          </w:p>
        </w:tc>
        <w:tc>
          <w:tcPr>
            <w:tcW w:w="2410" w:type="dxa"/>
            <w:vAlign w:val="center"/>
          </w:tcPr>
          <w:p w14:paraId="31F96BAC" w14:textId="77777777" w:rsidR="00D35E90" w:rsidRPr="00281EF0" w:rsidRDefault="00D35E90" w:rsidP="007C0E26">
            <w:pPr>
              <w:pStyle w:val="EEAtableleft"/>
            </w:pPr>
            <w:r w:rsidRPr="00281EF0">
              <w:t>EU</w:t>
            </w:r>
          </w:p>
        </w:tc>
      </w:tr>
      <w:tr w:rsidR="00D35E90" w:rsidRPr="00281EF0" w14:paraId="09C0CBB2" w14:textId="77777777" w:rsidTr="007C0E26">
        <w:tc>
          <w:tcPr>
            <w:tcW w:w="1357" w:type="dxa"/>
            <w:vAlign w:val="center"/>
          </w:tcPr>
          <w:p w14:paraId="69F781D9" w14:textId="77777777" w:rsidR="00D35E90" w:rsidRDefault="00D35E90" w:rsidP="007C0E26">
            <w:pPr>
              <w:pStyle w:val="EEAtableleft"/>
            </w:pPr>
            <w:r>
              <w:t>(Urban) soils</w:t>
            </w:r>
          </w:p>
        </w:tc>
        <w:tc>
          <w:tcPr>
            <w:tcW w:w="1985" w:type="dxa"/>
            <w:vAlign w:val="center"/>
          </w:tcPr>
          <w:p w14:paraId="573D4F87" w14:textId="77777777" w:rsidR="00D35E90" w:rsidRPr="00281EF0" w:rsidRDefault="00D35E90" w:rsidP="007C0E26">
            <w:pPr>
              <w:pStyle w:val="EEAtableleft"/>
            </w:pPr>
            <w:r>
              <w:t>Human health</w:t>
            </w:r>
          </w:p>
        </w:tc>
        <w:tc>
          <w:tcPr>
            <w:tcW w:w="3746" w:type="dxa"/>
            <w:vAlign w:val="center"/>
          </w:tcPr>
          <w:p w14:paraId="6620C4E2" w14:textId="77777777" w:rsidR="00D35E90" w:rsidRDefault="00D35E90" w:rsidP="007C0E26">
            <w:pPr>
              <w:pStyle w:val="EEAtableleft"/>
            </w:pPr>
            <w:r>
              <w:t>Tolerable daily TDI) or access cancer risk</w:t>
            </w:r>
          </w:p>
        </w:tc>
        <w:tc>
          <w:tcPr>
            <w:tcW w:w="2410" w:type="dxa"/>
            <w:vAlign w:val="center"/>
          </w:tcPr>
          <w:p w14:paraId="122DFFF3" w14:textId="77777777" w:rsidR="00D35E90" w:rsidRDefault="00D35E90" w:rsidP="007C0E26">
            <w:pPr>
              <w:pStyle w:val="EEAtableleft"/>
            </w:pPr>
            <w:r>
              <w:t>National regulations</w:t>
            </w:r>
          </w:p>
        </w:tc>
      </w:tr>
      <w:tr w:rsidR="00D35E90" w:rsidRPr="00281EF0" w14:paraId="40DC4C05" w14:textId="77777777" w:rsidTr="007C0E26">
        <w:tc>
          <w:tcPr>
            <w:tcW w:w="1357" w:type="dxa"/>
            <w:vAlign w:val="center"/>
          </w:tcPr>
          <w:p w14:paraId="44532AE7" w14:textId="77777777" w:rsidR="00D35E90" w:rsidRPr="00281EF0" w:rsidRDefault="00D35E90" w:rsidP="007C0E26">
            <w:pPr>
              <w:pStyle w:val="EEAtableleft"/>
            </w:pPr>
            <w:r>
              <w:t xml:space="preserve">Soil </w:t>
            </w:r>
            <w:r w:rsidRPr="00281EF0">
              <w:t>Ecosystem</w:t>
            </w:r>
          </w:p>
        </w:tc>
        <w:tc>
          <w:tcPr>
            <w:tcW w:w="1985" w:type="dxa"/>
            <w:vAlign w:val="center"/>
          </w:tcPr>
          <w:p w14:paraId="45A1C572" w14:textId="77777777" w:rsidR="00D35E90" w:rsidRPr="00281EF0" w:rsidRDefault="00D35E90" w:rsidP="007C0E26">
            <w:pPr>
              <w:pStyle w:val="EEAtableleft"/>
            </w:pPr>
            <w:r w:rsidRPr="00281EF0">
              <w:t>Ecosystem health</w:t>
            </w:r>
          </w:p>
        </w:tc>
        <w:tc>
          <w:tcPr>
            <w:tcW w:w="3746" w:type="dxa"/>
            <w:vAlign w:val="center"/>
          </w:tcPr>
          <w:p w14:paraId="6A2084F9" w14:textId="77777777" w:rsidR="00D35E90" w:rsidRPr="00281EF0" w:rsidRDefault="00D35E90" w:rsidP="007C0E26">
            <w:pPr>
              <w:pStyle w:val="EEAtableleft"/>
            </w:pPr>
            <w:r>
              <w:t>PAF</w:t>
            </w:r>
            <w:r>
              <w:rPr>
                <w:rStyle w:val="Funotenzeichen"/>
              </w:rPr>
              <w:footnoteReference w:id="43"/>
            </w:r>
            <w:r>
              <w:t xml:space="preserve"> </w:t>
            </w:r>
          </w:p>
        </w:tc>
        <w:tc>
          <w:tcPr>
            <w:tcW w:w="2410" w:type="dxa"/>
            <w:vAlign w:val="center"/>
          </w:tcPr>
          <w:p w14:paraId="7C9A2722" w14:textId="77777777" w:rsidR="00D35E90" w:rsidRPr="00281EF0" w:rsidRDefault="00D35E90" w:rsidP="007C0E26">
            <w:pPr>
              <w:pStyle w:val="EEAtableleft"/>
            </w:pPr>
            <w:r>
              <w:t>National regulations</w:t>
            </w:r>
          </w:p>
        </w:tc>
      </w:tr>
      <w:tr w:rsidR="00D35E90" w:rsidRPr="00281EF0" w14:paraId="188A4FE5" w14:textId="77777777" w:rsidTr="007C0E26">
        <w:tc>
          <w:tcPr>
            <w:tcW w:w="1357" w:type="dxa"/>
            <w:vMerge w:val="restart"/>
            <w:vAlign w:val="center"/>
          </w:tcPr>
          <w:p w14:paraId="5E5D41A4" w14:textId="77777777" w:rsidR="00D35E90" w:rsidRPr="00281EF0" w:rsidRDefault="00D35E90" w:rsidP="007C0E26">
            <w:pPr>
              <w:pStyle w:val="EEAtableleft"/>
            </w:pPr>
            <w:r>
              <w:t>Adjacent ground- and surface w</w:t>
            </w:r>
            <w:r w:rsidRPr="00281EF0">
              <w:t>ater</w:t>
            </w:r>
            <w:r>
              <w:t xml:space="preserve"> Systems</w:t>
            </w:r>
          </w:p>
        </w:tc>
        <w:tc>
          <w:tcPr>
            <w:tcW w:w="1985" w:type="dxa"/>
            <w:vAlign w:val="center"/>
          </w:tcPr>
          <w:p w14:paraId="3AAC2B03" w14:textId="77777777" w:rsidR="00D35E90" w:rsidRPr="00281EF0" w:rsidRDefault="00D35E90" w:rsidP="007C0E26">
            <w:pPr>
              <w:pStyle w:val="EEAtableleft"/>
            </w:pPr>
            <w:r w:rsidRPr="00281EF0">
              <w:t>Ecosystem health</w:t>
            </w:r>
          </w:p>
        </w:tc>
        <w:tc>
          <w:tcPr>
            <w:tcW w:w="3746" w:type="dxa"/>
            <w:vAlign w:val="center"/>
          </w:tcPr>
          <w:p w14:paraId="79FAE448" w14:textId="77777777" w:rsidR="00D35E90" w:rsidRPr="00281EF0" w:rsidRDefault="00D35E90" w:rsidP="007C0E26">
            <w:pPr>
              <w:pStyle w:val="EEAtableleft"/>
            </w:pPr>
            <w:r>
              <w:t>PAF</w:t>
            </w:r>
          </w:p>
        </w:tc>
        <w:tc>
          <w:tcPr>
            <w:tcW w:w="2410" w:type="dxa"/>
            <w:vAlign w:val="center"/>
          </w:tcPr>
          <w:p w14:paraId="2914A853" w14:textId="77777777" w:rsidR="00D35E90" w:rsidRPr="00281EF0" w:rsidRDefault="00D35E90" w:rsidP="007C0E26">
            <w:pPr>
              <w:pStyle w:val="EEAtableleft"/>
            </w:pPr>
            <w:r w:rsidRPr="00281EF0">
              <w:t>EU, national</w:t>
            </w:r>
          </w:p>
        </w:tc>
      </w:tr>
      <w:tr w:rsidR="00D35E90" w:rsidRPr="00281EF0" w14:paraId="771513C5" w14:textId="77777777" w:rsidTr="007C0E26">
        <w:tc>
          <w:tcPr>
            <w:tcW w:w="1357" w:type="dxa"/>
            <w:vMerge/>
            <w:vAlign w:val="center"/>
          </w:tcPr>
          <w:p w14:paraId="0D27D292" w14:textId="77777777" w:rsidR="00D35E90" w:rsidRPr="00281EF0" w:rsidRDefault="00D35E90" w:rsidP="007C0E26">
            <w:pPr>
              <w:pStyle w:val="EEAtableleft"/>
            </w:pPr>
          </w:p>
        </w:tc>
        <w:tc>
          <w:tcPr>
            <w:tcW w:w="1985" w:type="dxa"/>
            <w:vAlign w:val="center"/>
          </w:tcPr>
          <w:p w14:paraId="4BC5DE5D" w14:textId="77777777" w:rsidR="00D35E90" w:rsidRPr="00281EF0" w:rsidRDefault="00D35E90" w:rsidP="007C0E26">
            <w:pPr>
              <w:pStyle w:val="EEAtableleft"/>
            </w:pPr>
            <w:r w:rsidRPr="00281EF0">
              <w:t>Drinking Water quality</w:t>
            </w:r>
          </w:p>
        </w:tc>
        <w:tc>
          <w:tcPr>
            <w:tcW w:w="3746" w:type="dxa"/>
            <w:vAlign w:val="center"/>
          </w:tcPr>
          <w:p w14:paraId="00F07FE3" w14:textId="77777777" w:rsidR="00D35E90" w:rsidRPr="00281EF0" w:rsidRDefault="00D35E90" w:rsidP="007C0E26">
            <w:pPr>
              <w:pStyle w:val="EEAtableleft"/>
            </w:pPr>
            <w:r w:rsidRPr="00281EF0">
              <w:t>Drinking water standard</w:t>
            </w:r>
          </w:p>
        </w:tc>
        <w:tc>
          <w:tcPr>
            <w:tcW w:w="2410" w:type="dxa"/>
            <w:vAlign w:val="center"/>
          </w:tcPr>
          <w:p w14:paraId="2566E2BC" w14:textId="77777777" w:rsidR="00D35E90" w:rsidRPr="00281EF0" w:rsidRDefault="00D35E90" w:rsidP="007C0E26">
            <w:pPr>
              <w:pStyle w:val="EEAtableleft"/>
            </w:pPr>
            <w:r w:rsidRPr="00281EF0">
              <w:t>EU/national</w:t>
            </w:r>
          </w:p>
        </w:tc>
      </w:tr>
    </w:tbl>
    <w:p w14:paraId="7EA47139" w14:textId="77777777" w:rsidR="00D35E90" w:rsidRDefault="00D35E90" w:rsidP="00D35E90"/>
    <w:p w14:paraId="614F0D46" w14:textId="2EE7424F" w:rsidR="009B7BC4" w:rsidRPr="009D5972" w:rsidRDefault="009B7BC4" w:rsidP="009B7BC4">
      <w:pPr>
        <w:pStyle w:val="berschrift2"/>
        <w:numPr>
          <w:ilvl w:val="2"/>
          <w:numId w:val="4"/>
        </w:numPr>
        <w:rPr>
          <w:rStyle w:val="FormatvorlageFormatvorlageberschrift3Zchn1"/>
        </w:rPr>
      </w:pPr>
      <w:bookmarkStart w:id="186" w:name="_Toc83997356"/>
      <w:r w:rsidRPr="009B7BC4">
        <w:rPr>
          <w:rStyle w:val="FormatvorlageFormatvorlageberschrift3Zchn1"/>
        </w:rPr>
        <w:t>Terminology important for soil pollution</w:t>
      </w:r>
      <w:bookmarkEnd w:id="186"/>
    </w:p>
    <w:p w14:paraId="05989BA9" w14:textId="77777777" w:rsidR="00D35E90" w:rsidRDefault="00D35E90" w:rsidP="00D35E90"/>
    <w:p w14:paraId="5D0F4F2E" w14:textId="3C42FE8F" w:rsidR="00D35E90" w:rsidRDefault="00D35E90" w:rsidP="00D35E90">
      <w:r>
        <w:t>As long as thresholds are defined differently, applications in different risk assessment systems and planning instruments are not comparable across Europe. This section provides the definitions and explanations of some key terms related to thresholds:</w:t>
      </w:r>
    </w:p>
    <w:p w14:paraId="712C90B5" w14:textId="0DF59194" w:rsidR="009B7BC4" w:rsidRDefault="009B7BC4" w:rsidP="00D35E90"/>
    <w:p w14:paraId="20DE9596" w14:textId="77777777" w:rsidR="009B7BC4" w:rsidRDefault="009B7BC4" w:rsidP="00D35E90"/>
    <w:p w14:paraId="27746E65" w14:textId="4507AD80" w:rsidR="0094627F" w:rsidRPr="00776F43" w:rsidRDefault="0094627F" w:rsidP="0094627F">
      <w:pPr>
        <w:pStyle w:val="EEALabel"/>
        <w:rPr>
          <w:rFonts w:eastAsia="Calibri"/>
        </w:rPr>
      </w:pPr>
      <w:bookmarkStart w:id="187" w:name="_Ref82773818"/>
      <w:bookmarkStart w:id="188" w:name="_Toc83997517"/>
      <w:r w:rsidRPr="00776F43">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3</w:t>
      </w:r>
      <w:r>
        <w:fldChar w:fldCharType="end"/>
      </w:r>
      <w:bookmarkEnd w:id="187"/>
      <w:r w:rsidRPr="00776F43">
        <w:t>:</w:t>
      </w:r>
      <w:r w:rsidRPr="00776F43">
        <w:rPr>
          <w:rFonts w:eastAsia="Calibri"/>
        </w:rPr>
        <w:tab/>
      </w:r>
      <w:r w:rsidRPr="0094627F">
        <w:rPr>
          <w:rFonts w:eastAsia="Calibri"/>
        </w:rPr>
        <w:t>Terminology important for soil pollution</w:t>
      </w:r>
      <w:bookmarkEnd w:id="188"/>
    </w:p>
    <w:p w14:paraId="0A49FBE3" w14:textId="2751889B" w:rsidR="0094627F" w:rsidRDefault="0094627F" w:rsidP="009B7BC4"/>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841"/>
      </w:tblGrid>
      <w:tr w:rsidR="009B7BC4" w14:paraId="0BB88C58" w14:textId="77777777" w:rsidTr="007C0E26">
        <w:tc>
          <w:tcPr>
            <w:tcW w:w="1560" w:type="dxa"/>
            <w:tcBorders>
              <w:bottom w:val="single" w:sz="4" w:space="0" w:color="auto"/>
            </w:tcBorders>
          </w:tcPr>
          <w:p w14:paraId="51DB9576" w14:textId="4ACE4D97" w:rsidR="009B7BC4" w:rsidRPr="004026C8" w:rsidRDefault="009B7BC4" w:rsidP="009B7BC4">
            <w:pPr>
              <w:pStyle w:val="EEAtableleftbold"/>
            </w:pPr>
            <w:r>
              <w:t>Term</w:t>
            </w:r>
          </w:p>
        </w:tc>
        <w:tc>
          <w:tcPr>
            <w:tcW w:w="7841" w:type="dxa"/>
            <w:tcBorders>
              <w:bottom w:val="single" w:sz="4" w:space="0" w:color="auto"/>
            </w:tcBorders>
          </w:tcPr>
          <w:p w14:paraId="7001AF8C" w14:textId="5E92B05F" w:rsidR="009B7BC4" w:rsidRDefault="009B7BC4" w:rsidP="009B7BC4">
            <w:pPr>
              <w:pStyle w:val="EEAtableleft"/>
            </w:pPr>
            <w:r>
              <w:t>Definition</w:t>
            </w:r>
          </w:p>
        </w:tc>
      </w:tr>
      <w:tr w:rsidR="00D35E90" w14:paraId="4FFA10D4" w14:textId="77777777" w:rsidTr="007C0E26">
        <w:tc>
          <w:tcPr>
            <w:tcW w:w="1560" w:type="dxa"/>
            <w:tcBorders>
              <w:bottom w:val="single" w:sz="4" w:space="0" w:color="auto"/>
            </w:tcBorders>
          </w:tcPr>
          <w:p w14:paraId="2F279C67" w14:textId="77777777" w:rsidR="00D35E90" w:rsidRDefault="00D35E90" w:rsidP="009B7BC4">
            <w:pPr>
              <w:pStyle w:val="EEAtableleftbold"/>
            </w:pPr>
            <w:r w:rsidRPr="004026C8">
              <w:t>Background level</w:t>
            </w:r>
          </w:p>
        </w:tc>
        <w:tc>
          <w:tcPr>
            <w:tcW w:w="7841" w:type="dxa"/>
            <w:tcBorders>
              <w:bottom w:val="single" w:sz="4" w:space="0" w:color="auto"/>
            </w:tcBorders>
          </w:tcPr>
          <w:p w14:paraId="1DA7F8A2" w14:textId="393B0741" w:rsidR="00D35E90" w:rsidRDefault="00D35E90" w:rsidP="009B7BC4">
            <w:pPr>
              <w:pStyle w:val="EEAtableleft"/>
            </w:pPr>
            <w:r>
              <w:t xml:space="preserve">Level of contaminants in soil that can be found without human interference. Heavy metals for example are present in almost all soils as part of the soil matrix composed of clay minerals, oxides and/or organic matter. Clearly, the level at which metals occur can vary and depends among others on the rock type from which the soil developed. For a large number of man-made organic contaminants, background values are zero since they are not part of any soil forming mineral (e.g. microplastics, PFAS, most PAHs or </w:t>
            </w:r>
            <w:r w:rsidR="00407864">
              <w:t>dioxins</w:t>
            </w:r>
            <w:r>
              <w:t>).</w:t>
            </w:r>
          </w:p>
        </w:tc>
      </w:tr>
      <w:tr w:rsidR="00D35E90" w14:paraId="0DA6F330" w14:textId="77777777" w:rsidTr="007C0E26">
        <w:tc>
          <w:tcPr>
            <w:tcW w:w="1560" w:type="dxa"/>
            <w:tcBorders>
              <w:top w:val="single" w:sz="4" w:space="0" w:color="auto"/>
              <w:bottom w:val="single" w:sz="4" w:space="0" w:color="auto"/>
            </w:tcBorders>
          </w:tcPr>
          <w:p w14:paraId="476474C6" w14:textId="77777777" w:rsidR="00D35E90" w:rsidRDefault="00D35E90" w:rsidP="009B7BC4">
            <w:pPr>
              <w:pStyle w:val="EEAtableleftbold"/>
            </w:pPr>
            <w:r>
              <w:t>Protection target (endpoint)</w:t>
            </w:r>
          </w:p>
        </w:tc>
        <w:tc>
          <w:tcPr>
            <w:tcW w:w="7841" w:type="dxa"/>
            <w:tcBorders>
              <w:top w:val="single" w:sz="4" w:space="0" w:color="auto"/>
              <w:bottom w:val="single" w:sz="4" w:space="0" w:color="auto"/>
            </w:tcBorders>
          </w:tcPr>
          <w:p w14:paraId="73E0AF03" w14:textId="77777777" w:rsidR="00D35E90" w:rsidRDefault="00D35E90" w:rsidP="009B7BC4">
            <w:pPr>
              <w:pStyle w:val="EEAtableleft"/>
            </w:pPr>
            <w:r>
              <w:t>Here we refer to endpoints as the entity to be protected. This can refer to a water body to be used by human beings, or human beings themselves when considering exposure to for example polluted soils in an urban setting. Common endpoints considered here include arable (food or fodder) crops, animals, water bodies, terrestrial ecosystems as represented by a number of key species, or humans themselves.</w:t>
            </w:r>
          </w:p>
        </w:tc>
      </w:tr>
      <w:tr w:rsidR="00D35E90" w14:paraId="02280F5D" w14:textId="77777777" w:rsidTr="007C0E26">
        <w:tc>
          <w:tcPr>
            <w:tcW w:w="1560" w:type="dxa"/>
            <w:tcBorders>
              <w:top w:val="single" w:sz="4" w:space="0" w:color="auto"/>
              <w:bottom w:val="single" w:sz="4" w:space="0" w:color="auto"/>
            </w:tcBorders>
          </w:tcPr>
          <w:p w14:paraId="58CC3DE5" w14:textId="77777777" w:rsidR="00D35E90" w:rsidRDefault="00D35E90" w:rsidP="009B7BC4">
            <w:pPr>
              <w:pStyle w:val="EEAtableleftbold"/>
            </w:pPr>
            <w:r w:rsidRPr="004026C8">
              <w:t xml:space="preserve">Critical limit </w:t>
            </w:r>
          </w:p>
        </w:tc>
        <w:tc>
          <w:tcPr>
            <w:tcW w:w="7841" w:type="dxa"/>
            <w:tcBorders>
              <w:top w:val="single" w:sz="4" w:space="0" w:color="auto"/>
              <w:bottom w:val="single" w:sz="4" w:space="0" w:color="auto"/>
            </w:tcBorders>
          </w:tcPr>
          <w:p w14:paraId="2E6F62A5" w14:textId="77777777" w:rsidR="00D35E90" w:rsidRDefault="00D35E90" w:rsidP="009B7BC4">
            <w:pPr>
              <w:pStyle w:val="EEAtableleft"/>
            </w:pPr>
            <w:r>
              <w:t>These refer to limit values of specific contaminants in endpoints not to be exceeded. Examples include water quality guidelines in place for drinking water or ecological thresholds to protect aquatic organisms in surface water bodies. Usually, such limits or thresholds are set at EU level or, in case of WHO standards, world-scale. Such critical limits or thresholds therefore do not refer to contaminant levels in soil. To convert critical limits in endpoints to corresponding screening levels in soil, transfer models are required (see below)</w:t>
            </w:r>
          </w:p>
        </w:tc>
      </w:tr>
      <w:tr w:rsidR="00D35E90" w14:paraId="258B4530" w14:textId="77777777" w:rsidTr="007C0E26">
        <w:tc>
          <w:tcPr>
            <w:tcW w:w="1560" w:type="dxa"/>
            <w:tcBorders>
              <w:top w:val="single" w:sz="4" w:space="0" w:color="auto"/>
              <w:bottom w:val="single" w:sz="4" w:space="0" w:color="auto"/>
            </w:tcBorders>
          </w:tcPr>
          <w:p w14:paraId="55E217D5" w14:textId="77777777" w:rsidR="00D35E90" w:rsidRPr="004026C8" w:rsidRDefault="00D35E90" w:rsidP="009B7BC4">
            <w:pPr>
              <w:pStyle w:val="EEAtableleftbold"/>
            </w:pPr>
            <w:r>
              <w:t>Risk limit</w:t>
            </w:r>
          </w:p>
        </w:tc>
        <w:tc>
          <w:tcPr>
            <w:tcW w:w="7841" w:type="dxa"/>
            <w:tcBorders>
              <w:top w:val="single" w:sz="4" w:space="0" w:color="auto"/>
              <w:bottom w:val="single" w:sz="4" w:space="0" w:color="auto"/>
            </w:tcBorders>
          </w:tcPr>
          <w:p w14:paraId="5DB9374C" w14:textId="77777777" w:rsidR="00D35E90" w:rsidRDefault="00D35E90" w:rsidP="009B7BC4">
            <w:pPr>
              <w:pStyle w:val="EEAtableleft"/>
            </w:pPr>
            <w:r>
              <w:t xml:space="preserve">A critical concentration in soil or groundwater, related to a specific protection target, </w:t>
            </w:r>
            <w:r w:rsidRPr="00340831">
              <w:rPr>
                <w:i/>
                <w:iCs/>
              </w:rPr>
              <w:t>without a formal position in legislation</w:t>
            </w:r>
            <w:r>
              <w:t>. Risk limits are often derived as basis for thresholds (the latter may refer to, or be a part of, a legal framework)</w:t>
            </w:r>
          </w:p>
        </w:tc>
      </w:tr>
      <w:tr w:rsidR="00D35E90" w14:paraId="71757064" w14:textId="77777777" w:rsidTr="007C0E26">
        <w:tc>
          <w:tcPr>
            <w:tcW w:w="1560" w:type="dxa"/>
            <w:tcBorders>
              <w:top w:val="single" w:sz="4" w:space="0" w:color="auto"/>
              <w:bottom w:val="single" w:sz="4" w:space="0" w:color="auto"/>
            </w:tcBorders>
          </w:tcPr>
          <w:p w14:paraId="6AEA0F76" w14:textId="77777777" w:rsidR="00D35E90" w:rsidRDefault="00D35E90" w:rsidP="009B7BC4">
            <w:pPr>
              <w:pStyle w:val="EEAtableleftbold"/>
            </w:pPr>
            <w:r>
              <w:t>Screening value (SV)</w:t>
            </w:r>
          </w:p>
        </w:tc>
        <w:tc>
          <w:tcPr>
            <w:tcW w:w="7841" w:type="dxa"/>
            <w:tcBorders>
              <w:top w:val="single" w:sz="4" w:space="0" w:color="auto"/>
              <w:bottom w:val="single" w:sz="4" w:space="0" w:color="auto"/>
            </w:tcBorders>
          </w:tcPr>
          <w:p w14:paraId="30601795" w14:textId="546210D4" w:rsidR="00D35E90" w:rsidRDefault="00D35E90" w:rsidP="009B7BC4">
            <w:pPr>
              <w:pStyle w:val="EEAtableleft"/>
            </w:pPr>
            <w:r>
              <w:t xml:space="preserve">Screening values are levels of contaminants </w:t>
            </w:r>
            <w:r w:rsidRPr="004026C8">
              <w:rPr>
                <w:i/>
                <w:iCs/>
              </w:rPr>
              <w:t>in soil</w:t>
            </w:r>
            <w:r>
              <w:t xml:space="preserve"> at which the critical limit or threshold in endpoints would be exceeded. These screening values therefore depend on the function considered and furthermore depend on the soil type that is considered if the pathway between critical limit in the endpoint and the corresponding concentration in soil is affected by one or more soil properties (</w:t>
            </w:r>
            <w:r w:rsidR="001B419E">
              <w:t>e.g.,</w:t>
            </w:r>
            <w:r>
              <w:t xml:space="preserve"> soil pH that affects the transfer of most metals from soil to crops). Depending on the desired degree of protection, screening levels can be defined at different levels ranging from low to medium (acceptable risk, no immediate action required) to high levels (beyond which the risk is deemed unacceptable and further research or soil remediation would be required). Screening values are, in contrast to risk limits, part of a legislative framework (however, there may be differences among member states)</w:t>
            </w:r>
          </w:p>
        </w:tc>
      </w:tr>
      <w:tr w:rsidR="00D35E90" w14:paraId="2B21A5AE" w14:textId="77777777" w:rsidTr="007C0E26">
        <w:tc>
          <w:tcPr>
            <w:tcW w:w="1560" w:type="dxa"/>
            <w:tcBorders>
              <w:top w:val="single" w:sz="4" w:space="0" w:color="auto"/>
            </w:tcBorders>
          </w:tcPr>
          <w:p w14:paraId="41658E2F" w14:textId="77777777" w:rsidR="00D35E90" w:rsidRPr="004026C8" w:rsidRDefault="00D35E90" w:rsidP="009B7BC4">
            <w:pPr>
              <w:pStyle w:val="EEAtableleftbold"/>
            </w:pPr>
            <w:r w:rsidRPr="004026C8">
              <w:t>Transfer models</w:t>
            </w:r>
          </w:p>
        </w:tc>
        <w:tc>
          <w:tcPr>
            <w:tcW w:w="7841" w:type="dxa"/>
            <w:tcBorders>
              <w:top w:val="single" w:sz="4" w:space="0" w:color="auto"/>
            </w:tcBorders>
          </w:tcPr>
          <w:p w14:paraId="700C839A" w14:textId="41226E2E" w:rsidR="00D35E90" w:rsidRDefault="00D35E90" w:rsidP="009B7BC4">
            <w:pPr>
              <w:pStyle w:val="EEAtableleft"/>
            </w:pPr>
            <w:r>
              <w:t xml:space="preserve">In order to convert critical limits in endpoints to corresponding risk limits or screening values in soil, transfer models are needed. Examples include soil to crop models that are able to predict concentrations in crops based on the corresponding level in the soil; this transfer depends on relevant soil properties such as acidity (pH) and or organic matter. Other relevant pathway models are those used to predict the solution concentration of chemicals (nutrients, organic </w:t>
            </w:r>
            <w:r w:rsidR="001B419E">
              <w:t>contaminants,</w:t>
            </w:r>
            <w:r>
              <w:t xml:space="preserve"> and metals alike), influenced by specific soil properties. In case of human exposure, all relevant transfer pathways towards the human endpoint are to be considered (inhalation, intake via water and food which in turn requires the aforementioned soil</w:t>
            </w:r>
            <w:r w:rsidR="001B419E">
              <w:t>-</w:t>
            </w:r>
            <w:r>
              <w:t>to</w:t>
            </w:r>
            <w:r w:rsidR="001B419E">
              <w:t>-</w:t>
            </w:r>
            <w:r>
              <w:t>crop models or soil</w:t>
            </w:r>
            <w:r w:rsidR="001B419E">
              <w:t>-to-</w:t>
            </w:r>
            <w:r>
              <w:t>solution prediction models).</w:t>
            </w:r>
          </w:p>
        </w:tc>
      </w:tr>
    </w:tbl>
    <w:p w14:paraId="44DDCC11" w14:textId="77777777" w:rsidR="00D35E90" w:rsidRDefault="00D35E90" w:rsidP="00D35E90">
      <w:pPr>
        <w:ind w:left="2552" w:hanging="2552"/>
      </w:pPr>
    </w:p>
    <w:p w14:paraId="144FCC49" w14:textId="34C1D84E" w:rsidR="009B7BC4" w:rsidRPr="009D5972" w:rsidRDefault="009B7BC4" w:rsidP="009B7BC4">
      <w:pPr>
        <w:pStyle w:val="berschrift2"/>
        <w:numPr>
          <w:ilvl w:val="2"/>
          <w:numId w:val="4"/>
        </w:numPr>
        <w:rPr>
          <w:rStyle w:val="FormatvorlageFormatvorlageberschrift3Zchn1"/>
        </w:rPr>
      </w:pPr>
      <w:bookmarkStart w:id="189" w:name="_Toc83997357"/>
      <w:r w:rsidRPr="009B7BC4">
        <w:rPr>
          <w:rStyle w:val="FormatvorlageFormatvorlageberschrift3Zchn1"/>
        </w:rPr>
        <w:t>Characteristics of diffuse pollution and point source pollution</w:t>
      </w:r>
      <w:bookmarkEnd w:id="189"/>
    </w:p>
    <w:p w14:paraId="0BEA8970" w14:textId="77777777" w:rsidR="00D35E90" w:rsidRDefault="00D35E90" w:rsidP="00D35E90">
      <w:pPr>
        <w:ind w:left="2552" w:hanging="2552"/>
      </w:pPr>
    </w:p>
    <w:p w14:paraId="6723E9C0" w14:textId="6AE409C3" w:rsidR="00D35E90" w:rsidRDefault="00D35E90" w:rsidP="00D35E90">
      <w:r>
        <w:t xml:space="preserve">Land affected </w:t>
      </w:r>
      <w:r w:rsidRPr="00EE1828">
        <w:t>by diffuse or point source pollution suffers</w:t>
      </w:r>
      <w:r>
        <w:t xml:space="preserve"> from the wide-spread application and distribution of contaminants (see </w:t>
      </w:r>
      <w:r w:rsidR="00984450" w:rsidRPr="00984450">
        <w:fldChar w:fldCharType="begin"/>
      </w:r>
      <w:r w:rsidR="00984450" w:rsidRPr="00984450">
        <w:instrText xml:space="preserve"> REF _Ref82773635 \h  \* MERGEFORMAT </w:instrText>
      </w:r>
      <w:r w:rsidR="00984450" w:rsidRPr="00984450">
        <w:fldChar w:fldCharType="separate"/>
      </w:r>
      <w:r w:rsidR="0067767C" w:rsidRPr="0067767C">
        <w:rPr>
          <w:bCs/>
        </w:rPr>
        <w:t xml:space="preserve">Figure </w:t>
      </w:r>
      <w:r w:rsidR="0067767C" w:rsidRPr="0067767C">
        <w:rPr>
          <w:bCs/>
          <w:noProof/>
        </w:rPr>
        <w:t>5</w:t>
      </w:r>
      <w:r w:rsidR="0067767C" w:rsidRPr="0067767C">
        <w:rPr>
          <w:bCs/>
          <w:noProof/>
        </w:rPr>
        <w:noBreakHyphen/>
        <w:t>1</w:t>
      </w:r>
      <w:r w:rsidR="00984450" w:rsidRPr="00984450">
        <w:fldChar w:fldCharType="end"/>
      </w:r>
      <w:r>
        <w:t xml:space="preserve">). </w:t>
      </w:r>
      <w:r w:rsidRPr="007F4599">
        <w:rPr>
          <w:b/>
          <w:bCs/>
        </w:rPr>
        <w:t>Diffuse pollution</w:t>
      </w:r>
      <w:r>
        <w:t xml:space="preserve"> originates from a range of sources including atmospheric deposition (from industry and traffic mostly) and </w:t>
      </w:r>
      <w:r w:rsidRPr="007F4599">
        <w:rPr>
          <w:b/>
          <w:bCs/>
        </w:rPr>
        <w:t>agricultural soil management</w:t>
      </w:r>
      <w:r>
        <w:rPr>
          <w:b/>
          <w:bCs/>
        </w:rPr>
        <w:t>.</w:t>
      </w:r>
      <w:r>
        <w:t xml:space="preserve"> It is usually affecting larger areas and is characterized by a relatively homogeneous contamination pattern. In some cases, the link between the source of pollution and its destination is not clear e.g. in case of </w:t>
      </w:r>
      <w:r w:rsidRPr="007F4599">
        <w:rPr>
          <w:b/>
          <w:bCs/>
        </w:rPr>
        <w:t xml:space="preserve">atmospheric </w:t>
      </w:r>
      <w:r w:rsidRPr="007F4599">
        <w:rPr>
          <w:b/>
          <w:bCs/>
        </w:rPr>
        <w:lastRenderedPageBreak/>
        <w:t>deposition</w:t>
      </w:r>
      <w:r>
        <w:t xml:space="preserve"> which represents the sum of multiple sources. Also, former or ongoing, deposition of polluted sediments in river </w:t>
      </w:r>
      <w:r w:rsidRPr="007F4599">
        <w:rPr>
          <w:b/>
          <w:bCs/>
        </w:rPr>
        <w:t>floodplain soils</w:t>
      </w:r>
      <w:r>
        <w:t xml:space="preserve"> is a form of diffuse pollution. </w:t>
      </w:r>
    </w:p>
    <w:p w14:paraId="67CB597E" w14:textId="77777777" w:rsidR="00D35E90" w:rsidRDefault="00D35E90" w:rsidP="00D35E90"/>
    <w:p w14:paraId="7F352271" w14:textId="77777777" w:rsidR="00D35E90" w:rsidRDefault="00D35E90" w:rsidP="00D35E90">
      <w:r>
        <w:t xml:space="preserve">A specific type of diffuse pollution is called </w:t>
      </w:r>
      <w:r w:rsidRPr="007F4599">
        <w:rPr>
          <w:b/>
          <w:bCs/>
        </w:rPr>
        <w:t>proximity pollution</w:t>
      </w:r>
      <w:r>
        <w:t xml:space="preserve"> which is</w:t>
      </w:r>
      <w:r w:rsidRPr="00DF4C23">
        <w:t xml:space="preserve"> </w:t>
      </w:r>
      <w:r>
        <w:t xml:space="preserve">a </w:t>
      </w:r>
      <w:r w:rsidRPr="00DF4C23">
        <w:t xml:space="preserve">wide-spread </w:t>
      </w:r>
      <w:r>
        <w:t xml:space="preserve">form of </w:t>
      </w:r>
      <w:r w:rsidRPr="00DF4C23">
        <w:t>diffuse pollution originating from a single industrial source, outside the property boundaries of the industry</w:t>
      </w:r>
      <w:r>
        <w:t xml:space="preserve"> (Van Camp et al. 2004). A typical example of proximity pollution is the regional impact of smelters of non-ferro metals in areas like the Belgian-Dutch border zone de Kempen. Typically, soils are characterized by elevated levels of, in case of the Kempen, cadmium and zinc in areas up to 30 or 40 km away from the smelter. </w:t>
      </w:r>
    </w:p>
    <w:p w14:paraId="347749EE" w14:textId="77777777" w:rsidR="00D35E90" w:rsidRDefault="00D35E90" w:rsidP="00D35E90"/>
    <w:p w14:paraId="5F5BF31F" w14:textId="77777777" w:rsidR="00D35E90" w:rsidRDefault="00D35E90" w:rsidP="00D35E90">
      <w:r>
        <w:t xml:space="preserve">In case of arable soils, </w:t>
      </w:r>
      <w:r w:rsidRPr="00231FAD">
        <w:rPr>
          <w:b/>
          <w:bCs/>
        </w:rPr>
        <w:t>diffuse pollution</w:t>
      </w:r>
      <w:r>
        <w:t xml:space="preserve"> is, for contaminants like cadmium, copper and zinc, but also emerging contaminants like animal medicinal products or microplastics, most often the prime type of contamination. Dominant sources of polluting substances are atmospheric deposition as well as management-related inputs of exogenous organic matter (manure, sludge, compost and biogas-digestates), mineral fertilisers and plant protection products. Usually, input rates of these products are higher in arable cropping systems compared to extensively managed forms of land use like forests or pasture land used for extensive grazing. </w:t>
      </w:r>
    </w:p>
    <w:p w14:paraId="658AC6EC" w14:textId="77777777" w:rsidR="00D35E90" w:rsidRDefault="00D35E90" w:rsidP="00D35E90"/>
    <w:p w14:paraId="17FE43B3" w14:textId="5B273933" w:rsidR="00D35E90" w:rsidRDefault="00D35E90" w:rsidP="00D35E90">
      <w:r>
        <w:t xml:space="preserve">In contrast to diffuse pollution, </w:t>
      </w:r>
      <w:r w:rsidRPr="007F4599">
        <w:rPr>
          <w:b/>
          <w:bCs/>
        </w:rPr>
        <w:t>point source pollution</w:t>
      </w:r>
      <w:r>
        <w:t xml:space="preserve"> (also called: local pollution) is at a smaller scale and is characterized by a heterogeneous contaminant pattern. Point source pollution is often caused by anthropogenic activities, e.g., industrial activities, storage an application of waste materials, leaking reservoirs, spills, or calamities. Since in all EU Member States pollution prevention is a key issue and in most EU Member States the precaution principle is leading, a large part of the cases of point source solution is from a historic nature.  </w:t>
      </w:r>
    </w:p>
    <w:p w14:paraId="458475C1" w14:textId="77777777" w:rsidR="00454EA7" w:rsidRDefault="00454EA7" w:rsidP="00927D94">
      <w:pPr>
        <w:spacing w:before="120"/>
      </w:pPr>
    </w:p>
    <w:p w14:paraId="79A47E51" w14:textId="5A430796" w:rsidR="00454EA7" w:rsidRPr="000D10B2" w:rsidRDefault="00454EA7" w:rsidP="00454EA7">
      <w:pPr>
        <w:pStyle w:val="EEALabel"/>
      </w:pPr>
      <w:bookmarkStart w:id="190" w:name="_Ref82773635"/>
      <w:bookmarkStart w:id="191" w:name="_Toc83997437"/>
      <w:r w:rsidRPr="000D10B2">
        <w:t xml:space="preserve">Figure </w:t>
      </w:r>
      <w:r w:rsidR="00CA7716">
        <w:fldChar w:fldCharType="begin"/>
      </w:r>
      <w:r w:rsidR="00CA7716">
        <w:instrText xml:space="preserve"> STYLEREF 1 \s </w:instrText>
      </w:r>
      <w:r w:rsidR="00CA7716">
        <w:fldChar w:fldCharType="separate"/>
      </w:r>
      <w:r w:rsidR="0067767C">
        <w:rPr>
          <w:noProof/>
        </w:rPr>
        <w:t>5</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190"/>
      <w:r w:rsidRPr="000D10B2">
        <w:t>:</w:t>
      </w:r>
      <w:r w:rsidRPr="000D10B2">
        <w:tab/>
        <w:t>Forms of pollution and its impact on the environment</w:t>
      </w:r>
      <w:bookmarkEnd w:id="191"/>
      <w:r w:rsidRPr="000D10B2">
        <w:t xml:space="preserve"> </w:t>
      </w:r>
    </w:p>
    <w:p w14:paraId="7220E1B1" w14:textId="743C39DB" w:rsidR="00D35E90" w:rsidRDefault="0094627F" w:rsidP="0094627F">
      <w:r>
        <w:rPr>
          <w:noProof/>
          <w:lang w:eastAsia="en-GB"/>
        </w:rPr>
        <w:drawing>
          <wp:anchor distT="0" distB="0" distL="114300" distR="114300" simplePos="0" relativeHeight="251708928" behindDoc="0" locked="0" layoutInCell="1" allowOverlap="1" wp14:anchorId="2C0140AA" wp14:editId="442C72DB">
            <wp:simplePos x="0" y="0"/>
            <wp:positionH relativeFrom="column">
              <wp:posOffset>633718</wp:posOffset>
            </wp:positionH>
            <wp:positionV relativeFrom="paragraph">
              <wp:posOffset>244128</wp:posOffset>
            </wp:positionV>
            <wp:extent cx="4680585" cy="3027680"/>
            <wp:effectExtent l="0" t="0" r="0" b="0"/>
            <wp:wrapTopAndBottom/>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0585" cy="3027680"/>
                    </a:xfrm>
                    <a:prstGeom prst="rect">
                      <a:avLst/>
                    </a:prstGeom>
                    <a:noFill/>
                  </pic:spPr>
                </pic:pic>
              </a:graphicData>
            </a:graphic>
            <wp14:sizeRelH relativeFrom="margin">
              <wp14:pctWidth>0</wp14:pctWidth>
            </wp14:sizeRelH>
            <wp14:sizeRelV relativeFrom="margin">
              <wp14:pctHeight>0</wp14:pctHeight>
            </wp14:sizeRelV>
          </wp:anchor>
        </w:drawing>
      </w:r>
    </w:p>
    <w:p w14:paraId="4605D48A" w14:textId="43E71EEE" w:rsidR="000D10B2" w:rsidRPr="00714D8B" w:rsidRDefault="00454EA7" w:rsidP="00714D8B">
      <w:pPr>
        <w:pStyle w:val="EEASource"/>
      </w:pPr>
      <w:r w:rsidRPr="00714D8B">
        <w:t xml:space="preserve">Source: </w:t>
      </w:r>
      <w:r w:rsidR="00714D8B">
        <w:tab/>
      </w:r>
      <w:r w:rsidRPr="00714D8B">
        <w:t>Brooks Cole Publishing 2005, modified</w:t>
      </w:r>
    </w:p>
    <w:p w14:paraId="38674F2D" w14:textId="77777777" w:rsidR="00454EA7" w:rsidRDefault="00454EA7" w:rsidP="00D35E90">
      <w:pPr>
        <w:suppressAutoHyphens w:val="0"/>
        <w:jc w:val="left"/>
      </w:pPr>
    </w:p>
    <w:p w14:paraId="727F2A8D" w14:textId="7435E99A" w:rsidR="00D35E90" w:rsidRDefault="00D35E90" w:rsidP="00D35E90">
      <w:pPr>
        <w:suppressAutoHyphens w:val="0"/>
        <w:jc w:val="left"/>
        <w:rPr>
          <w:szCs w:val="22"/>
        </w:rPr>
      </w:pPr>
      <w:r w:rsidRPr="009B4906">
        <w:t xml:space="preserve">In </w:t>
      </w:r>
      <w:r w:rsidR="00984450">
        <w:fldChar w:fldCharType="begin"/>
      </w:r>
      <w:r w:rsidR="00984450">
        <w:instrText xml:space="preserve"> REF _Ref82773855 \h </w:instrText>
      </w:r>
      <w:r w:rsidR="00984450">
        <w:fldChar w:fldCharType="separate"/>
      </w:r>
      <w:r w:rsidR="0067767C" w:rsidRPr="00776F43">
        <w:t xml:space="preserve">Table </w:t>
      </w:r>
      <w:r w:rsidR="0067767C">
        <w:rPr>
          <w:noProof/>
        </w:rPr>
        <w:t>5</w:t>
      </w:r>
      <w:r w:rsidR="0067767C">
        <w:noBreakHyphen/>
      </w:r>
      <w:r w:rsidR="0067767C">
        <w:rPr>
          <w:noProof/>
        </w:rPr>
        <w:t>4</w:t>
      </w:r>
      <w:r w:rsidR="00984450">
        <w:fldChar w:fldCharType="end"/>
      </w:r>
      <w:r>
        <w:t>, the major c</w:t>
      </w:r>
      <w:r w:rsidRPr="009B4906">
        <w:rPr>
          <w:szCs w:val="22"/>
        </w:rPr>
        <w:t xml:space="preserve">haracteristics </w:t>
      </w:r>
      <w:r>
        <w:rPr>
          <w:szCs w:val="22"/>
        </w:rPr>
        <w:t xml:space="preserve">for </w:t>
      </w:r>
      <w:r w:rsidRPr="009B4906">
        <w:rPr>
          <w:szCs w:val="22"/>
        </w:rPr>
        <w:t>the assessment of soil quality for diffuse and point source pollution</w:t>
      </w:r>
      <w:r>
        <w:rPr>
          <w:szCs w:val="22"/>
        </w:rPr>
        <w:t xml:space="preserve"> is listed. </w:t>
      </w:r>
    </w:p>
    <w:p w14:paraId="57813AB1" w14:textId="3695C60F" w:rsidR="0094627F" w:rsidRDefault="0094627F" w:rsidP="00D35E90">
      <w:pPr>
        <w:suppressAutoHyphens w:val="0"/>
        <w:jc w:val="left"/>
        <w:rPr>
          <w:szCs w:val="22"/>
        </w:rPr>
      </w:pPr>
    </w:p>
    <w:p w14:paraId="6BE83693" w14:textId="77777777" w:rsidR="0094627F" w:rsidRDefault="0094627F">
      <w:pPr>
        <w:suppressAutoHyphens w:val="0"/>
        <w:jc w:val="left"/>
        <w:rPr>
          <w:b/>
          <w:color w:val="000000" w:themeColor="text1"/>
        </w:rPr>
      </w:pPr>
      <w:r>
        <w:br w:type="page"/>
      </w:r>
    </w:p>
    <w:p w14:paraId="0FD9D984" w14:textId="22D71395" w:rsidR="0094627F" w:rsidRPr="00776F43" w:rsidRDefault="0094627F" w:rsidP="0094627F">
      <w:pPr>
        <w:pStyle w:val="EEALabel"/>
        <w:rPr>
          <w:rFonts w:eastAsia="Calibri"/>
        </w:rPr>
      </w:pPr>
      <w:bookmarkStart w:id="192" w:name="_Ref82773855"/>
      <w:bookmarkStart w:id="193" w:name="_Toc83997518"/>
      <w:r w:rsidRPr="00776F43">
        <w:lastRenderedPageBreak/>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4</w:t>
      </w:r>
      <w:r>
        <w:fldChar w:fldCharType="end"/>
      </w:r>
      <w:bookmarkEnd w:id="192"/>
      <w:r w:rsidRPr="00776F43">
        <w:t>:</w:t>
      </w:r>
      <w:r w:rsidRPr="00776F43">
        <w:rPr>
          <w:rFonts w:eastAsia="Calibri"/>
        </w:rPr>
        <w:tab/>
      </w:r>
      <w:r w:rsidRPr="0094627F">
        <w:rPr>
          <w:rFonts w:eastAsia="Calibri"/>
        </w:rPr>
        <w:t>Main characteristics to assess diffuse and point source soil pollution</w:t>
      </w:r>
      <w:bookmarkEnd w:id="193"/>
    </w:p>
    <w:p w14:paraId="2ADBEC3E" w14:textId="77777777" w:rsidR="0094627F" w:rsidRDefault="0094627F" w:rsidP="00D35E90">
      <w:pPr>
        <w:suppressAutoHyphens w:val="0"/>
        <w:jc w:val="left"/>
        <w:rPr>
          <w:szCs w:val="22"/>
        </w:rPr>
      </w:pPr>
    </w:p>
    <w:tbl>
      <w:tblPr>
        <w:tblW w:w="9493" w:type="dxa"/>
        <w:tblBorders>
          <w:top w:val="single" w:sz="4" w:space="0" w:color="auto"/>
          <w:bottom w:val="single" w:sz="4" w:space="0" w:color="auto"/>
          <w:insideH w:val="single" w:sz="4" w:space="0" w:color="auto"/>
        </w:tblBorders>
        <w:tblLook w:val="04A0" w:firstRow="1" w:lastRow="0" w:firstColumn="1" w:lastColumn="0" w:noHBand="0" w:noVBand="1"/>
      </w:tblPr>
      <w:tblGrid>
        <w:gridCol w:w="1413"/>
        <w:gridCol w:w="3827"/>
        <w:gridCol w:w="4253"/>
      </w:tblGrid>
      <w:tr w:rsidR="00D35E90" w:rsidRPr="003659A4" w14:paraId="1C8DD998" w14:textId="77777777" w:rsidTr="009B7BC4">
        <w:trPr>
          <w:trHeight w:val="300"/>
        </w:trPr>
        <w:tc>
          <w:tcPr>
            <w:tcW w:w="1413" w:type="dxa"/>
            <w:shd w:val="pct5" w:color="auto" w:fill="auto"/>
            <w:noWrap/>
            <w:hideMark/>
          </w:tcPr>
          <w:p w14:paraId="4104B540" w14:textId="77777777" w:rsidR="00D35E90" w:rsidRPr="003659A4" w:rsidRDefault="00D35E90" w:rsidP="009B7BC4">
            <w:pPr>
              <w:pStyle w:val="EEAtableleftbold"/>
            </w:pPr>
            <w:r w:rsidRPr="003659A4">
              <w:t> </w:t>
            </w:r>
          </w:p>
        </w:tc>
        <w:tc>
          <w:tcPr>
            <w:tcW w:w="3827" w:type="dxa"/>
            <w:shd w:val="pct5" w:color="auto" w:fill="auto"/>
            <w:hideMark/>
          </w:tcPr>
          <w:p w14:paraId="6CAA366F" w14:textId="77777777" w:rsidR="00D35E90" w:rsidRPr="003659A4" w:rsidRDefault="00D35E90" w:rsidP="009B7BC4">
            <w:pPr>
              <w:pStyle w:val="EEAtableleftbold"/>
              <w:rPr>
                <w:bCs/>
              </w:rPr>
            </w:pPr>
            <w:r w:rsidRPr="003659A4">
              <w:rPr>
                <w:bCs/>
              </w:rPr>
              <w:t>Diffuse pollution</w:t>
            </w:r>
            <w:r w:rsidRPr="003659A4">
              <w:rPr>
                <w:bCs/>
                <w:vertAlign w:val="superscript"/>
              </w:rPr>
              <w:t>*</w:t>
            </w:r>
          </w:p>
        </w:tc>
        <w:tc>
          <w:tcPr>
            <w:tcW w:w="4253" w:type="dxa"/>
            <w:shd w:val="pct5" w:color="auto" w:fill="auto"/>
            <w:hideMark/>
          </w:tcPr>
          <w:p w14:paraId="58F72686" w14:textId="77777777" w:rsidR="00D35E90" w:rsidRPr="003659A4" w:rsidRDefault="00D35E90" w:rsidP="009B7BC4">
            <w:pPr>
              <w:pStyle w:val="EEAtableleftbold"/>
              <w:rPr>
                <w:bCs/>
              </w:rPr>
            </w:pPr>
            <w:r>
              <w:rPr>
                <w:bCs/>
              </w:rPr>
              <w:t>Point source</w:t>
            </w:r>
            <w:r w:rsidRPr="003659A4">
              <w:rPr>
                <w:bCs/>
              </w:rPr>
              <w:t xml:space="preserve"> pollution</w:t>
            </w:r>
          </w:p>
        </w:tc>
      </w:tr>
      <w:tr w:rsidR="00D35E90" w:rsidRPr="003659A4" w14:paraId="4DCB2573" w14:textId="77777777" w:rsidTr="009B7BC4">
        <w:trPr>
          <w:trHeight w:val="510"/>
        </w:trPr>
        <w:tc>
          <w:tcPr>
            <w:tcW w:w="1413" w:type="dxa"/>
            <w:shd w:val="pct5" w:color="auto" w:fill="auto"/>
            <w:noWrap/>
            <w:hideMark/>
          </w:tcPr>
          <w:p w14:paraId="08E159D0" w14:textId="77777777" w:rsidR="00D35E90" w:rsidRPr="003659A4" w:rsidRDefault="00D35E90" w:rsidP="009B7BC4">
            <w:pPr>
              <w:pStyle w:val="EEAtableleftbold"/>
            </w:pPr>
            <w:r w:rsidRPr="003659A4">
              <w:t>Procedure framework</w:t>
            </w:r>
          </w:p>
        </w:tc>
        <w:tc>
          <w:tcPr>
            <w:tcW w:w="3827" w:type="dxa"/>
            <w:shd w:val="clear" w:color="auto" w:fill="auto"/>
            <w:hideMark/>
          </w:tcPr>
          <w:p w14:paraId="483F3FE0" w14:textId="77777777" w:rsidR="00D35E90" w:rsidRPr="003659A4" w:rsidRDefault="00D35E90" w:rsidP="009B7BC4">
            <w:pPr>
              <w:pStyle w:val="EEAtableleft"/>
            </w:pPr>
            <w:r>
              <w:t xml:space="preserve">risk limits and screening values </w:t>
            </w:r>
            <w:r w:rsidRPr="003659A4">
              <w:t xml:space="preserve">for soil, </w:t>
            </w:r>
            <w:r>
              <w:t xml:space="preserve">risk limits in </w:t>
            </w:r>
            <w:r w:rsidRPr="003659A4">
              <w:t>groundwater and agricultural products</w:t>
            </w:r>
          </w:p>
        </w:tc>
        <w:tc>
          <w:tcPr>
            <w:tcW w:w="4253" w:type="dxa"/>
            <w:shd w:val="clear" w:color="auto" w:fill="auto"/>
            <w:hideMark/>
          </w:tcPr>
          <w:p w14:paraId="3D8260DF" w14:textId="77777777" w:rsidR="00D35E90" w:rsidRPr="003659A4" w:rsidRDefault="00D35E90" w:rsidP="009B7BC4">
            <w:pPr>
              <w:pStyle w:val="EEAtableleft"/>
            </w:pPr>
            <w:r w:rsidRPr="003659A4">
              <w:t xml:space="preserve">Tiers approaches, combining thresholds for soil and groundwater and site-specific risk assessment </w:t>
            </w:r>
          </w:p>
        </w:tc>
      </w:tr>
      <w:tr w:rsidR="00D35E90" w:rsidRPr="003659A4" w14:paraId="0C47D5A1" w14:textId="77777777" w:rsidTr="009B7BC4">
        <w:trPr>
          <w:trHeight w:val="510"/>
        </w:trPr>
        <w:tc>
          <w:tcPr>
            <w:tcW w:w="1413" w:type="dxa"/>
            <w:shd w:val="pct5" w:color="auto" w:fill="auto"/>
            <w:noWrap/>
            <w:hideMark/>
          </w:tcPr>
          <w:p w14:paraId="05688FD6" w14:textId="77777777" w:rsidR="00D35E90" w:rsidRPr="003659A4" w:rsidRDefault="00D35E90" w:rsidP="009B7BC4">
            <w:pPr>
              <w:pStyle w:val="EEAtableleftbold"/>
            </w:pPr>
            <w:r w:rsidRPr="003659A4">
              <w:t>Availability thresholds</w:t>
            </w:r>
          </w:p>
        </w:tc>
        <w:tc>
          <w:tcPr>
            <w:tcW w:w="3827" w:type="dxa"/>
            <w:shd w:val="clear" w:color="auto" w:fill="auto"/>
            <w:hideMark/>
          </w:tcPr>
          <w:p w14:paraId="1762BD2A" w14:textId="77777777" w:rsidR="00D35E90" w:rsidRPr="003659A4" w:rsidRDefault="00D35E90" w:rsidP="009B7BC4">
            <w:pPr>
              <w:pStyle w:val="EEAtableleft"/>
            </w:pPr>
            <w:r>
              <w:t xml:space="preserve">For pesticides, nutrients and several </w:t>
            </w:r>
            <w:r w:rsidRPr="003659A4">
              <w:t>metals</w:t>
            </w:r>
          </w:p>
        </w:tc>
        <w:tc>
          <w:tcPr>
            <w:tcW w:w="4253" w:type="dxa"/>
            <w:shd w:val="clear" w:color="auto" w:fill="auto"/>
            <w:hideMark/>
          </w:tcPr>
          <w:p w14:paraId="41FFC57B" w14:textId="77777777" w:rsidR="00D35E90" w:rsidRPr="003659A4" w:rsidRDefault="00D35E90" w:rsidP="009B7BC4">
            <w:pPr>
              <w:pStyle w:val="EEAtableleft"/>
            </w:pPr>
            <w:r w:rsidRPr="003659A4">
              <w:t>for metals/metalloids, PAH, aromatic compounds (inc</w:t>
            </w:r>
            <w:r>
              <w:t>luding</w:t>
            </w:r>
            <w:r w:rsidRPr="003659A4">
              <w:t xml:space="preserve"> BTEX), VOC</w:t>
            </w:r>
            <w:r>
              <w:t>l</w:t>
            </w:r>
            <w:r w:rsidRPr="003659A4">
              <w:t>c, mineral oil, asbestos, and others</w:t>
            </w:r>
          </w:p>
        </w:tc>
      </w:tr>
      <w:tr w:rsidR="00D35E90" w:rsidRPr="003659A4" w14:paraId="3A960FE9" w14:textId="77777777" w:rsidTr="009B7BC4">
        <w:trPr>
          <w:trHeight w:val="510"/>
        </w:trPr>
        <w:tc>
          <w:tcPr>
            <w:tcW w:w="1413" w:type="dxa"/>
            <w:shd w:val="pct5" w:color="auto" w:fill="auto"/>
            <w:noWrap/>
            <w:hideMark/>
          </w:tcPr>
          <w:p w14:paraId="3ADB4214" w14:textId="77777777" w:rsidR="00D35E90" w:rsidRPr="003659A4" w:rsidRDefault="00D35E90" w:rsidP="009B7BC4">
            <w:pPr>
              <w:pStyle w:val="EEAtableleftbold"/>
            </w:pPr>
            <w:r w:rsidRPr="003659A4">
              <w:t>Source</w:t>
            </w:r>
          </w:p>
        </w:tc>
        <w:tc>
          <w:tcPr>
            <w:tcW w:w="3827" w:type="dxa"/>
            <w:shd w:val="clear" w:color="auto" w:fill="auto"/>
            <w:hideMark/>
          </w:tcPr>
          <w:p w14:paraId="0882C2C6" w14:textId="77777777" w:rsidR="00D35E90" w:rsidRPr="003659A4" w:rsidRDefault="00D35E90" w:rsidP="009B7BC4">
            <w:pPr>
              <w:pStyle w:val="EEAtableleft"/>
            </w:pPr>
            <w:r w:rsidRPr="003659A4">
              <w:t xml:space="preserve">active </w:t>
            </w:r>
            <w:r>
              <w:t xml:space="preserve">(e.g agriculture/air in case of </w:t>
            </w:r>
            <w:r w:rsidRPr="003659A4">
              <w:t>(pesticides, nutrients, metals</w:t>
            </w:r>
            <w:r>
              <w:t>) or historic (e.g. in case of floodplains soils, PAHs, metals)</w:t>
            </w:r>
            <w:r w:rsidRPr="003659A4">
              <w:t xml:space="preserve"> </w:t>
            </w:r>
          </w:p>
        </w:tc>
        <w:tc>
          <w:tcPr>
            <w:tcW w:w="4253" w:type="dxa"/>
            <w:shd w:val="clear" w:color="auto" w:fill="auto"/>
            <w:hideMark/>
          </w:tcPr>
          <w:p w14:paraId="1B76E0AD" w14:textId="77777777" w:rsidR="00D35E90" w:rsidRPr="003659A4" w:rsidRDefault="00D35E90" w:rsidP="009B7BC4">
            <w:pPr>
              <w:pStyle w:val="EEAtableleft"/>
            </w:pPr>
            <w:r w:rsidRPr="003659A4">
              <w:t>in most countries source from the past ('historic pollution')</w:t>
            </w:r>
          </w:p>
        </w:tc>
      </w:tr>
      <w:tr w:rsidR="00D35E90" w:rsidRPr="003659A4" w14:paraId="2D7AF436" w14:textId="77777777" w:rsidTr="009B7BC4">
        <w:trPr>
          <w:trHeight w:val="255"/>
        </w:trPr>
        <w:tc>
          <w:tcPr>
            <w:tcW w:w="1413" w:type="dxa"/>
            <w:vMerge w:val="restart"/>
            <w:shd w:val="pct5" w:color="auto" w:fill="auto"/>
            <w:noWrap/>
            <w:hideMark/>
          </w:tcPr>
          <w:p w14:paraId="29ED26ED" w14:textId="77777777" w:rsidR="00D35E90" w:rsidRPr="003659A4" w:rsidRDefault="00D35E90" w:rsidP="009B7BC4">
            <w:pPr>
              <w:pStyle w:val="EEAtableleftbold"/>
            </w:pPr>
            <w:r w:rsidRPr="003659A4">
              <w:t>Policy</w:t>
            </w:r>
          </w:p>
        </w:tc>
        <w:tc>
          <w:tcPr>
            <w:tcW w:w="3827" w:type="dxa"/>
            <w:shd w:val="clear" w:color="auto" w:fill="auto"/>
            <w:hideMark/>
          </w:tcPr>
          <w:p w14:paraId="09FB1E4E" w14:textId="77777777" w:rsidR="00D35E90" w:rsidRPr="003659A4" w:rsidRDefault="00D35E90" w:rsidP="009B7BC4">
            <w:pPr>
              <w:pStyle w:val="EEAtableleft"/>
            </w:pPr>
            <w:r w:rsidRPr="003659A4">
              <w:t>source regulation</w:t>
            </w:r>
            <w:r>
              <w:t xml:space="preserve"> via reduction of inputs and, in specific cases, accumulation or the lack thereof, e.g. in case of application of sludge</w:t>
            </w:r>
          </w:p>
        </w:tc>
        <w:tc>
          <w:tcPr>
            <w:tcW w:w="4253" w:type="dxa"/>
            <w:shd w:val="clear" w:color="auto" w:fill="auto"/>
            <w:hideMark/>
          </w:tcPr>
          <w:p w14:paraId="01C63F67" w14:textId="77777777" w:rsidR="00D35E90" w:rsidRPr="003659A4" w:rsidRDefault="00D35E90" w:rsidP="009B7BC4">
            <w:pPr>
              <w:pStyle w:val="EEAtableleft"/>
            </w:pPr>
            <w:r w:rsidRPr="003659A4">
              <w:t>remediation/ soil quality management</w:t>
            </w:r>
            <w:r>
              <w:t xml:space="preserve"> to contain or reduce risk (including restriction of land use)</w:t>
            </w:r>
          </w:p>
        </w:tc>
      </w:tr>
      <w:tr w:rsidR="00D35E90" w:rsidRPr="003659A4" w14:paraId="0A6DB302" w14:textId="77777777" w:rsidTr="009B7BC4">
        <w:trPr>
          <w:trHeight w:val="255"/>
        </w:trPr>
        <w:tc>
          <w:tcPr>
            <w:tcW w:w="1413" w:type="dxa"/>
            <w:vMerge/>
            <w:shd w:val="pct5" w:color="auto" w:fill="auto"/>
            <w:noWrap/>
            <w:hideMark/>
          </w:tcPr>
          <w:p w14:paraId="60F79263" w14:textId="77777777" w:rsidR="00D35E90" w:rsidRPr="003659A4" w:rsidRDefault="00D35E90" w:rsidP="009B7BC4">
            <w:pPr>
              <w:pStyle w:val="EEAtableleftbold"/>
            </w:pPr>
          </w:p>
        </w:tc>
        <w:tc>
          <w:tcPr>
            <w:tcW w:w="3827" w:type="dxa"/>
            <w:shd w:val="clear" w:color="auto" w:fill="auto"/>
            <w:hideMark/>
          </w:tcPr>
          <w:p w14:paraId="14B7B77C" w14:textId="77777777" w:rsidR="00D35E90" w:rsidRPr="003659A4" w:rsidRDefault="00D35E90" w:rsidP="009B7BC4">
            <w:pPr>
              <w:pStyle w:val="EEAtableleft"/>
            </w:pPr>
            <w:r w:rsidRPr="003659A4">
              <w:t>EU</w:t>
            </w:r>
            <w:r>
              <w:t>-wide limit values in place (e.g. in fertilisers, sludge). No EU-wide corresponding soil screening values or framework to derive those</w:t>
            </w:r>
          </w:p>
        </w:tc>
        <w:tc>
          <w:tcPr>
            <w:tcW w:w="4253" w:type="dxa"/>
            <w:shd w:val="clear" w:color="auto" w:fill="auto"/>
            <w:hideMark/>
          </w:tcPr>
          <w:p w14:paraId="6706C984" w14:textId="2308CD46" w:rsidR="00D35E90" w:rsidRPr="003659A4" w:rsidRDefault="00D35E90" w:rsidP="009B7BC4">
            <w:pPr>
              <w:pStyle w:val="EEAtableleft"/>
            </w:pPr>
            <w:r w:rsidRPr="003659A4">
              <w:t>No common European re</w:t>
            </w:r>
            <w:r>
              <w:rPr>
                <w:lang w:val="en-US"/>
              </w:rPr>
              <w:t>g</w:t>
            </w:r>
            <w:r w:rsidRPr="003659A4">
              <w:t>ulation (except for WFD</w:t>
            </w:r>
            <w:r w:rsidR="00B16BA5">
              <w:t xml:space="preserve"> – see Table 1-6</w:t>
            </w:r>
            <w:r w:rsidRPr="003659A4">
              <w:t>)</w:t>
            </w:r>
          </w:p>
        </w:tc>
      </w:tr>
      <w:tr w:rsidR="00D35E90" w:rsidRPr="003659A4" w14:paraId="413E4893" w14:textId="77777777" w:rsidTr="009B7BC4">
        <w:trPr>
          <w:trHeight w:val="510"/>
        </w:trPr>
        <w:tc>
          <w:tcPr>
            <w:tcW w:w="1413" w:type="dxa"/>
            <w:shd w:val="pct5" w:color="auto" w:fill="auto"/>
            <w:noWrap/>
            <w:hideMark/>
          </w:tcPr>
          <w:p w14:paraId="2D791657" w14:textId="77777777" w:rsidR="00D35E90" w:rsidRPr="003659A4" w:rsidRDefault="00D35E90" w:rsidP="009B7BC4">
            <w:pPr>
              <w:pStyle w:val="EEAtableleftbold"/>
            </w:pPr>
            <w:r>
              <w:t>Assessment</w:t>
            </w:r>
            <w:r w:rsidRPr="003659A4">
              <w:t xml:space="preserve"> criteria</w:t>
            </w:r>
          </w:p>
        </w:tc>
        <w:tc>
          <w:tcPr>
            <w:tcW w:w="3827" w:type="dxa"/>
            <w:shd w:val="clear" w:color="auto" w:fill="auto"/>
            <w:hideMark/>
          </w:tcPr>
          <w:p w14:paraId="195ACD71" w14:textId="77777777" w:rsidR="00D35E90" w:rsidRPr="003659A4" w:rsidRDefault="00D35E90" w:rsidP="009B7BC4">
            <w:pPr>
              <w:pStyle w:val="EEAtableleft"/>
            </w:pPr>
            <w:r w:rsidRPr="003659A4">
              <w:t>background concentrations and risk-based values</w:t>
            </w:r>
            <w:r>
              <w:t xml:space="preserve"> (risk limits or sometimes screening values)</w:t>
            </w:r>
          </w:p>
        </w:tc>
        <w:tc>
          <w:tcPr>
            <w:tcW w:w="4253" w:type="dxa"/>
            <w:shd w:val="clear" w:color="auto" w:fill="auto"/>
            <w:hideMark/>
          </w:tcPr>
          <w:p w14:paraId="4B88269E" w14:textId="77777777" w:rsidR="00D35E90" w:rsidRPr="003659A4" w:rsidRDefault="00D35E90" w:rsidP="009B7BC4">
            <w:pPr>
              <w:pStyle w:val="EEAtableleft"/>
            </w:pPr>
            <w:r w:rsidRPr="003659A4">
              <w:t>primarily risk-based values, sometimes also background concentrations</w:t>
            </w:r>
          </w:p>
        </w:tc>
      </w:tr>
      <w:tr w:rsidR="00D35E90" w:rsidRPr="003659A4" w14:paraId="16754324" w14:textId="77777777" w:rsidTr="009B7BC4">
        <w:trPr>
          <w:trHeight w:val="765"/>
        </w:trPr>
        <w:tc>
          <w:tcPr>
            <w:tcW w:w="1413" w:type="dxa"/>
            <w:shd w:val="pct5" w:color="auto" w:fill="auto"/>
            <w:noWrap/>
            <w:hideMark/>
          </w:tcPr>
          <w:p w14:paraId="0D730CB1" w14:textId="77777777" w:rsidR="00D35E90" w:rsidRPr="003659A4" w:rsidRDefault="00D35E90" w:rsidP="009B7BC4">
            <w:pPr>
              <w:pStyle w:val="EEAtableleftbold"/>
            </w:pPr>
            <w:r w:rsidRPr="003659A4">
              <w:t>Protection targets</w:t>
            </w:r>
          </w:p>
        </w:tc>
        <w:tc>
          <w:tcPr>
            <w:tcW w:w="3827" w:type="dxa"/>
            <w:shd w:val="clear" w:color="auto" w:fill="auto"/>
            <w:hideMark/>
          </w:tcPr>
          <w:p w14:paraId="11BA9B40" w14:textId="77777777" w:rsidR="00D35E90" w:rsidRPr="003659A4" w:rsidRDefault="00D35E90" w:rsidP="009B7BC4">
            <w:pPr>
              <w:pStyle w:val="EEAtableleft"/>
            </w:pPr>
            <w:r w:rsidRPr="003659A4">
              <w:t xml:space="preserve">crops, cattle, </w:t>
            </w:r>
            <w:r>
              <w:t xml:space="preserve">humans, </w:t>
            </w:r>
            <w:r w:rsidRPr="003659A4">
              <w:t>ground</w:t>
            </w:r>
            <w:r>
              <w:t xml:space="preserve">- and surface </w:t>
            </w:r>
            <w:r w:rsidRPr="003659A4">
              <w:t>water ecosystem (after leaching)</w:t>
            </w:r>
          </w:p>
        </w:tc>
        <w:tc>
          <w:tcPr>
            <w:tcW w:w="4253" w:type="dxa"/>
            <w:shd w:val="clear" w:color="auto" w:fill="auto"/>
            <w:hideMark/>
          </w:tcPr>
          <w:p w14:paraId="3EE29B86" w14:textId="77777777" w:rsidR="00D35E90" w:rsidRPr="003659A4" w:rsidRDefault="00D35E90" w:rsidP="009B7BC4">
            <w:pPr>
              <w:pStyle w:val="EEAtableleft"/>
            </w:pPr>
            <w:r w:rsidRPr="003659A4">
              <w:t>primarily human health, soil ecosystem and drinking water resources (after long-term leaching); moreover crops, surface water, wildlife</w:t>
            </w:r>
          </w:p>
        </w:tc>
      </w:tr>
    </w:tbl>
    <w:p w14:paraId="2B9D7F4A" w14:textId="77777777" w:rsidR="00D35E90" w:rsidRDefault="00D35E90" w:rsidP="00D35E90"/>
    <w:p w14:paraId="76E724AF" w14:textId="757CEB32" w:rsidR="009B7BC4" w:rsidRPr="009D5972" w:rsidRDefault="009B7BC4" w:rsidP="009B7BC4">
      <w:pPr>
        <w:pStyle w:val="berschrift2"/>
        <w:numPr>
          <w:ilvl w:val="2"/>
          <w:numId w:val="4"/>
        </w:numPr>
        <w:rPr>
          <w:rStyle w:val="FormatvorlageFormatvorlageberschrift3Zchn1"/>
        </w:rPr>
      </w:pPr>
      <w:bookmarkStart w:id="194" w:name="_Toc83997358"/>
      <w:r w:rsidRPr="009B7BC4">
        <w:rPr>
          <w:rStyle w:val="FormatvorlageFormatvorlageberschrift3Zchn1"/>
        </w:rPr>
        <w:t>Relevant groups of contaminants found in soil</w:t>
      </w:r>
      <w:bookmarkEnd w:id="194"/>
    </w:p>
    <w:p w14:paraId="4A7B8699" w14:textId="41BA8EA5" w:rsidR="009B7BC4" w:rsidRDefault="009B7BC4" w:rsidP="00D35E90"/>
    <w:p w14:paraId="0C6F2F1F" w14:textId="52CE13FE" w:rsidR="00D35E90" w:rsidRDefault="00D35E90" w:rsidP="00D35E90">
      <w:r>
        <w:t xml:space="preserve">Several soil contaminants such as most metals </w:t>
      </w:r>
      <w:r w:rsidRPr="00C4362E">
        <w:t xml:space="preserve">are naturally found in </w:t>
      </w:r>
      <w:r w:rsidR="00927D94">
        <w:t>soils but</w:t>
      </w:r>
      <w:r>
        <w:t xml:space="preserve"> are found at increased levels due to anthropogenic activities. Other contaminants </w:t>
      </w:r>
      <w:r w:rsidRPr="00C4362E">
        <w:t xml:space="preserve">are synthesized </w:t>
      </w:r>
      <w:r>
        <w:t xml:space="preserve">and brought into soils </w:t>
      </w:r>
      <w:r w:rsidRPr="00C4362E">
        <w:t xml:space="preserve">by </w:t>
      </w:r>
      <w:r>
        <w:t xml:space="preserve">a range of </w:t>
      </w:r>
      <w:r w:rsidRPr="00C4362E">
        <w:t xml:space="preserve">human </w:t>
      </w:r>
      <w:r>
        <w:t xml:space="preserve">activities. The types of contaminants found in soil and groundwater is described hereunder. </w:t>
      </w:r>
    </w:p>
    <w:p w14:paraId="206F65E5" w14:textId="77777777" w:rsidR="00D35E90" w:rsidRDefault="00D35E90" w:rsidP="00927D94">
      <w:pPr>
        <w:spacing w:before="120"/>
      </w:pPr>
    </w:p>
    <w:p w14:paraId="6CA4CD6B" w14:textId="77777777" w:rsidR="00D35E90" w:rsidRPr="0094627F" w:rsidRDefault="00D35E90" w:rsidP="0094627F">
      <w:pPr>
        <w:pStyle w:val="EEAStandardbold"/>
      </w:pPr>
      <w:bookmarkStart w:id="195" w:name="_Toc82720739"/>
      <w:r w:rsidRPr="0094627F">
        <w:rPr>
          <w:rStyle w:val="Formatvorlageberschrift3Zchn1"/>
          <w:b/>
          <w:i w:val="0"/>
          <w:color w:val="auto"/>
        </w:rPr>
        <w:t>Metals and metalloids</w:t>
      </w:r>
      <w:bookmarkEnd w:id="195"/>
    </w:p>
    <w:p w14:paraId="59ED8A9D" w14:textId="77777777" w:rsidR="0094627F" w:rsidRDefault="0094627F" w:rsidP="00D24035"/>
    <w:p w14:paraId="096969CD" w14:textId="03F144EA" w:rsidR="00D35E90" w:rsidRDefault="00D35E90" w:rsidP="00D24035">
      <w:r>
        <w:t xml:space="preserve">For some metals and metalloids, notably lead, mercury and cadmium, policy measures have been or are being enforced, and in consequence, inputs to arable systems seem to have decreased. For lead, emissions via air originating from fuel burning in Europe decreased by about 85% in the last 20 years of the last century (Lorenz et al., 2010). Due to the immobile nature of lead in soil and former applications of lead containing waste materials for soil elevation purposes, lead is often found in urban soils, sometimes at high levels. Children are especially sensitive to lead exposure due to hand – mouth contact; high exposure can impact their neurological development and lower the intelligence quotient (Lanphear et al., 2005; JECFA, 2011). Potential inputs via other agriculture-related sources such as sludges, manure or fertilisers, are at least partially legally regulated; there, limits are set for the allowed content of metals in fertilising products or soil improvers (a.o. EU fertilizer regulation 2019/1009; </w:t>
      </w:r>
      <w:r w:rsidRPr="00C212C4">
        <w:t>Sewage Sludge Directive 86/278/EEC</w:t>
      </w:r>
      <w:r>
        <w:t xml:space="preserve">). </w:t>
      </w:r>
    </w:p>
    <w:p w14:paraId="2C0C8E8D" w14:textId="77777777" w:rsidR="00D35E90" w:rsidRPr="00E91674" w:rsidRDefault="00D35E90" w:rsidP="00927D94">
      <w:pPr>
        <w:spacing w:before="120"/>
        <w:rPr>
          <w:rFonts w:asciiTheme="majorHAnsi" w:hAnsiTheme="majorHAnsi" w:cstheme="majorHAnsi"/>
          <w:szCs w:val="22"/>
        </w:rPr>
      </w:pPr>
      <w:r w:rsidRPr="00E91674">
        <w:rPr>
          <w:rFonts w:asciiTheme="majorHAnsi" w:hAnsiTheme="majorHAnsi" w:cstheme="majorHAnsi"/>
          <w:szCs w:val="22"/>
          <w:lang w:val="en-US"/>
        </w:rPr>
        <w:t>Cadmium is often a problem in the soils of vegetable gardens</w:t>
      </w:r>
      <w:r>
        <w:rPr>
          <w:rFonts w:asciiTheme="majorHAnsi" w:hAnsiTheme="majorHAnsi" w:cstheme="majorHAnsi"/>
          <w:szCs w:val="22"/>
          <w:lang w:val="en-US"/>
        </w:rPr>
        <w:t xml:space="preserve"> located in or near urban areas</w:t>
      </w:r>
      <w:r w:rsidRPr="00E91674">
        <w:rPr>
          <w:rFonts w:asciiTheme="majorHAnsi" w:hAnsiTheme="majorHAnsi" w:cstheme="majorHAnsi"/>
          <w:szCs w:val="22"/>
          <w:lang w:val="en-US"/>
        </w:rPr>
        <w:t xml:space="preserve">, in particular in combination </w:t>
      </w:r>
      <w:r>
        <w:rPr>
          <w:rFonts w:asciiTheme="majorHAnsi" w:hAnsiTheme="majorHAnsi" w:cstheme="majorHAnsi"/>
          <w:szCs w:val="22"/>
          <w:lang w:val="en-US"/>
        </w:rPr>
        <w:t>with</w:t>
      </w:r>
      <w:r w:rsidRPr="00E91674">
        <w:rPr>
          <w:rFonts w:asciiTheme="majorHAnsi" w:hAnsiTheme="majorHAnsi" w:cstheme="majorHAnsi"/>
          <w:szCs w:val="22"/>
          <w:lang w:val="en-US"/>
        </w:rPr>
        <w:t xml:space="preserve"> fast growing green crops such as spinach and endive. </w:t>
      </w:r>
      <w:r>
        <w:rPr>
          <w:rFonts w:asciiTheme="majorHAnsi" w:hAnsiTheme="majorHAnsi" w:cstheme="majorHAnsi"/>
          <w:szCs w:val="22"/>
          <w:lang w:val="en-US"/>
        </w:rPr>
        <w:t xml:space="preserve">It </w:t>
      </w:r>
      <w:r w:rsidRPr="0002286C">
        <w:rPr>
          <w:rFonts w:asciiTheme="majorHAnsi" w:hAnsiTheme="majorHAnsi" w:cstheme="majorHAnsi"/>
          <w:szCs w:val="22"/>
          <w:lang w:val="en-US"/>
        </w:rPr>
        <w:t xml:space="preserve">is grouped as a priority hazardous substance in the Environmental Quality Standards Directive (EU, 2008), </w:t>
      </w:r>
      <w:r>
        <w:rPr>
          <w:rFonts w:asciiTheme="majorHAnsi" w:hAnsiTheme="majorHAnsi" w:cstheme="majorHAnsi"/>
          <w:szCs w:val="22"/>
          <w:lang w:val="en-US"/>
        </w:rPr>
        <w:t>and thus belongs to</w:t>
      </w:r>
      <w:r w:rsidRPr="0002286C">
        <w:rPr>
          <w:rFonts w:asciiTheme="majorHAnsi" w:hAnsiTheme="majorHAnsi" w:cstheme="majorHAnsi"/>
          <w:szCs w:val="22"/>
          <w:lang w:val="en-US"/>
        </w:rPr>
        <w:t xml:space="preserve"> </w:t>
      </w:r>
      <w:r>
        <w:rPr>
          <w:rFonts w:asciiTheme="majorHAnsi" w:hAnsiTheme="majorHAnsi" w:cstheme="majorHAnsi"/>
          <w:szCs w:val="22"/>
          <w:lang w:val="en-US"/>
        </w:rPr>
        <w:t xml:space="preserve">one of </w:t>
      </w:r>
      <w:r w:rsidRPr="0002286C">
        <w:rPr>
          <w:rFonts w:asciiTheme="majorHAnsi" w:hAnsiTheme="majorHAnsi" w:cstheme="majorHAnsi"/>
          <w:szCs w:val="22"/>
          <w:lang w:val="en-US"/>
        </w:rPr>
        <w:t>the most toxic environmental chemicals</w:t>
      </w:r>
      <w:r>
        <w:rPr>
          <w:rFonts w:asciiTheme="majorHAnsi" w:hAnsiTheme="majorHAnsi" w:cstheme="majorHAnsi"/>
          <w:szCs w:val="22"/>
          <w:lang w:val="en-US"/>
        </w:rPr>
        <w:t>.</w:t>
      </w:r>
      <w:r w:rsidRPr="0002286C">
        <w:rPr>
          <w:rFonts w:asciiTheme="majorHAnsi" w:hAnsiTheme="majorHAnsi" w:cstheme="majorHAnsi"/>
          <w:szCs w:val="22"/>
          <w:lang w:val="en-US"/>
        </w:rPr>
        <w:t xml:space="preserve"> </w:t>
      </w:r>
      <w:r w:rsidRPr="00E91674">
        <w:rPr>
          <w:rFonts w:asciiTheme="majorHAnsi" w:hAnsiTheme="majorHAnsi" w:cstheme="majorHAnsi"/>
          <w:szCs w:val="22"/>
          <w:lang w:val="en-US"/>
        </w:rPr>
        <w:t>Moreover, arsenic is often found at high levels in commercially available crops (</w:t>
      </w:r>
      <w:r w:rsidRPr="00E91674">
        <w:rPr>
          <w:rFonts w:asciiTheme="majorHAnsi" w:hAnsiTheme="majorHAnsi" w:cstheme="majorHAnsi"/>
          <w:szCs w:val="22"/>
        </w:rPr>
        <w:t xml:space="preserve">EFSA 2009; WHO 2011; EFSA 2014). The following metals are regarded as essential for </w:t>
      </w:r>
      <w:r w:rsidRPr="00E91674">
        <w:rPr>
          <w:rFonts w:asciiTheme="majorHAnsi" w:hAnsiTheme="majorHAnsi" w:cstheme="majorHAnsi"/>
          <w:szCs w:val="22"/>
        </w:rPr>
        <w:lastRenderedPageBreak/>
        <w:t xml:space="preserve">human health: iron, zinc, copper, chromium, cobalt, molybdenum, manganese, and selenium (WHO, 1996; Becking et al. 2007). However, at </w:t>
      </w:r>
      <w:r>
        <w:rPr>
          <w:rFonts w:asciiTheme="majorHAnsi" w:hAnsiTheme="majorHAnsi" w:cstheme="majorHAnsi"/>
          <w:szCs w:val="22"/>
        </w:rPr>
        <w:t>elevated</w:t>
      </w:r>
      <w:r w:rsidRPr="00E91674">
        <w:rPr>
          <w:rFonts w:asciiTheme="majorHAnsi" w:hAnsiTheme="majorHAnsi" w:cstheme="majorHAnsi"/>
          <w:szCs w:val="22"/>
        </w:rPr>
        <w:t xml:space="preserve"> concentrations these metals might become toxic for humans.</w:t>
      </w:r>
    </w:p>
    <w:p w14:paraId="78C59016" w14:textId="77777777" w:rsidR="00D35E90" w:rsidRDefault="00D35E90" w:rsidP="00D24035"/>
    <w:p w14:paraId="4E35862A" w14:textId="77777777" w:rsidR="00D35E90" w:rsidRPr="0094627F" w:rsidRDefault="00D35E90" w:rsidP="0094627F">
      <w:pPr>
        <w:pStyle w:val="EEAStandardbold"/>
      </w:pPr>
      <w:bookmarkStart w:id="196" w:name="_Toc82720740"/>
      <w:r w:rsidRPr="0094627F">
        <w:rPr>
          <w:rStyle w:val="Formatvorlageberschrift3Zchn1"/>
          <w:b/>
          <w:i w:val="0"/>
          <w:color w:val="auto"/>
        </w:rPr>
        <w:t>Organic contaminants in soils</w:t>
      </w:r>
      <w:bookmarkEnd w:id="196"/>
    </w:p>
    <w:p w14:paraId="7668E1EE" w14:textId="77777777" w:rsidR="00D35E90" w:rsidRDefault="00D35E90" w:rsidP="00D35E90"/>
    <w:p w14:paraId="30B05E26" w14:textId="77777777" w:rsidR="00D35E90" w:rsidRDefault="00D35E90" w:rsidP="009B7BC4">
      <w:pPr>
        <w:pStyle w:val="EEAbullet0"/>
      </w:pPr>
      <w:r>
        <w:t>Plant protection chemicals</w:t>
      </w:r>
    </w:p>
    <w:p w14:paraId="7918A6DA" w14:textId="77777777" w:rsidR="00D35E90" w:rsidRDefault="00D35E90" w:rsidP="009B7BC4">
      <w:pPr>
        <w:pStyle w:val="EEAStandardindent07"/>
      </w:pPr>
      <w:r>
        <w:t xml:space="preserve">Plant protection products (PPPs) are largely introduced from agriculture practices, where they are directly applied during the growing season. Consequently, a series of PPS, mainly herbicides, can be found find at high levels in soil and groundwater. Although in most European countries, the application of PPPs is regulated (type of chemical to be used as well as application thereof, </w:t>
      </w:r>
      <w:r w:rsidRPr="00326FB1">
        <w:t>Regulation (EC) No 1107/2009</w:t>
      </w:r>
      <w:r>
        <w:t>), screening values are still exceeded at a substantial scale, notably in surface water bodies as well as shallow groundwater bodies that are in close contact to the receiving soils. Especially in countries with shallow groundwater tables like the Netherlands, a large number of PPPs is found in most groundwater abstraction wells.</w:t>
      </w:r>
    </w:p>
    <w:p w14:paraId="41C5EB3D" w14:textId="77777777" w:rsidR="00D35E90" w:rsidRDefault="00D35E90" w:rsidP="00D24035"/>
    <w:p w14:paraId="60DE4851" w14:textId="77777777" w:rsidR="00D35E90" w:rsidRDefault="00D35E90" w:rsidP="009B7BC4">
      <w:pPr>
        <w:pStyle w:val="EEAbullet0"/>
      </w:pPr>
      <w:bookmarkStart w:id="197" w:name="_Hlk82701798"/>
      <w:r w:rsidRPr="00DA1CF5">
        <w:t>Other organic contaminants</w:t>
      </w:r>
    </w:p>
    <w:bookmarkEnd w:id="197"/>
    <w:p w14:paraId="4A893E5E" w14:textId="77777777" w:rsidR="00D35E90" w:rsidRDefault="00D35E90" w:rsidP="009B7BC4">
      <w:pPr>
        <w:pStyle w:val="EEAStandardindent07"/>
      </w:pPr>
      <w:r w:rsidRPr="00E40A35">
        <w:t xml:space="preserve">Except for </w:t>
      </w:r>
      <w:r>
        <w:t>plant protection chemicals</w:t>
      </w:r>
      <w:r w:rsidRPr="00E40A35">
        <w:t xml:space="preserve">, a range of organic contaminants is found in soil and groundwater. </w:t>
      </w:r>
      <w:r>
        <w:t xml:space="preserve">In contrast to plant protection chemicals, these substances are usually not introduced actively by farmers but end up in soil due to emissions elsewhere. An exception is the application of sewage sludge, which introduces a series of organic compounds into soils, including PFAS. </w:t>
      </w:r>
    </w:p>
    <w:p w14:paraId="0E2A680E" w14:textId="7B52E2F2" w:rsidR="00D35E90" w:rsidRDefault="00D35E90" w:rsidP="009B7BC4">
      <w:pPr>
        <w:pStyle w:val="EEAStandardindent07"/>
        <w:rPr>
          <w:rFonts w:eastAsiaTheme="minorEastAsia"/>
          <w:color w:val="131413"/>
          <w:lang w:val="en-US" w:eastAsia="en-US"/>
        </w:rPr>
      </w:pPr>
      <w:r>
        <w:t xml:space="preserve">Chemicals most commonly found in soils </w:t>
      </w:r>
      <w:r w:rsidRPr="00E40A35">
        <w:t>include persistent organic pollutants (POPs), which are chemical substances</w:t>
      </w:r>
      <w:r>
        <w:t>,</w:t>
      </w:r>
      <w:r w:rsidRPr="00E40A35">
        <w:t xml:space="preserve"> persistent in the environment, and which can bioaccumulate in the food chain. They can be naturally occurring (e.g. polycyclic aromatic hydrocarbons (PAHs), or be derived from industrial processes (e.g. polychlorinated biphenyls (PCBs), or organochlorine pesticides such as DDT, dieldrin, and hexachlorobenzene HCB). </w:t>
      </w:r>
      <w:r w:rsidRPr="00E40A35">
        <w:rPr>
          <w:rFonts w:eastAsiaTheme="minorEastAsia"/>
          <w:color w:val="131413"/>
          <w:lang w:val="en-US" w:eastAsia="en-US"/>
        </w:rPr>
        <w:t>Polycyclic Aromatic Hydrocarbons (PAHs) form another important</w:t>
      </w:r>
      <w:r>
        <w:rPr>
          <w:rFonts w:eastAsiaTheme="minorEastAsia"/>
          <w:color w:val="131413"/>
          <w:lang w:val="en-US" w:eastAsia="en-US"/>
        </w:rPr>
        <w:t>, wide-spread</w:t>
      </w:r>
      <w:r w:rsidRPr="00E40A35">
        <w:rPr>
          <w:rFonts w:eastAsiaTheme="minorEastAsia"/>
          <w:color w:val="131413"/>
          <w:lang w:val="en-US" w:eastAsia="en-US"/>
        </w:rPr>
        <w:t xml:space="preserve"> group </w:t>
      </w:r>
      <w:r>
        <w:rPr>
          <w:rFonts w:eastAsiaTheme="minorEastAsia"/>
          <w:color w:val="131413"/>
          <w:lang w:val="en-US" w:eastAsia="en-US"/>
        </w:rPr>
        <w:t>of</w:t>
      </w:r>
      <w:r w:rsidRPr="00E40A35">
        <w:rPr>
          <w:rFonts w:eastAsiaTheme="minorEastAsia"/>
          <w:color w:val="131413"/>
          <w:lang w:val="en-US" w:eastAsia="en-US"/>
        </w:rPr>
        <w:t xml:space="preserve"> soil contamina</w:t>
      </w:r>
      <w:r>
        <w:rPr>
          <w:rFonts w:eastAsiaTheme="minorEastAsia"/>
          <w:color w:val="131413"/>
          <w:lang w:val="en-US" w:eastAsia="en-US"/>
        </w:rPr>
        <w:t>n</w:t>
      </w:r>
      <w:r w:rsidRPr="00E40A35">
        <w:rPr>
          <w:rFonts w:eastAsiaTheme="minorEastAsia"/>
          <w:color w:val="131413"/>
          <w:lang w:val="en-US" w:eastAsia="en-US"/>
        </w:rPr>
        <w:t>t</w:t>
      </w:r>
      <w:r>
        <w:rPr>
          <w:rFonts w:eastAsiaTheme="minorEastAsia"/>
          <w:color w:val="131413"/>
          <w:lang w:val="en-US" w:eastAsia="en-US"/>
        </w:rPr>
        <w:t>s</w:t>
      </w:r>
      <w:r w:rsidRPr="00E40A35">
        <w:rPr>
          <w:rFonts w:eastAsiaTheme="minorEastAsia"/>
          <w:color w:val="131413"/>
          <w:lang w:val="en-US" w:eastAsia="en-US"/>
        </w:rPr>
        <w:t xml:space="preserve">. </w:t>
      </w:r>
    </w:p>
    <w:p w14:paraId="35D94FA8" w14:textId="77777777" w:rsidR="009B7BC4" w:rsidRDefault="009B7BC4" w:rsidP="009B7BC4">
      <w:pPr>
        <w:pStyle w:val="EEAStandardindent07"/>
        <w:rPr>
          <w:rFonts w:eastAsiaTheme="minorEastAsia"/>
          <w:color w:val="131413"/>
          <w:lang w:val="en-US" w:eastAsia="en-US"/>
        </w:rPr>
      </w:pPr>
    </w:p>
    <w:p w14:paraId="0BE694A4" w14:textId="77777777" w:rsidR="00D35E90" w:rsidRPr="00E40A35" w:rsidRDefault="00D35E90" w:rsidP="009B7BC4">
      <w:pPr>
        <w:pStyle w:val="EEAStandardindent07"/>
      </w:pPr>
      <w:r w:rsidRPr="00E40A35">
        <w:rPr>
          <w:rFonts w:eastAsiaTheme="minorEastAsia"/>
          <w:color w:val="131413"/>
          <w:lang w:val="en-US" w:eastAsia="en-US"/>
        </w:rPr>
        <w:t xml:space="preserve">PAHs are primarily formed by incomplete combustion of carbon-containing fuels such as wood, coal, diesel, fat, tobacco, or incense and are concentrated in oil, tar and coal. Common PAHs in soil are naphthalene, phenanthrene, anthracene, fluoranthene, benzo[a]anthracene, benzo[k]fluoranthene indeno[1,2,3-cd]pyrene, benzo[g,h,i]perylene and benzo[a]pyrene. PAHs in soils might show </w:t>
      </w:r>
      <w:r>
        <w:rPr>
          <w:rFonts w:eastAsiaTheme="minorEastAsia"/>
          <w:color w:val="131413"/>
          <w:lang w:val="en-US" w:eastAsia="en-US"/>
        </w:rPr>
        <w:t xml:space="preserve">point source </w:t>
      </w:r>
      <w:r w:rsidRPr="00E40A35">
        <w:rPr>
          <w:rFonts w:eastAsiaTheme="minorEastAsia"/>
          <w:color w:val="131413"/>
          <w:lang w:val="en-US" w:eastAsia="en-US"/>
        </w:rPr>
        <w:t>or diffuse (due to atmospheric deposition) contamination patterns. Some PAH representatives are known or suspected to be carcinogenic, mutagenic,</w:t>
      </w:r>
      <w:r>
        <w:rPr>
          <w:rFonts w:eastAsiaTheme="minorEastAsia"/>
          <w:color w:val="131413"/>
          <w:lang w:val="en-US" w:eastAsia="en-US"/>
        </w:rPr>
        <w:t xml:space="preserve"> </w:t>
      </w:r>
      <w:r w:rsidRPr="00E40A35">
        <w:rPr>
          <w:rFonts w:eastAsiaTheme="minorEastAsia"/>
          <w:color w:val="131413"/>
          <w:lang w:val="en-US" w:eastAsia="en-US"/>
        </w:rPr>
        <w:t>or teratogenic. Also</w:t>
      </w:r>
      <w:r>
        <w:rPr>
          <w:rFonts w:eastAsiaTheme="minorEastAsia"/>
          <w:color w:val="131413"/>
          <w:lang w:val="en-US" w:eastAsia="en-US"/>
        </w:rPr>
        <w:t>,</w:t>
      </w:r>
      <w:r w:rsidRPr="00E40A35">
        <w:rPr>
          <w:rFonts w:eastAsiaTheme="minorEastAsia"/>
          <w:color w:val="131413"/>
          <w:lang w:val="en-US" w:eastAsia="en-US"/>
        </w:rPr>
        <w:t xml:space="preserve"> </w:t>
      </w:r>
      <w:r w:rsidRPr="00E51BE5">
        <w:rPr>
          <w:rFonts w:eastAsiaTheme="minorEastAsia"/>
          <w:b/>
          <w:bCs/>
          <w:color w:val="131413"/>
          <w:lang w:val="en-US" w:eastAsia="en-US"/>
        </w:rPr>
        <w:t>monocyclic aromatic hydrocarbons</w:t>
      </w:r>
      <w:r w:rsidRPr="00E40A35">
        <w:rPr>
          <w:rFonts w:eastAsiaTheme="minorEastAsia"/>
          <w:color w:val="131413"/>
          <w:lang w:val="en-US" w:eastAsia="en-US"/>
        </w:rPr>
        <w:t xml:space="preserve"> are frequently found in </w:t>
      </w:r>
      <w:r>
        <w:rPr>
          <w:rFonts w:eastAsiaTheme="minorEastAsia"/>
          <w:color w:val="131413"/>
          <w:lang w:val="en-US" w:eastAsia="en-US"/>
        </w:rPr>
        <w:t xml:space="preserve">urban </w:t>
      </w:r>
      <w:r w:rsidRPr="00E40A35">
        <w:rPr>
          <w:rFonts w:eastAsiaTheme="minorEastAsia"/>
          <w:color w:val="131413"/>
          <w:lang w:val="en-US" w:eastAsia="en-US"/>
        </w:rPr>
        <w:t>soil</w:t>
      </w:r>
      <w:r>
        <w:rPr>
          <w:rFonts w:eastAsiaTheme="minorEastAsia"/>
          <w:color w:val="131413"/>
          <w:lang w:val="en-US" w:eastAsia="en-US"/>
        </w:rPr>
        <w:t>s</w:t>
      </w:r>
      <w:r w:rsidRPr="00E40A35">
        <w:rPr>
          <w:rFonts w:eastAsiaTheme="minorEastAsia"/>
          <w:color w:val="131413"/>
          <w:lang w:val="en-US" w:eastAsia="en-US"/>
        </w:rPr>
        <w:t xml:space="preserve"> and groundwater. The representatives most often found are usually categorized as </w:t>
      </w:r>
      <w:r w:rsidRPr="008D1973">
        <w:rPr>
          <w:rFonts w:eastAsiaTheme="minorEastAsia"/>
          <w:b/>
          <w:bCs/>
          <w:color w:val="131413"/>
          <w:lang w:val="en-US" w:eastAsia="en-US"/>
        </w:rPr>
        <w:t>BTEX</w:t>
      </w:r>
      <w:r w:rsidRPr="00E40A35">
        <w:rPr>
          <w:rFonts w:eastAsiaTheme="minorEastAsia"/>
          <w:color w:val="131413"/>
          <w:lang w:val="en-US" w:eastAsia="en-US"/>
        </w:rPr>
        <w:t xml:space="preserve"> (benzene, toluene, ethylbenzene and xylenes). They were, or are, used on a large scale in cleaning applications such as degreasing.</w:t>
      </w:r>
      <w:r w:rsidRPr="00E40A35">
        <w:t xml:space="preserve"> Another important group of organic contaminants often found in urban soils </w:t>
      </w:r>
      <w:r>
        <w:t>are</w:t>
      </w:r>
      <w:r w:rsidRPr="00E40A35">
        <w:t xml:space="preserve"> </w:t>
      </w:r>
      <w:r w:rsidRPr="008D1973">
        <w:rPr>
          <w:b/>
          <w:bCs/>
        </w:rPr>
        <w:t>volatile organic compounds</w:t>
      </w:r>
      <w:r w:rsidRPr="00E40A35">
        <w:t xml:space="preserve"> (VOC), including </w:t>
      </w:r>
      <w:r w:rsidRPr="00E40A35">
        <w:rPr>
          <w:rFonts w:eastAsiaTheme="minorEastAsia"/>
          <w:color w:val="131413"/>
          <w:lang w:val="en-US" w:eastAsia="en-US"/>
        </w:rPr>
        <w:t>trichloroethylene, tetrachloroethylene, 1</w:t>
      </w:r>
      <w:proofErr w:type="gramStart"/>
      <w:r w:rsidRPr="00E40A35">
        <w:rPr>
          <w:rFonts w:eastAsiaTheme="minorEastAsia"/>
          <w:color w:val="131413"/>
          <w:lang w:val="en-US" w:eastAsia="en-US"/>
        </w:rPr>
        <w:t>,1,1</w:t>
      </w:r>
      <w:proofErr w:type="gramEnd"/>
      <w:r w:rsidRPr="00E40A35">
        <w:rPr>
          <w:rFonts w:eastAsiaTheme="minorEastAsia"/>
          <w:color w:val="131413"/>
          <w:lang w:val="en-US" w:eastAsia="en-US"/>
        </w:rPr>
        <w:t xml:space="preserve">- trichloroethane and vinyl chloride. </w:t>
      </w:r>
      <w:r>
        <w:rPr>
          <w:rFonts w:eastAsiaTheme="minorEastAsia"/>
          <w:color w:val="131413"/>
          <w:lang w:val="en-US" w:eastAsia="en-US"/>
        </w:rPr>
        <w:t xml:space="preserve">They enter soils through several industrial activities, including dry cleaning. </w:t>
      </w:r>
      <w:r w:rsidRPr="00E40A35">
        <w:rPr>
          <w:rFonts w:eastAsiaTheme="minorEastAsia"/>
          <w:color w:val="131413"/>
          <w:lang w:val="en-US" w:eastAsia="en-US"/>
        </w:rPr>
        <w:t xml:space="preserve">Most VOCs are readily soluble in fat. VOC compounds are generally volatile and mobile. </w:t>
      </w:r>
    </w:p>
    <w:p w14:paraId="27E109DB" w14:textId="77777777" w:rsidR="00D35E90" w:rsidRDefault="00D35E90" w:rsidP="00927D94">
      <w:pPr>
        <w:spacing w:before="120"/>
      </w:pPr>
    </w:p>
    <w:p w14:paraId="7F43EBD3" w14:textId="77777777" w:rsidR="00D35E90" w:rsidRPr="0094627F" w:rsidRDefault="00D35E90" w:rsidP="0094627F">
      <w:pPr>
        <w:pStyle w:val="EEAStandardbold"/>
      </w:pPr>
      <w:bookmarkStart w:id="198" w:name="_Toc82720741"/>
      <w:r w:rsidRPr="0094627F">
        <w:t>Emerging substances</w:t>
      </w:r>
      <w:bookmarkEnd w:id="198"/>
    </w:p>
    <w:p w14:paraId="759102C7" w14:textId="77777777" w:rsidR="0094627F" w:rsidRDefault="0094627F" w:rsidP="00D24035"/>
    <w:p w14:paraId="6BBAF29D" w14:textId="76BC718D" w:rsidR="00D35E90" w:rsidRPr="00921F47" w:rsidRDefault="00D35E90" w:rsidP="00D24035">
      <w:r w:rsidRPr="00921F47">
        <w:t xml:space="preserve">Currently, there is concern about emerging chemical substances in soils. These </w:t>
      </w:r>
      <w:r w:rsidRPr="00921F47">
        <w:rPr>
          <w:color w:val="3E3E3E"/>
          <w:lang w:val="en"/>
        </w:rPr>
        <w:t>are substances not previously considered or known to be significant in the environment and may have no regulatory standard.</w:t>
      </w:r>
      <w:r w:rsidRPr="00921F47">
        <w:t xml:space="preserve"> The Norman network currently lists 860 substances, of which some are prioritized, forming the basis for the first EU watch list on emerging contaminants, most of them organic (Commission Implementing Decision (EU)2015/49). Emerging substances include </w:t>
      </w:r>
      <w:proofErr w:type="gramStart"/>
      <w:r w:rsidRPr="00921F47">
        <w:t>Per</w:t>
      </w:r>
      <w:proofErr w:type="gramEnd"/>
      <w:r w:rsidRPr="00921F47">
        <w:t>- and Polyfluoroalkyl substances (PFAS), nanoparticles, antibiotics, and other medicinal products like anthelmintics. PFAS include more than 4,700 different substances (OECD, 2013), which are of very high concern (SVHC) because of their high environmental persistence and toxicity. Soil and groundwater contamination with PFAS has become evident in Europe. Among others, contaminated sewage sludge</w:t>
      </w:r>
      <w:r>
        <w:t>s</w:t>
      </w:r>
      <w:r w:rsidRPr="00921F47">
        <w:t xml:space="preserve"> used as organic fertiliser ha</w:t>
      </w:r>
      <w:r>
        <w:t>ve</w:t>
      </w:r>
      <w:r w:rsidRPr="00921F47">
        <w:t xml:space="preserve"> caused </w:t>
      </w:r>
      <w:r w:rsidRPr="00921F47">
        <w:lastRenderedPageBreak/>
        <w:t xml:space="preserve">PFAS pollution of soil (Ghisi et al. 2019). As a first step to monitor its accumulation, background concentrations for mobile forms of PFAS have been determined for perfluorooctanoic acid (PFOA) or perfluorooctane sulphonic acid (PFOS). A limit value of 0.1 µg/L for each individual PFAS in drinking water has been introduced in the EU (2020). </w:t>
      </w:r>
    </w:p>
    <w:p w14:paraId="7DFA5FB3" w14:textId="365D2E80" w:rsidR="00D35E90" w:rsidRDefault="00D35E90" w:rsidP="00927D94">
      <w:pPr>
        <w:spacing w:before="120"/>
      </w:pPr>
      <w:r>
        <w:t>At present, research is still ongoing about the toxicity of many of these emerging compounds. However, the derivation of toxic limits is hampered by the lack of analytical techniques and other new emerging contaminants at environmentally relevant levels (e.g.</w:t>
      </w:r>
      <w:r w:rsidR="00BF2CC1">
        <w:t>,</w:t>
      </w:r>
      <w:r>
        <w:t xml:space="preserve"> in case of microplastics or nanoparticles once present in soil). Also, the conversion of medicinal products to secondary products with different properties and corresponding toxicity and their interactions with the soil matrix (</w:t>
      </w:r>
      <w:r w:rsidRPr="00107A7C">
        <w:t>mixing effects and interactions with co-contaminants</w:t>
      </w:r>
      <w:r>
        <w:t>)</w:t>
      </w:r>
      <w:r w:rsidRPr="00107A7C">
        <w:t xml:space="preserve"> </w:t>
      </w:r>
      <w:r>
        <w:t xml:space="preserve">pose challenges to address. </w:t>
      </w:r>
    </w:p>
    <w:p w14:paraId="0936612C" w14:textId="77777777" w:rsidR="00D35E90" w:rsidRDefault="00D35E90" w:rsidP="00927D94">
      <w:pPr>
        <w:spacing w:before="120"/>
      </w:pPr>
    </w:p>
    <w:p w14:paraId="063A944D" w14:textId="77777777" w:rsidR="00D35E90" w:rsidRPr="000A3E2C" w:rsidRDefault="00D35E90" w:rsidP="0094627F">
      <w:pPr>
        <w:pStyle w:val="EEAStandardbold"/>
        <w:rPr>
          <w:bCs/>
          <w:i/>
        </w:rPr>
      </w:pPr>
      <w:bookmarkStart w:id="199" w:name="_Toc82720742"/>
      <w:r w:rsidRPr="000A3E2C">
        <w:t>Contaminant mixtures</w:t>
      </w:r>
      <w:bookmarkEnd w:id="199"/>
    </w:p>
    <w:p w14:paraId="6B7439B6" w14:textId="77777777" w:rsidR="0094627F" w:rsidRDefault="0094627F" w:rsidP="00D24035"/>
    <w:p w14:paraId="1058141C" w14:textId="661C6C51" w:rsidR="00D35E90" w:rsidRPr="00747974" w:rsidRDefault="00D35E90" w:rsidP="00D24035">
      <w:r w:rsidRPr="00747974">
        <w:t xml:space="preserve">Soil and groundwater quality assessment is generally approached from a single contaminant perspective. However, in most cases different contaminants are found in soil and groundwater. </w:t>
      </w:r>
      <w:r w:rsidRPr="00747974">
        <w:rPr>
          <w:rFonts w:eastAsiaTheme="minorEastAsia"/>
          <w:color w:val="131413"/>
          <w:lang w:val="en-US" w:eastAsia="en-US"/>
        </w:rPr>
        <w:t xml:space="preserve">As a consequence, humans and organisms generally are exposed to more than one contaminant at the same time. For contaminants with the same toxicological endpoint (e.g., target organ) that act through a common mode of action, dose addition is appropriate when assessing human health risks. If contaminants have the same endpoint, but act through a different mode of action, </w:t>
      </w:r>
      <w:r w:rsidRPr="00AA3696">
        <w:rPr>
          <w:rFonts w:eastAsiaTheme="minorEastAsia"/>
          <w:b/>
          <w:bCs/>
          <w:color w:val="131413"/>
          <w:lang w:val="en-US" w:eastAsia="en-US"/>
        </w:rPr>
        <w:t>response addition</w:t>
      </w:r>
      <w:r w:rsidRPr="00747974">
        <w:rPr>
          <w:rFonts w:eastAsiaTheme="minorEastAsia"/>
          <w:color w:val="131413"/>
          <w:lang w:val="en-US" w:eastAsia="en-US"/>
        </w:rPr>
        <w:t xml:space="preserve"> applies (Swartjes and Cornelis, 2011).</w:t>
      </w:r>
      <w:r>
        <w:rPr>
          <w:rFonts w:eastAsiaTheme="minorEastAsia"/>
          <w:color w:val="131413"/>
          <w:lang w:val="en-US" w:eastAsia="en-US"/>
        </w:rPr>
        <w:t xml:space="preserve"> </w:t>
      </w:r>
      <w:r w:rsidRPr="00747974">
        <w:rPr>
          <w:rFonts w:eastAsiaTheme="minorEastAsia"/>
          <w:color w:val="131413"/>
          <w:lang w:val="en-US" w:eastAsia="en-US"/>
        </w:rPr>
        <w:t xml:space="preserve">The effect of combined exposure of organisms can be assessed using the multiple PAF procedure accounting for the </w:t>
      </w:r>
      <w:r w:rsidRPr="00AA3696">
        <w:rPr>
          <w:rFonts w:eastAsiaTheme="minorEastAsia"/>
          <w:b/>
          <w:bCs/>
          <w:color w:val="131413"/>
          <w:lang w:val="en-US" w:eastAsia="en-US"/>
        </w:rPr>
        <w:t>multi-substance Potentially Affected Fraction</w:t>
      </w:r>
      <w:r w:rsidRPr="00747974">
        <w:rPr>
          <w:rFonts w:eastAsiaTheme="minorEastAsia"/>
          <w:color w:val="131413"/>
          <w:lang w:val="en-US" w:eastAsia="en-US"/>
        </w:rPr>
        <w:t xml:space="preserve"> (msPAF)</w:t>
      </w:r>
      <w:r>
        <w:rPr>
          <w:rFonts w:eastAsiaTheme="minorEastAsia"/>
          <w:color w:val="131413"/>
          <w:lang w:val="en-US" w:eastAsia="en-US"/>
        </w:rPr>
        <w:t xml:space="preserve"> </w:t>
      </w:r>
      <w:r w:rsidRPr="00747974">
        <w:rPr>
          <w:rFonts w:eastAsiaTheme="minorEastAsia"/>
          <w:color w:val="131413"/>
          <w:lang w:val="en-US" w:eastAsia="en-US"/>
        </w:rPr>
        <w:t xml:space="preserve">(Posthuma and Suter, 2011). </w:t>
      </w:r>
      <w:r>
        <w:t>Moreover, multiple c</w:t>
      </w:r>
      <w:r w:rsidRPr="00747974">
        <w:t xml:space="preserve">ontaminants may interact and alter their bioavailability, depending on soil properties and ageing (degradation products and metabolites). </w:t>
      </w:r>
    </w:p>
    <w:p w14:paraId="1E082A40" w14:textId="32ABEB4A" w:rsidR="00D35E90" w:rsidRDefault="00D35E90" w:rsidP="00D24035"/>
    <w:p w14:paraId="7216F604" w14:textId="2EFBE0F4" w:rsidR="009B7BC4" w:rsidRPr="009D5972" w:rsidRDefault="009B7BC4" w:rsidP="009B7BC4">
      <w:pPr>
        <w:pStyle w:val="berschrift2"/>
        <w:numPr>
          <w:ilvl w:val="2"/>
          <w:numId w:val="4"/>
        </w:numPr>
        <w:rPr>
          <w:rStyle w:val="FormatvorlageFormatvorlageberschrift3Zchn1"/>
        </w:rPr>
      </w:pPr>
      <w:bookmarkStart w:id="200" w:name="_Toc83997359"/>
      <w:r w:rsidRPr="009B7BC4">
        <w:rPr>
          <w:rStyle w:val="FormatvorlageFormatvorlageberschrift3Zchn1"/>
        </w:rPr>
        <w:t>Mechanisms to trigger action for local and diffuse contamination</w:t>
      </w:r>
      <w:bookmarkEnd w:id="200"/>
    </w:p>
    <w:p w14:paraId="086E4456" w14:textId="77777777" w:rsidR="009B7BC4" w:rsidRDefault="009B7BC4" w:rsidP="00D24035"/>
    <w:p w14:paraId="340A1D56" w14:textId="723302B1" w:rsidR="00D35E90" w:rsidRDefault="00D35E90" w:rsidP="00D24035">
      <w:bookmarkStart w:id="201" w:name="_Toc82701975"/>
      <w:bookmarkStart w:id="202" w:name="_Toc82702013"/>
      <w:bookmarkStart w:id="203" w:name="_Toc82720744"/>
      <w:bookmarkStart w:id="204" w:name="_Toc82701976"/>
      <w:bookmarkStart w:id="205" w:name="_Toc82702014"/>
      <w:bookmarkStart w:id="206" w:name="_Toc82720745"/>
      <w:bookmarkStart w:id="207" w:name="_Toc82701977"/>
      <w:bookmarkStart w:id="208" w:name="_Toc82702015"/>
      <w:bookmarkStart w:id="209" w:name="_Toc82720746"/>
      <w:bookmarkStart w:id="210" w:name="_Toc82701978"/>
      <w:bookmarkStart w:id="211" w:name="_Toc82702016"/>
      <w:bookmarkStart w:id="212" w:name="_Toc82720747"/>
      <w:bookmarkStart w:id="213" w:name="_Toc82701979"/>
      <w:bookmarkStart w:id="214" w:name="_Toc82702017"/>
      <w:bookmarkStart w:id="215" w:name="_Toc82720748"/>
      <w:bookmarkStart w:id="216" w:name="_Toc82701980"/>
      <w:bookmarkStart w:id="217" w:name="_Toc82702018"/>
      <w:bookmarkStart w:id="218" w:name="_Toc82720749"/>
      <w:bookmarkStart w:id="219" w:name="_Toc82701981"/>
      <w:bookmarkStart w:id="220" w:name="_Toc82702019"/>
      <w:bookmarkStart w:id="221" w:name="_Toc82720750"/>
      <w:bookmarkStart w:id="222" w:name="_Toc82701982"/>
      <w:bookmarkStart w:id="223" w:name="_Toc82702020"/>
      <w:bookmarkStart w:id="224" w:name="_Toc82720751"/>
      <w:bookmarkStart w:id="225" w:name="_Toc82701983"/>
      <w:bookmarkStart w:id="226" w:name="_Toc82702021"/>
      <w:bookmarkStart w:id="227" w:name="_Toc82720752"/>
      <w:bookmarkStart w:id="228" w:name="_Toc82701984"/>
      <w:bookmarkStart w:id="229" w:name="_Toc82702022"/>
      <w:bookmarkStart w:id="230" w:name="_Toc82720753"/>
      <w:bookmarkStart w:id="231" w:name="_Toc82701985"/>
      <w:bookmarkStart w:id="232" w:name="_Toc82702023"/>
      <w:bookmarkStart w:id="233" w:name="_Toc82720754"/>
      <w:bookmarkStart w:id="234" w:name="_Toc82701986"/>
      <w:bookmarkStart w:id="235" w:name="_Toc82702024"/>
      <w:bookmarkStart w:id="236" w:name="_Toc82720755"/>
      <w:bookmarkStart w:id="237" w:name="_Toc82701987"/>
      <w:bookmarkStart w:id="238" w:name="_Toc82702025"/>
      <w:bookmarkStart w:id="239" w:name="_Toc82720756"/>
      <w:bookmarkStart w:id="240" w:name="_Toc82701988"/>
      <w:bookmarkStart w:id="241" w:name="_Toc82702026"/>
      <w:bookmarkStart w:id="242" w:name="_Toc82720757"/>
      <w:bookmarkStart w:id="243" w:name="_Toc82701989"/>
      <w:bookmarkStart w:id="244" w:name="_Toc82702027"/>
      <w:bookmarkStart w:id="245" w:name="_Toc82720758"/>
      <w:bookmarkStart w:id="246" w:name="_Toc82701990"/>
      <w:bookmarkStart w:id="247" w:name="_Toc82702028"/>
      <w:bookmarkStart w:id="248" w:name="_Toc82720759"/>
      <w:bookmarkStart w:id="249" w:name="_Toc82701991"/>
      <w:bookmarkStart w:id="250" w:name="_Toc82702029"/>
      <w:bookmarkStart w:id="251" w:name="_Toc82720760"/>
      <w:bookmarkStart w:id="252" w:name="_Toc82701992"/>
      <w:bookmarkStart w:id="253" w:name="_Toc82702030"/>
      <w:bookmarkStart w:id="254" w:name="_Toc82720761"/>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t>When risk-based screening values are exceeded, site specific risk assessment recommends soil remediation (or restoring and rehabilitative land use and management practises, aiming to enable further human use of the soils</w:t>
      </w:r>
      <w:r w:rsidR="00984450">
        <w:t>)</w:t>
      </w:r>
      <w:r>
        <w:t xml:space="preserve">. This concept has predominantly been developed and established for heavily contaminated sites including brownfields, city soils used for playgrounds, or allotments where contact between soil and user is intensive and hence risk levels need to be reduced. </w:t>
      </w:r>
    </w:p>
    <w:p w14:paraId="29FB3F02" w14:textId="77777777" w:rsidR="00984450" w:rsidRDefault="00984450" w:rsidP="00D24035"/>
    <w:p w14:paraId="03143D78" w14:textId="6ABF42B3" w:rsidR="00D35E90" w:rsidRDefault="00D35E90" w:rsidP="00D24035">
      <w:r>
        <w:t xml:space="preserve">A risk-based approach does not a priori differentiate between soils affected by diffuse or point source pollution. When action is required, that is, when </w:t>
      </w:r>
      <w:r w:rsidRPr="00242608">
        <w:rPr>
          <w:b/>
          <w:bCs/>
        </w:rPr>
        <w:t>screening values are exceeded</w:t>
      </w:r>
      <w:r>
        <w:t xml:space="preserve">, management of pollution sources becomes relevant. But for the risk assessment as such (i.e. the evaluation of the current situation in a given location or area), it is not relevant whether a site was affected by diffuse or point sources pollution. However, contaminated sites that are in need of remediation or other action, are largely those who have been affected by point source pollution due to the higher impact of such sources on the quality of soils. </w:t>
      </w:r>
    </w:p>
    <w:p w14:paraId="466ECD87" w14:textId="77777777" w:rsidR="00984450" w:rsidRDefault="00984450" w:rsidP="00D24035"/>
    <w:p w14:paraId="3A86D42D" w14:textId="77777777" w:rsidR="00D35E90" w:rsidRDefault="00D35E90" w:rsidP="00D24035">
      <w:r>
        <w:t>Clearly there is a distinction between soils affected by point source pollution (PSP) versus those that are affected by diffuse pollution (DP) which explains why, until now, most soil remediation actions are confined to PSP:</w:t>
      </w:r>
    </w:p>
    <w:p w14:paraId="618682F0" w14:textId="77777777" w:rsidR="00D35E90" w:rsidRDefault="00D35E90" w:rsidP="009B7BC4">
      <w:pPr>
        <w:pStyle w:val="EEAbullet0"/>
      </w:pPr>
      <w:r>
        <w:t>Contamination levels observed in sites affected by PSP usually are such that action is imminent. Often, effects are obvious such as degraded soil surfaces, visual impact on vegetation (or the lack thereof) as is the case in for example many former mining areas.</w:t>
      </w:r>
    </w:p>
    <w:p w14:paraId="005A11B3" w14:textId="77777777" w:rsidR="00D35E90" w:rsidRDefault="00D35E90" w:rsidP="009B7BC4">
      <w:pPr>
        <w:pStyle w:val="EEAbullet0"/>
      </w:pPr>
      <w:r>
        <w:t>Contamination levels in PSP-affected soil often pose a direct threat to human health resulting from contamination of drinking water, heavily polluted dust particles blowing into nearby housing areas or transfer into the food chain if such soils are used for local crop production as is the case in or near city areas.</w:t>
      </w:r>
    </w:p>
    <w:p w14:paraId="1A65B1B5" w14:textId="77777777" w:rsidR="00D35E90" w:rsidRDefault="00D35E90" w:rsidP="009B7BC4">
      <w:pPr>
        <w:pStyle w:val="EEAbullet0"/>
      </w:pPr>
      <w:r>
        <w:lastRenderedPageBreak/>
        <w:t>Diffuse pollution on the other hand has not yet reached levels at which effects become immediately obvious. The rate of accumulation is - in most cases - far less compared to that of PSP and as of now there are few examples of areas where DP required action. Exceptions include for example areas affected by high industrial emission, formerly introduced as proximity pollution.</w:t>
      </w:r>
    </w:p>
    <w:p w14:paraId="4A5F30A4" w14:textId="77777777" w:rsidR="00D35E90" w:rsidRDefault="00D35E90" w:rsidP="009B7BC4">
      <w:pPr>
        <w:pStyle w:val="EEAbullet0"/>
      </w:pPr>
      <w:r>
        <w:t xml:space="preserve">By nature, DP affects large areas which would imply that possible measures (remediation, monitoring) affect large areas and, by definition, will be very costly. Examples from areas affected by proximity pollution such as the Belgian-Dutch border area of Kempen show that the development of a regional approach to deal with this can take decades and requires, in this specific case, harmonization of risk assessment approaches between member states. </w:t>
      </w:r>
    </w:p>
    <w:p w14:paraId="40D9DB27" w14:textId="77777777" w:rsidR="00D35E90" w:rsidRDefault="00D35E90" w:rsidP="009B7BC4">
      <w:pPr>
        <w:pStyle w:val="EEAbullet0"/>
      </w:pPr>
      <w:r>
        <w:t>So far, DP has not created urgent or visible issues with for example food safety or animal health. This can be misleading though since the slow build-up of contaminants in soil, like for cadmium or lead, can result in a slow but steady increase in exposure to such contaminants. This however is often difficult to quantify since in most industrialised countries in the EU, food usually comes from a vast array of sources and few people depend on food grown in one place. Nevertheless, it was documented (</w:t>
      </w:r>
      <w:r w:rsidRPr="008A77E4">
        <w:t>Rietra et al., 2017)</w:t>
      </w:r>
      <w:r>
        <w:t xml:space="preserve"> that there is a relationship between the average cadmium concentration in soils in the EU and the exposure to cadmium via food. </w:t>
      </w:r>
    </w:p>
    <w:p w14:paraId="00B92F7A" w14:textId="77777777" w:rsidR="00D35E90" w:rsidRDefault="00D35E90" w:rsidP="009B7BC4">
      <w:pPr>
        <w:pStyle w:val="EEAbullet0"/>
      </w:pPr>
      <w:r>
        <w:t>Monitoring soil contamination prone to DP is very difficult or requires long (decades) monitoring intervals. This is mostly because of the low accumulation rate of metals in soil (see e.g. Römkens et al., 2018 for cadmium at EU scale), but also because of the high spatial variability (within a monitoring site). Very small changes in concentration levels over long time spans (5 or 10 years) need to be detected. At present, the assessment of trend for most contaminants is largely model-based.</w:t>
      </w:r>
    </w:p>
    <w:p w14:paraId="5B5F19A9" w14:textId="02DDE35A" w:rsidR="00D35E90" w:rsidRDefault="00D35E90" w:rsidP="009B7BC4">
      <w:pPr>
        <w:pStyle w:val="EEAbullet0"/>
      </w:pPr>
      <w:r>
        <w:t xml:space="preserve">For many of the recently introduced contaminants of concern (e.g. medicines, PFAS, microplastics), DP can be a relevant source to large areas. At present, however, regional data and risk-based limits in soils are largely absent or are in need for validation; for some contaminants of concern, robust analytical techniques to measure actual levels in soil are still being developed, like those for </w:t>
      </w:r>
      <w:r w:rsidR="00BF2CC1">
        <w:t>nanoparticles</w:t>
      </w:r>
      <w:r>
        <w:t xml:space="preserve"> or microplastics. Nevertheless, there is growing concern that if DP is to continue, issues with emerging contaminants can become critical within decades to come such as in case of microplastics (EU, 2018) or PFAS (EU, 2020b).</w:t>
      </w:r>
    </w:p>
    <w:p w14:paraId="3D79CCA8" w14:textId="77777777" w:rsidR="00D35E90" w:rsidRDefault="00D35E90" w:rsidP="00D35E90"/>
    <w:p w14:paraId="04AD1F34" w14:textId="51E5F13D" w:rsidR="00D35E90" w:rsidRDefault="00D35E90" w:rsidP="00D35E90">
      <w:r>
        <w:t xml:space="preserve">Also at EU level, the impact of diffuse pollution has been recognized as a potential issue. The new fertilizer regulation (EU2019/1009) and other policy proposals consider at least partially a risk-based approach with the aim to minimize long-term deterioration of soil quality. Examples for such proposals are end-of-waste criteria for materials like compost and digestate (Saveyn </w:t>
      </w:r>
      <w:r w:rsidR="004F4DBD">
        <w:t>et al.</w:t>
      </w:r>
      <w:r>
        <w:t xml:space="preserve">, 2014) and, more recently, also for upcoming materials like biochar, </w:t>
      </w:r>
      <w:r w:rsidR="00927D94">
        <w:t>struvite,</w:t>
      </w:r>
      <w:r>
        <w:t xml:space="preserve"> or ash (Huygens et al., 2019). These proposals, however, largely target the quality of inputs to soil rather than to the evaluation of soil quality with screening values.</w:t>
      </w:r>
    </w:p>
    <w:p w14:paraId="0092BD06" w14:textId="77777777" w:rsidR="00D35E90" w:rsidRDefault="00D35E90" w:rsidP="00D35E90">
      <w:pPr>
        <w:spacing w:before="120"/>
      </w:pPr>
    </w:p>
    <w:p w14:paraId="186A4C53" w14:textId="77777777" w:rsidR="00D35E90" w:rsidRPr="00813760" w:rsidRDefault="00D35E90" w:rsidP="00D35E90">
      <w:r w:rsidRPr="00813760">
        <w:t xml:space="preserve">Aside from the assessment of the status of an agricultural soil based on the actual concentration of contaminants, expected, likely effects on soil quality are also sometimes used as criterion for required actions. Basically, two policy driven approaches can be distinguished: </w:t>
      </w:r>
    </w:p>
    <w:p w14:paraId="40FEC806" w14:textId="77777777" w:rsidR="00D35E90" w:rsidRPr="00813760" w:rsidRDefault="00D35E90" w:rsidP="00714D8B">
      <w:pPr>
        <w:pStyle w:val="EEAbullet0"/>
      </w:pPr>
      <w:r w:rsidRPr="00813760">
        <w:rPr>
          <w:i/>
          <w:iCs/>
        </w:rPr>
        <w:t>Future concentrations in soil should not exceed the defined screening value at any given point in time</w:t>
      </w:r>
      <w:r w:rsidRPr="00813760">
        <w:t xml:space="preserve"> (or a predefined time window like 100 years from now). Usually, risk-based limits are used to derive meaningful acceptable inputs to soil (e.g. in case of the </w:t>
      </w:r>
      <w:r w:rsidRPr="00813760">
        <w:rPr>
          <w:rFonts w:asciiTheme="majorHAnsi" w:hAnsiTheme="majorHAnsi" w:cstheme="majorHAnsi"/>
          <w:szCs w:val="22"/>
        </w:rPr>
        <w:t xml:space="preserve">Waste Directive referring to the use of sludge in agriculture (86/278/EEC). </w:t>
      </w:r>
      <w:r w:rsidRPr="00813760">
        <w:t xml:space="preserve">In some cases, also background concentrations can be used (except for lithogenic anomalies), even though this would inevitably lead to very strict acceptable loads to soil. </w:t>
      </w:r>
    </w:p>
    <w:p w14:paraId="094C522E" w14:textId="77777777" w:rsidR="00D35E90" w:rsidRPr="00813760" w:rsidRDefault="00D35E90" w:rsidP="00714D8B">
      <w:pPr>
        <w:pStyle w:val="EEAbullet0"/>
      </w:pPr>
      <w:r w:rsidRPr="00813760">
        <w:rPr>
          <w:i/>
          <w:iCs/>
        </w:rPr>
        <w:t>Avoidance of any accumulation of contaminants in soil</w:t>
      </w:r>
      <w:r w:rsidRPr="00813760">
        <w:t xml:space="preserve"> is an alternative approach currently under discussion (see also: </w:t>
      </w:r>
      <w:r w:rsidRPr="00813760">
        <w:rPr>
          <w:b/>
          <w:bCs/>
        </w:rPr>
        <w:t>“stand-still” scenario</w:t>
      </w:r>
      <w:r w:rsidRPr="00813760">
        <w:t>). Inputs to soil shall not exceed outputs including crop uptake and leaching, so as to maintain the current concentration of contaminants (or nutrients, like P). This approach is not risk-based in that the current level is considered the relevant criterion and not so much a level at which effects become unacceptable.</w:t>
      </w:r>
    </w:p>
    <w:p w14:paraId="4FF96F26" w14:textId="77777777" w:rsidR="00D35E90" w:rsidRPr="00813760" w:rsidRDefault="00D35E90" w:rsidP="00D24035"/>
    <w:p w14:paraId="2F29E6BD" w14:textId="3CCE6777" w:rsidR="00D35E90" w:rsidRDefault="00D35E90" w:rsidP="00D24035">
      <w:r w:rsidRPr="00813760">
        <w:lastRenderedPageBreak/>
        <w:t xml:space="preserve">Maintaining soil metal levels at levels that pose no risk to human health and the ecosystem is to be preferred from an environmental point of view. Due to intensive land management including both industrial and agricultural activities from the early 1900’s levels for metals like lead, cadmium or copper in arable soils frequently exceed background levels. This however does not imply that such soils are at risk despite the observed increase in the total contaminant level. </w:t>
      </w:r>
    </w:p>
    <w:p w14:paraId="5564114D" w14:textId="77777777" w:rsidR="00984450" w:rsidRPr="00813760" w:rsidRDefault="00984450" w:rsidP="00D24035"/>
    <w:p w14:paraId="7585A3A5" w14:textId="56E69751" w:rsidR="00D35E90" w:rsidRDefault="00D35E90" w:rsidP="00D24035">
      <w:r w:rsidRPr="00813760">
        <w:t xml:space="preserve">To avoid further loading of contaminant levels in soils it is necessary to strive towards a balance between inputs and outputs such that the net accumulation becomes zero. This approach, also called the stand-still principle thus aims to maintain current levels of contaminants in soil. </w:t>
      </w:r>
    </w:p>
    <w:p w14:paraId="6747DAF6" w14:textId="77777777" w:rsidR="00984450" w:rsidRPr="00813760" w:rsidRDefault="00984450" w:rsidP="00D24035"/>
    <w:p w14:paraId="22E3D99E" w14:textId="24491F39" w:rsidR="00D35E90" w:rsidRDefault="00D35E90" w:rsidP="00D24035">
      <w:r w:rsidRPr="00813760">
        <w:t xml:space="preserve">However, when considering inputs to intensively managed arable cropping systems for example, where inputs of metals like copper, zinc and cadmium exceed average inputs at regional or even national levels, a stand-still principle seems hard to achieve. An input-output balance would require serious reductions of the allowed amount of fertiliser or manure applied. This was shown already in 2004 for zinc (de Vries et al. 2004) and for copper (Groenenberg et al. 2006) at a national scale for the Netherlands. Recently, this spatially explicit approach was applied also at EU level for cadmium (Römkens et al., 2018). </w:t>
      </w:r>
    </w:p>
    <w:p w14:paraId="243F9471" w14:textId="77777777" w:rsidR="00984450" w:rsidRPr="00813760" w:rsidRDefault="00984450" w:rsidP="00D24035"/>
    <w:p w14:paraId="1A2052CD" w14:textId="77777777" w:rsidR="00D35E90" w:rsidRPr="005C56CC" w:rsidRDefault="00D35E90" w:rsidP="00D24035">
      <w:r w:rsidRPr="00813760">
        <w:t>For copper, zinc and cadmium, areas where accumulation occurs are related to soil properties with accumulation prevailing in near neutral, mostly clayey soils, whereas zinc and cadmium are largely lost from soil via leaching in acidic sandy soils. These studies reveal the importance of not only considering current concentrations in soil, but to combine this with a dynamic assessment on inputs to and outputs from soil.  Such a dynamic assessment will reveal if, and if so at what time scale, screening values are to be exceeded.</w:t>
      </w:r>
    </w:p>
    <w:p w14:paraId="65153220" w14:textId="77777777" w:rsidR="00D35E90" w:rsidRDefault="00D35E90" w:rsidP="00927D94">
      <w:pPr>
        <w:spacing w:before="120"/>
      </w:pPr>
    </w:p>
    <w:p w14:paraId="7930E38B" w14:textId="77777777" w:rsidR="00D35E90" w:rsidRPr="00D60BB8" w:rsidRDefault="00D35E90" w:rsidP="0094627F">
      <w:pPr>
        <w:pStyle w:val="EEAStandardbold"/>
      </w:pPr>
      <w:r w:rsidRPr="00D60BB8">
        <w:t>Need to incorporate dynamic models to predict changes with time</w:t>
      </w:r>
    </w:p>
    <w:p w14:paraId="6A69F4D7" w14:textId="77777777" w:rsidR="0094627F" w:rsidRDefault="0094627F" w:rsidP="00D24035"/>
    <w:p w14:paraId="6396373E" w14:textId="20229990" w:rsidR="00D35E90" w:rsidRDefault="00D35E90" w:rsidP="00D24035">
      <w:r>
        <w:t>At present, concentrations of most contaminants in arable, grassland and forest soils are such that relevant critical limits in food or (ground</w:t>
      </w:r>
      <w:proofErr w:type="gramStart"/>
      <w:r>
        <w:t>)water</w:t>
      </w:r>
      <w:proofErr w:type="gramEnd"/>
      <w:r>
        <w:t xml:space="preserve"> are not exceeded (with known exceptions of course like regional issues with cadmium in soils). At the same time there is a growing concern about long term changes and the impact on the ecosystem, water quality and food quality. To evaluate such potential changes, dynamic models such as the one already operational for cadmium (Römkens et al., 2019) are needed. This requires among others information on inputs to the system (atmospheric deposition, inputs related to agricultural use), and outputs from it (crop uptake, leaching). At present, the quality of integrated models to predict such changes over decades is still limited, even for cadmium (note the related high uncertainties to predict leaching of cadmium from soil), and especially for emerging contaminants: robust models as well as data about inputs to soil, and about the fate of substances in the soil-water continuum are needed.</w:t>
      </w:r>
    </w:p>
    <w:p w14:paraId="14D22728" w14:textId="77777777" w:rsidR="00D35E90" w:rsidRDefault="00D35E90" w:rsidP="00D24035"/>
    <w:p w14:paraId="5D34F701" w14:textId="77777777" w:rsidR="00D35E90" w:rsidRDefault="00D35E90" w:rsidP="002C488D">
      <w:pPr>
        <w:pStyle w:val="berschrift2"/>
      </w:pPr>
      <w:bookmarkStart w:id="255" w:name="_Toc82720763"/>
      <w:bookmarkStart w:id="256" w:name="_Toc83997360"/>
      <w:r>
        <w:t>Indicators for soil pollution</w:t>
      </w:r>
      <w:bookmarkEnd w:id="255"/>
      <w:bookmarkEnd w:id="256"/>
    </w:p>
    <w:p w14:paraId="32903D3C" w14:textId="3C0BC24F" w:rsidR="009B7BC4" w:rsidRPr="009D5972" w:rsidRDefault="009B7BC4" w:rsidP="009B7BC4">
      <w:pPr>
        <w:pStyle w:val="berschrift2"/>
        <w:numPr>
          <w:ilvl w:val="2"/>
          <w:numId w:val="4"/>
        </w:numPr>
        <w:rPr>
          <w:rStyle w:val="FormatvorlageFormatvorlageberschrift3Zchn1"/>
        </w:rPr>
      </w:pPr>
      <w:bookmarkStart w:id="257" w:name="_Toc83997361"/>
      <w:bookmarkStart w:id="258" w:name="_Hlk63880557"/>
      <w:r w:rsidRPr="009B7BC4">
        <w:rPr>
          <w:rStyle w:val="FormatvorlageFormatvorlageberschrift3Zchn1"/>
        </w:rPr>
        <w:t>The indicator paradigm</w:t>
      </w:r>
      <w:bookmarkEnd w:id="257"/>
    </w:p>
    <w:p w14:paraId="05B7C06B" w14:textId="77777777" w:rsidR="009B7BC4" w:rsidRDefault="009B7BC4" w:rsidP="00D35E90"/>
    <w:p w14:paraId="2DF5D300" w14:textId="00950842" w:rsidR="00D35E90" w:rsidRDefault="00D35E90" w:rsidP="00D24035">
      <w:r>
        <w:t xml:space="preserve">The objective of an indicator on soil pollution is to make the soil and groundwater pollution status of a contaminated site, region, or country visible, either in numbers or as maps. In </w:t>
      </w:r>
      <w:r w:rsidR="00984450">
        <w:fldChar w:fldCharType="begin"/>
      </w:r>
      <w:r w:rsidR="00984450">
        <w:instrText xml:space="preserve"> REF _Ref82773948 \h </w:instrText>
      </w:r>
      <w:r w:rsidR="00984450">
        <w:fldChar w:fldCharType="separate"/>
      </w:r>
      <w:r w:rsidR="0067767C" w:rsidRPr="00776F43">
        <w:t xml:space="preserve">Table </w:t>
      </w:r>
      <w:r w:rsidR="0067767C">
        <w:rPr>
          <w:noProof/>
        </w:rPr>
        <w:t>5</w:t>
      </w:r>
      <w:r w:rsidR="0067767C">
        <w:noBreakHyphen/>
      </w:r>
      <w:r w:rsidR="0067767C">
        <w:rPr>
          <w:noProof/>
        </w:rPr>
        <w:t>5</w:t>
      </w:r>
      <w:r w:rsidR="00984450">
        <w:fldChar w:fldCharType="end"/>
      </w:r>
      <w:r>
        <w:t xml:space="preserve">, examples are given of indicators for diffuse and point source contamination. </w:t>
      </w:r>
    </w:p>
    <w:p w14:paraId="391D5E02" w14:textId="74A0DDDB" w:rsidR="000D10B2" w:rsidRDefault="000D10B2" w:rsidP="00D24035"/>
    <w:p w14:paraId="5D76E183" w14:textId="12C7A34D" w:rsidR="0094627F" w:rsidRPr="00776F43" w:rsidRDefault="0094627F" w:rsidP="0094627F">
      <w:pPr>
        <w:pStyle w:val="EEALabel"/>
        <w:rPr>
          <w:rFonts w:eastAsia="Calibri"/>
        </w:rPr>
      </w:pPr>
      <w:bookmarkStart w:id="259" w:name="_Ref82773948"/>
      <w:bookmarkStart w:id="260" w:name="_Toc83997519"/>
      <w:r w:rsidRPr="00776F43">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5</w:t>
      </w:r>
      <w:r>
        <w:fldChar w:fldCharType="end"/>
      </w:r>
      <w:bookmarkEnd w:id="259"/>
      <w:r w:rsidRPr="00776F43">
        <w:t>:</w:t>
      </w:r>
      <w:r w:rsidRPr="00776F43">
        <w:rPr>
          <w:rFonts w:eastAsia="Calibri"/>
        </w:rPr>
        <w:tab/>
      </w:r>
      <w:r w:rsidRPr="0094627F">
        <w:rPr>
          <w:rFonts w:eastAsia="Calibri"/>
        </w:rPr>
        <w:t>Indicators for soil pollution</w:t>
      </w:r>
      <w:bookmarkEnd w:id="260"/>
      <w:r w:rsidRPr="0094627F">
        <w:rPr>
          <w:rFonts w:eastAsia="Calibri"/>
        </w:rPr>
        <w:t xml:space="preserve"> </w:t>
      </w:r>
    </w:p>
    <w:p w14:paraId="5A6C222D" w14:textId="3928BA1F" w:rsidR="0094627F" w:rsidRDefault="0094627F" w:rsidP="00D24035"/>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91"/>
        <w:gridCol w:w="4016"/>
        <w:gridCol w:w="3260"/>
      </w:tblGrid>
      <w:tr w:rsidR="00D35E90" w:rsidRPr="00A93DCD" w14:paraId="4701C5E6" w14:textId="77777777" w:rsidTr="00BD6FB8">
        <w:tc>
          <w:tcPr>
            <w:tcW w:w="5807" w:type="dxa"/>
            <w:gridSpan w:val="2"/>
            <w:shd w:val="pct10" w:color="auto" w:fill="auto"/>
            <w:vAlign w:val="center"/>
          </w:tcPr>
          <w:bookmarkEnd w:id="258"/>
          <w:p w14:paraId="66FF1CED" w14:textId="77777777" w:rsidR="00D35E90" w:rsidRPr="00A93DCD" w:rsidRDefault="00D35E90" w:rsidP="009B7BC4">
            <w:pPr>
              <w:pStyle w:val="EEAtableleftbold"/>
              <w:rPr>
                <w:lang w:eastAsia="en-US"/>
              </w:rPr>
            </w:pPr>
            <w:r w:rsidRPr="00A93DCD">
              <w:rPr>
                <w:lang w:val="en-US" w:eastAsia="en-US"/>
              </w:rPr>
              <w:t>Diffuse contamination</w:t>
            </w:r>
          </w:p>
        </w:tc>
        <w:tc>
          <w:tcPr>
            <w:tcW w:w="3260" w:type="dxa"/>
            <w:shd w:val="pct10" w:color="auto" w:fill="auto"/>
          </w:tcPr>
          <w:p w14:paraId="6405A116" w14:textId="77777777" w:rsidR="00D35E90" w:rsidRPr="00A93DCD" w:rsidRDefault="00D35E90" w:rsidP="009B7BC4">
            <w:pPr>
              <w:pStyle w:val="EEAtableleftbold"/>
              <w:rPr>
                <w:lang w:val="en-US" w:eastAsia="en-US"/>
              </w:rPr>
            </w:pPr>
            <w:r>
              <w:rPr>
                <w:lang w:val="en-US" w:eastAsia="en-US"/>
              </w:rPr>
              <w:t>Covered in this report</w:t>
            </w:r>
          </w:p>
        </w:tc>
      </w:tr>
      <w:tr w:rsidR="00D35E90" w:rsidRPr="00032AEB" w14:paraId="1C57AA49" w14:textId="77777777" w:rsidTr="00984450">
        <w:tc>
          <w:tcPr>
            <w:tcW w:w="1791" w:type="dxa"/>
            <w:vMerge w:val="restart"/>
            <w:vAlign w:val="center"/>
          </w:tcPr>
          <w:p w14:paraId="2A11DA87" w14:textId="77777777" w:rsidR="00D35E90" w:rsidRPr="009B7BC4" w:rsidRDefault="00D35E90" w:rsidP="009B7BC4">
            <w:pPr>
              <w:pStyle w:val="EEAtableleft"/>
            </w:pPr>
            <w:r w:rsidRPr="009B7BC4">
              <w:t>Inorganic contaminants</w:t>
            </w:r>
          </w:p>
        </w:tc>
        <w:tc>
          <w:tcPr>
            <w:tcW w:w="4016" w:type="dxa"/>
            <w:vAlign w:val="center"/>
          </w:tcPr>
          <w:p w14:paraId="09F93BF2" w14:textId="77777777" w:rsidR="00D35E90" w:rsidRPr="009B7BC4" w:rsidRDefault="00D35E90" w:rsidP="009B7BC4">
            <w:pPr>
              <w:pStyle w:val="EEAtableleft"/>
            </w:pPr>
            <w:r w:rsidRPr="009B7BC4">
              <w:t>Critical heavy metal contents in excess of national thresholds</w:t>
            </w:r>
          </w:p>
        </w:tc>
        <w:tc>
          <w:tcPr>
            <w:tcW w:w="3260" w:type="dxa"/>
          </w:tcPr>
          <w:p w14:paraId="397D70A8" w14:textId="77777777" w:rsidR="00D35E90" w:rsidRPr="009B7BC4" w:rsidRDefault="00D35E90" w:rsidP="009B7BC4">
            <w:pPr>
              <w:pStyle w:val="EEAtableleft"/>
            </w:pPr>
            <w:r w:rsidRPr="009B7BC4">
              <w:t>Chapter 5 (here)</w:t>
            </w:r>
          </w:p>
        </w:tc>
      </w:tr>
      <w:tr w:rsidR="00D35E90" w:rsidRPr="00032AEB" w14:paraId="6856FDC3" w14:textId="77777777" w:rsidTr="00984450">
        <w:tc>
          <w:tcPr>
            <w:tcW w:w="1791" w:type="dxa"/>
            <w:vMerge/>
            <w:vAlign w:val="center"/>
          </w:tcPr>
          <w:p w14:paraId="6A2C7068" w14:textId="77777777" w:rsidR="00D35E90" w:rsidRPr="009B7BC4" w:rsidRDefault="00D35E90" w:rsidP="009B7BC4">
            <w:pPr>
              <w:pStyle w:val="EEAtableleft"/>
            </w:pPr>
          </w:p>
        </w:tc>
        <w:tc>
          <w:tcPr>
            <w:tcW w:w="4016" w:type="dxa"/>
            <w:vAlign w:val="center"/>
          </w:tcPr>
          <w:p w14:paraId="45E14755" w14:textId="77777777" w:rsidR="00D35E90" w:rsidRPr="009B7BC4" w:rsidRDefault="00D35E90" w:rsidP="009B7BC4">
            <w:pPr>
              <w:pStyle w:val="EEAtableleft"/>
            </w:pPr>
            <w:r w:rsidRPr="009B7BC4">
              <w:t>Critical load exceedance by heavy metals</w:t>
            </w:r>
          </w:p>
        </w:tc>
        <w:tc>
          <w:tcPr>
            <w:tcW w:w="3260" w:type="dxa"/>
          </w:tcPr>
          <w:p w14:paraId="6E7A63E3" w14:textId="77777777" w:rsidR="00D35E90" w:rsidRPr="009B7BC4" w:rsidRDefault="00D35E90" w:rsidP="009B7BC4">
            <w:pPr>
              <w:pStyle w:val="EEAtableleft"/>
            </w:pPr>
          </w:p>
        </w:tc>
      </w:tr>
      <w:tr w:rsidR="00D35E90" w:rsidRPr="00032AEB" w14:paraId="5E633094" w14:textId="77777777" w:rsidTr="00984450">
        <w:tc>
          <w:tcPr>
            <w:tcW w:w="1791" w:type="dxa"/>
            <w:vMerge w:val="restart"/>
            <w:vAlign w:val="center"/>
          </w:tcPr>
          <w:p w14:paraId="6C521D3F" w14:textId="77777777" w:rsidR="00D35E90" w:rsidRPr="009B7BC4" w:rsidRDefault="00D35E90" w:rsidP="009B7BC4">
            <w:pPr>
              <w:pStyle w:val="EEAtableleft"/>
            </w:pPr>
            <w:r w:rsidRPr="009B7BC4">
              <w:lastRenderedPageBreak/>
              <w:t xml:space="preserve">Nutrients and biocides </w:t>
            </w:r>
          </w:p>
        </w:tc>
        <w:tc>
          <w:tcPr>
            <w:tcW w:w="4016" w:type="dxa"/>
            <w:vAlign w:val="center"/>
          </w:tcPr>
          <w:p w14:paraId="2538D9F2" w14:textId="77777777" w:rsidR="00D35E90" w:rsidRPr="009B7BC4" w:rsidRDefault="00D35E90" w:rsidP="009B7BC4">
            <w:pPr>
              <w:pStyle w:val="EEAtableleft"/>
            </w:pPr>
            <w:r w:rsidRPr="009B7BC4">
              <w:t>Area under organic farming</w:t>
            </w:r>
          </w:p>
        </w:tc>
        <w:tc>
          <w:tcPr>
            <w:tcW w:w="3260" w:type="dxa"/>
          </w:tcPr>
          <w:p w14:paraId="110DEDA9" w14:textId="77777777" w:rsidR="00D35E90" w:rsidRPr="009B7BC4" w:rsidRDefault="00D35E90" w:rsidP="009B7BC4">
            <w:pPr>
              <w:pStyle w:val="EEAtableleft"/>
            </w:pPr>
            <w:r w:rsidRPr="009B7BC4">
              <w:t xml:space="preserve">Land use (not dealt with here) </w:t>
            </w:r>
          </w:p>
        </w:tc>
      </w:tr>
      <w:tr w:rsidR="00D35E90" w:rsidRPr="00032AEB" w14:paraId="2A8FA80B" w14:textId="77777777" w:rsidTr="00984450">
        <w:tc>
          <w:tcPr>
            <w:tcW w:w="1791" w:type="dxa"/>
            <w:vMerge/>
            <w:vAlign w:val="center"/>
          </w:tcPr>
          <w:p w14:paraId="1E4B82D9" w14:textId="77777777" w:rsidR="00D35E90" w:rsidRPr="009B7BC4" w:rsidRDefault="00D35E90" w:rsidP="009B7BC4">
            <w:pPr>
              <w:pStyle w:val="EEAtableleft"/>
            </w:pPr>
          </w:p>
        </w:tc>
        <w:tc>
          <w:tcPr>
            <w:tcW w:w="4016" w:type="dxa"/>
            <w:vAlign w:val="center"/>
          </w:tcPr>
          <w:p w14:paraId="51E77395" w14:textId="77777777" w:rsidR="00D35E90" w:rsidRPr="009B7BC4" w:rsidRDefault="00D35E90" w:rsidP="009B7BC4">
            <w:pPr>
              <w:pStyle w:val="EEAtableleft"/>
            </w:pPr>
            <w:r w:rsidRPr="009B7BC4">
              <w:t>Gross nutrient balance</w:t>
            </w:r>
          </w:p>
        </w:tc>
        <w:tc>
          <w:tcPr>
            <w:tcW w:w="3260" w:type="dxa"/>
          </w:tcPr>
          <w:p w14:paraId="3749F02C" w14:textId="77777777" w:rsidR="00D35E90" w:rsidRPr="009B7BC4" w:rsidRDefault="00D35E90" w:rsidP="009B7BC4">
            <w:pPr>
              <w:pStyle w:val="EEAtableleft"/>
            </w:pPr>
            <w:r w:rsidRPr="009B7BC4">
              <w:t>Critical N and P limits (Chapter 3)</w:t>
            </w:r>
          </w:p>
        </w:tc>
      </w:tr>
      <w:tr w:rsidR="00D35E90" w:rsidRPr="00032AEB" w14:paraId="3BB92496" w14:textId="77777777" w:rsidTr="00984450">
        <w:tc>
          <w:tcPr>
            <w:tcW w:w="1791" w:type="dxa"/>
            <w:vAlign w:val="center"/>
          </w:tcPr>
          <w:p w14:paraId="642E8297" w14:textId="77777777" w:rsidR="00D35E90" w:rsidRPr="009B7BC4" w:rsidRDefault="00D35E90" w:rsidP="009B7BC4">
            <w:pPr>
              <w:pStyle w:val="EEAtableleft"/>
            </w:pPr>
            <w:r w:rsidRPr="009B7BC4">
              <w:t>Persistent organic contaminants</w:t>
            </w:r>
          </w:p>
        </w:tc>
        <w:tc>
          <w:tcPr>
            <w:tcW w:w="4016" w:type="dxa"/>
            <w:vAlign w:val="center"/>
          </w:tcPr>
          <w:p w14:paraId="6754B777" w14:textId="77777777" w:rsidR="00D35E90" w:rsidRPr="009B7BC4" w:rsidRDefault="00D35E90" w:rsidP="009B7BC4">
            <w:pPr>
              <w:pStyle w:val="EEAtableleft"/>
            </w:pPr>
            <w:r w:rsidRPr="009B7BC4">
              <w:t>Concentration of persistent organic pollutants (POPs)</w:t>
            </w:r>
          </w:p>
        </w:tc>
        <w:tc>
          <w:tcPr>
            <w:tcW w:w="3260" w:type="dxa"/>
          </w:tcPr>
          <w:p w14:paraId="380F3D8D" w14:textId="77777777" w:rsidR="00D35E90" w:rsidRPr="009B7BC4" w:rsidRDefault="00D35E90" w:rsidP="009B7BC4">
            <w:pPr>
              <w:pStyle w:val="EEAtableleft"/>
            </w:pPr>
            <w:r w:rsidRPr="009B7BC4">
              <w:t>Chapter 5 (here)</w:t>
            </w:r>
          </w:p>
        </w:tc>
      </w:tr>
      <w:tr w:rsidR="00D35E90" w:rsidRPr="00032AEB" w14:paraId="18631359" w14:textId="77777777" w:rsidTr="00984450">
        <w:tc>
          <w:tcPr>
            <w:tcW w:w="1791" w:type="dxa"/>
            <w:vMerge w:val="restart"/>
            <w:vAlign w:val="center"/>
          </w:tcPr>
          <w:p w14:paraId="48BD6A94" w14:textId="77777777" w:rsidR="00D35E90" w:rsidRPr="009B7BC4" w:rsidRDefault="00D35E90" w:rsidP="009B7BC4">
            <w:pPr>
              <w:pStyle w:val="EEAtableleft"/>
            </w:pPr>
            <w:r w:rsidRPr="009B7BC4">
              <w:t>Soil acidifying substances</w:t>
            </w:r>
          </w:p>
        </w:tc>
        <w:tc>
          <w:tcPr>
            <w:tcW w:w="4016" w:type="dxa"/>
            <w:vAlign w:val="center"/>
          </w:tcPr>
          <w:p w14:paraId="25AE92AC" w14:textId="77777777" w:rsidR="00D35E90" w:rsidRPr="009B7BC4" w:rsidRDefault="00D35E90" w:rsidP="009B7BC4">
            <w:pPr>
              <w:pStyle w:val="EEAtableleft"/>
            </w:pPr>
            <w:r w:rsidRPr="009B7BC4">
              <w:t>Topsoil pH</w:t>
            </w:r>
          </w:p>
        </w:tc>
        <w:tc>
          <w:tcPr>
            <w:tcW w:w="3260" w:type="dxa"/>
          </w:tcPr>
          <w:p w14:paraId="353DA155" w14:textId="77777777" w:rsidR="00D35E90" w:rsidRPr="009B7BC4" w:rsidRDefault="00D35E90" w:rsidP="009B7BC4">
            <w:pPr>
              <w:pStyle w:val="EEAtableleft"/>
            </w:pPr>
            <w:r w:rsidRPr="009B7BC4">
              <w:t>Chapter 4</w:t>
            </w:r>
          </w:p>
        </w:tc>
      </w:tr>
      <w:tr w:rsidR="00D35E90" w:rsidRPr="00032AEB" w14:paraId="58023B12" w14:textId="77777777" w:rsidTr="00BD6FB8">
        <w:tc>
          <w:tcPr>
            <w:tcW w:w="1791" w:type="dxa"/>
            <w:vMerge/>
            <w:tcBorders>
              <w:bottom w:val="single" w:sz="4" w:space="0" w:color="auto"/>
            </w:tcBorders>
            <w:vAlign w:val="center"/>
          </w:tcPr>
          <w:p w14:paraId="2BE9EC2A" w14:textId="77777777" w:rsidR="00D35E90" w:rsidRPr="00032AEB" w:rsidRDefault="00D35E90" w:rsidP="007C0E26">
            <w:pPr>
              <w:suppressAutoHyphens w:val="0"/>
              <w:autoSpaceDE w:val="0"/>
              <w:autoSpaceDN w:val="0"/>
              <w:adjustRightInd w:val="0"/>
              <w:jc w:val="left"/>
              <w:rPr>
                <w:rFonts w:ascii="Arial-BoldMT" w:eastAsiaTheme="minorEastAsia" w:hAnsi="Arial-BoldMT" w:cs="Arial-BoldMT"/>
                <w:color w:val="000000"/>
                <w:sz w:val="18"/>
                <w:szCs w:val="18"/>
                <w:lang w:eastAsia="en-US"/>
              </w:rPr>
            </w:pPr>
          </w:p>
        </w:tc>
        <w:tc>
          <w:tcPr>
            <w:tcW w:w="4016" w:type="dxa"/>
            <w:tcBorders>
              <w:bottom w:val="single" w:sz="4" w:space="0" w:color="auto"/>
            </w:tcBorders>
            <w:vAlign w:val="center"/>
          </w:tcPr>
          <w:p w14:paraId="4815CEE4" w14:textId="77777777" w:rsidR="00D35E90" w:rsidRPr="009B7BC4" w:rsidRDefault="00D35E90" w:rsidP="009B7BC4">
            <w:pPr>
              <w:pStyle w:val="EEAtableleft"/>
            </w:pPr>
            <w:r w:rsidRPr="009B7BC4">
              <w:t>Critical load exceedance by sulphur and nitrogen</w:t>
            </w:r>
          </w:p>
        </w:tc>
        <w:tc>
          <w:tcPr>
            <w:tcW w:w="3260" w:type="dxa"/>
            <w:tcBorders>
              <w:bottom w:val="single" w:sz="4" w:space="0" w:color="auto"/>
            </w:tcBorders>
          </w:tcPr>
          <w:p w14:paraId="07AECD2F" w14:textId="77777777" w:rsidR="00D35E90" w:rsidRPr="009B7BC4" w:rsidRDefault="00D35E90" w:rsidP="009B7BC4">
            <w:pPr>
              <w:pStyle w:val="EEAtableleft"/>
            </w:pPr>
            <w:r w:rsidRPr="009B7BC4">
              <w:t>Critical N limits (Chapter 3)</w:t>
            </w:r>
          </w:p>
        </w:tc>
      </w:tr>
      <w:tr w:rsidR="00D35E90" w:rsidRPr="00A93DCD" w14:paraId="49D832E2" w14:textId="77777777" w:rsidTr="00BD6FB8">
        <w:tc>
          <w:tcPr>
            <w:tcW w:w="5807" w:type="dxa"/>
            <w:gridSpan w:val="2"/>
            <w:shd w:val="pct10" w:color="auto" w:fill="auto"/>
            <w:vAlign w:val="center"/>
          </w:tcPr>
          <w:p w14:paraId="68A107D0" w14:textId="77777777" w:rsidR="00D35E90" w:rsidRPr="00A93DCD" w:rsidRDefault="00D35E90" w:rsidP="009B7BC4">
            <w:pPr>
              <w:pStyle w:val="EEAtableleftbold"/>
              <w:rPr>
                <w:lang w:eastAsia="en-US"/>
              </w:rPr>
            </w:pPr>
            <w:r>
              <w:rPr>
                <w:lang w:val="en-US" w:eastAsia="en-US"/>
              </w:rPr>
              <w:t>Point source pollution</w:t>
            </w:r>
          </w:p>
        </w:tc>
        <w:tc>
          <w:tcPr>
            <w:tcW w:w="3260" w:type="dxa"/>
            <w:shd w:val="pct10" w:color="auto" w:fill="auto"/>
          </w:tcPr>
          <w:p w14:paraId="04B5B472" w14:textId="77777777" w:rsidR="00D35E90" w:rsidRPr="00A93DCD" w:rsidRDefault="00D35E90" w:rsidP="009B7BC4">
            <w:pPr>
              <w:pStyle w:val="EEAtableleftbold"/>
              <w:rPr>
                <w:lang w:val="en-US" w:eastAsia="en-US"/>
              </w:rPr>
            </w:pPr>
          </w:p>
        </w:tc>
      </w:tr>
      <w:tr w:rsidR="00D35E90" w:rsidRPr="00087750" w14:paraId="64A3FE5B" w14:textId="77777777" w:rsidTr="00984450">
        <w:tc>
          <w:tcPr>
            <w:tcW w:w="1791" w:type="dxa"/>
            <w:vMerge w:val="restart"/>
            <w:vAlign w:val="center"/>
          </w:tcPr>
          <w:p w14:paraId="0624EE28" w14:textId="77777777" w:rsidR="00D35E90" w:rsidRPr="00032AEB" w:rsidRDefault="00D35E90" w:rsidP="0094627F">
            <w:pPr>
              <w:pStyle w:val="EEAtableleft"/>
              <w:rPr>
                <w:lang w:eastAsia="en-US"/>
              </w:rPr>
            </w:pPr>
            <w:r>
              <w:rPr>
                <w:lang w:val="en-US" w:eastAsia="en-US"/>
              </w:rPr>
              <w:t>C</w:t>
            </w:r>
            <w:r w:rsidRPr="00032AEB">
              <w:rPr>
                <w:lang w:eastAsia="en-US"/>
              </w:rPr>
              <w:t>ontamination by</w:t>
            </w:r>
            <w:r w:rsidRPr="00032AEB">
              <w:rPr>
                <w:lang w:val="en-US" w:eastAsia="en-US"/>
              </w:rPr>
              <w:t xml:space="preserve"> </w:t>
            </w:r>
            <w:r w:rsidRPr="00032AEB">
              <w:rPr>
                <w:lang w:eastAsia="en-US"/>
              </w:rPr>
              <w:t>point sources</w:t>
            </w:r>
          </w:p>
        </w:tc>
        <w:tc>
          <w:tcPr>
            <w:tcW w:w="4016" w:type="dxa"/>
            <w:vAlign w:val="center"/>
          </w:tcPr>
          <w:p w14:paraId="51D13724" w14:textId="77777777" w:rsidR="00D35E90" w:rsidRPr="00032AEB" w:rsidRDefault="00D35E90" w:rsidP="0094627F">
            <w:pPr>
              <w:pStyle w:val="EEAtableleft"/>
              <w:rPr>
                <w:lang w:eastAsia="en-US"/>
              </w:rPr>
            </w:pPr>
            <w:r w:rsidRPr="00032AEB">
              <w:rPr>
                <w:lang w:eastAsia="en-US"/>
              </w:rPr>
              <w:t>Progress in management</w:t>
            </w:r>
            <w:r w:rsidRPr="00032AEB">
              <w:rPr>
                <w:lang w:val="en-US" w:eastAsia="en-US"/>
              </w:rPr>
              <w:t xml:space="preserve"> </w:t>
            </w:r>
            <w:r w:rsidRPr="00032AEB">
              <w:rPr>
                <w:lang w:eastAsia="en-US"/>
              </w:rPr>
              <w:t>of contaminated sites</w:t>
            </w:r>
          </w:p>
        </w:tc>
        <w:tc>
          <w:tcPr>
            <w:tcW w:w="3260" w:type="dxa"/>
          </w:tcPr>
          <w:p w14:paraId="623D4C46" w14:textId="77777777" w:rsidR="00D35E90" w:rsidRPr="00032AEB" w:rsidRDefault="00D35E90" w:rsidP="0094627F">
            <w:pPr>
              <w:pStyle w:val="EEAtableleft"/>
              <w:rPr>
                <w:lang w:eastAsia="en-US"/>
              </w:rPr>
            </w:pPr>
            <w:r w:rsidRPr="00780C44">
              <w:rPr>
                <w:lang w:eastAsia="en-US"/>
              </w:rPr>
              <w:t>Payá Pérez</w:t>
            </w:r>
            <w:r w:rsidRPr="00087750">
              <w:rPr>
                <w:lang w:eastAsia="en-US"/>
              </w:rPr>
              <w:t xml:space="preserve"> and</w:t>
            </w:r>
            <w:r w:rsidRPr="00780C44">
              <w:rPr>
                <w:lang w:eastAsia="en-US"/>
              </w:rPr>
              <w:t xml:space="preserve"> Rodríguez Eugenio (2018)</w:t>
            </w:r>
          </w:p>
        </w:tc>
      </w:tr>
      <w:tr w:rsidR="00D35E90" w:rsidRPr="00032AEB" w14:paraId="192B46B9" w14:textId="77777777" w:rsidTr="00984450">
        <w:tc>
          <w:tcPr>
            <w:tcW w:w="1791" w:type="dxa"/>
            <w:vMerge/>
            <w:vAlign w:val="center"/>
          </w:tcPr>
          <w:p w14:paraId="0261DC9A" w14:textId="77777777" w:rsidR="00D35E90" w:rsidRPr="00032AEB" w:rsidRDefault="00D35E90" w:rsidP="007C0E26">
            <w:pPr>
              <w:suppressAutoHyphens w:val="0"/>
              <w:autoSpaceDE w:val="0"/>
              <w:autoSpaceDN w:val="0"/>
              <w:adjustRightInd w:val="0"/>
              <w:jc w:val="left"/>
              <w:rPr>
                <w:rFonts w:ascii="ArialMT" w:eastAsiaTheme="minorEastAsia" w:hAnsi="ArialMT" w:cs="ArialMT"/>
                <w:color w:val="000000"/>
                <w:sz w:val="18"/>
                <w:szCs w:val="18"/>
                <w:lang w:eastAsia="en-US"/>
              </w:rPr>
            </w:pPr>
          </w:p>
        </w:tc>
        <w:tc>
          <w:tcPr>
            <w:tcW w:w="4016" w:type="dxa"/>
            <w:vAlign w:val="center"/>
          </w:tcPr>
          <w:p w14:paraId="7F58B6DD" w14:textId="77777777" w:rsidR="00D35E90" w:rsidRPr="00032AEB" w:rsidRDefault="00D35E90" w:rsidP="0094627F">
            <w:pPr>
              <w:pStyle w:val="EEAtableleft"/>
              <w:rPr>
                <w:lang w:eastAsia="en-US"/>
              </w:rPr>
            </w:pPr>
            <w:r w:rsidRPr="00032AEB">
              <w:rPr>
                <w:lang w:eastAsia="en-US"/>
              </w:rPr>
              <w:t>New settlement area</w:t>
            </w:r>
            <w:r w:rsidRPr="00032AEB">
              <w:rPr>
                <w:lang w:val="en-US" w:eastAsia="en-US"/>
              </w:rPr>
              <w:t xml:space="preserve"> </w:t>
            </w:r>
            <w:r w:rsidRPr="00032AEB">
              <w:rPr>
                <w:lang w:eastAsia="en-US"/>
              </w:rPr>
              <w:t>established on previously</w:t>
            </w:r>
            <w:r w:rsidRPr="00032AEB">
              <w:rPr>
                <w:lang w:val="en-US" w:eastAsia="en-US"/>
              </w:rPr>
              <w:t xml:space="preserve"> </w:t>
            </w:r>
            <w:r w:rsidRPr="00032AEB">
              <w:rPr>
                <w:lang w:eastAsia="en-US"/>
              </w:rPr>
              <w:t>developed land</w:t>
            </w:r>
          </w:p>
        </w:tc>
        <w:tc>
          <w:tcPr>
            <w:tcW w:w="3260" w:type="dxa"/>
          </w:tcPr>
          <w:p w14:paraId="096C41F7" w14:textId="77777777" w:rsidR="00D35E90" w:rsidRPr="00A9677A" w:rsidRDefault="00D35E90" w:rsidP="0094627F">
            <w:pPr>
              <w:pStyle w:val="EEAtableleft"/>
              <w:rPr>
                <w:i/>
                <w:iCs/>
                <w:lang w:eastAsia="en-US"/>
              </w:rPr>
            </w:pPr>
            <w:r w:rsidRPr="00A9677A">
              <w:rPr>
                <w:i/>
                <w:iCs/>
                <w:lang w:val="en-US" w:eastAsia="en-US"/>
              </w:rPr>
              <w:t>Land use (not dealt with here)</w:t>
            </w:r>
          </w:p>
        </w:tc>
      </w:tr>
      <w:tr w:rsidR="00D35E90" w:rsidRPr="00087750" w14:paraId="0B9DF28D" w14:textId="77777777" w:rsidTr="00984450">
        <w:tc>
          <w:tcPr>
            <w:tcW w:w="1791" w:type="dxa"/>
            <w:vMerge/>
          </w:tcPr>
          <w:p w14:paraId="2C44DE35" w14:textId="77777777" w:rsidR="00D35E90" w:rsidRPr="00032AEB" w:rsidRDefault="00D35E90" w:rsidP="007C0E26">
            <w:pPr>
              <w:suppressAutoHyphens w:val="0"/>
              <w:autoSpaceDE w:val="0"/>
              <w:autoSpaceDN w:val="0"/>
              <w:adjustRightInd w:val="0"/>
              <w:jc w:val="left"/>
              <w:rPr>
                <w:rFonts w:ascii="ArialMT" w:eastAsiaTheme="minorEastAsia" w:hAnsi="ArialMT" w:cs="ArialMT"/>
                <w:color w:val="000000"/>
                <w:sz w:val="18"/>
                <w:szCs w:val="18"/>
                <w:lang w:eastAsia="en-US"/>
              </w:rPr>
            </w:pPr>
          </w:p>
        </w:tc>
        <w:tc>
          <w:tcPr>
            <w:tcW w:w="4016" w:type="dxa"/>
          </w:tcPr>
          <w:p w14:paraId="690D572A" w14:textId="77777777" w:rsidR="00D35E90" w:rsidRPr="00032AEB" w:rsidRDefault="00D35E90" w:rsidP="0094627F">
            <w:pPr>
              <w:pStyle w:val="EEAtableleft"/>
              <w:rPr>
                <w:lang w:eastAsia="en-US"/>
              </w:rPr>
            </w:pPr>
            <w:r w:rsidRPr="00032AEB">
              <w:rPr>
                <w:lang w:eastAsia="en-US"/>
              </w:rPr>
              <w:t xml:space="preserve">Status of site identification </w:t>
            </w:r>
            <w:r>
              <w:rPr>
                <w:lang w:eastAsia="en-US"/>
              </w:rPr>
              <w:t>n</w:t>
            </w:r>
            <w:r w:rsidRPr="00032AEB">
              <w:rPr>
                <w:lang w:eastAsia="en-US"/>
              </w:rPr>
              <w:t>umber</w:t>
            </w:r>
          </w:p>
        </w:tc>
        <w:tc>
          <w:tcPr>
            <w:tcW w:w="3260" w:type="dxa"/>
          </w:tcPr>
          <w:p w14:paraId="3FD5E423" w14:textId="77777777" w:rsidR="00D35E90" w:rsidRPr="00032AEB" w:rsidRDefault="00D35E90" w:rsidP="0094627F">
            <w:pPr>
              <w:pStyle w:val="EEAtableleft"/>
              <w:rPr>
                <w:lang w:eastAsia="en-US"/>
              </w:rPr>
            </w:pPr>
            <w:r w:rsidRPr="00780C44">
              <w:rPr>
                <w:lang w:eastAsia="en-US"/>
              </w:rPr>
              <w:t>Payá Pérez</w:t>
            </w:r>
            <w:r w:rsidRPr="00087750">
              <w:rPr>
                <w:lang w:eastAsia="en-US"/>
              </w:rPr>
              <w:t xml:space="preserve"> and</w:t>
            </w:r>
            <w:r w:rsidRPr="00780C44">
              <w:rPr>
                <w:lang w:eastAsia="en-US"/>
              </w:rPr>
              <w:t xml:space="preserve"> Rodríguez Eugenio (2018)</w:t>
            </w:r>
          </w:p>
        </w:tc>
      </w:tr>
    </w:tbl>
    <w:p w14:paraId="456ECAE9" w14:textId="48D6C51C" w:rsidR="00D35E90" w:rsidRDefault="00454EA7" w:rsidP="00454EA7">
      <w:pPr>
        <w:pStyle w:val="EEASource"/>
        <w:rPr>
          <w:rFonts w:eastAsia="Calibri"/>
        </w:rPr>
      </w:pPr>
      <w:r>
        <w:rPr>
          <w:rFonts w:eastAsia="Calibri"/>
        </w:rPr>
        <w:t xml:space="preserve">Source: </w:t>
      </w:r>
      <w:r>
        <w:rPr>
          <w:rFonts w:eastAsia="Calibri"/>
        </w:rPr>
        <w:tab/>
      </w:r>
      <w:r w:rsidRPr="0094627F">
        <w:rPr>
          <w:rFonts w:eastAsia="Calibri"/>
        </w:rPr>
        <w:t>ENVA</w:t>
      </w:r>
      <w:r>
        <w:rPr>
          <w:rFonts w:eastAsia="Calibri"/>
        </w:rPr>
        <w:t>SSO project; Huber et al., 2008</w:t>
      </w:r>
    </w:p>
    <w:p w14:paraId="68454443" w14:textId="77777777" w:rsidR="00454EA7" w:rsidRPr="00087750" w:rsidRDefault="00454EA7" w:rsidP="00D35E90">
      <w:pPr>
        <w:rPr>
          <w:color w:val="000000" w:themeColor="text1"/>
        </w:rPr>
      </w:pPr>
    </w:p>
    <w:p w14:paraId="466B359E" w14:textId="77777777" w:rsidR="00D35E90" w:rsidRDefault="00D35E90" w:rsidP="009B7BC4">
      <w:pPr>
        <w:pStyle w:val="EEAbullet0"/>
      </w:pPr>
      <w:r>
        <w:t>Indicators on point-source pollution</w:t>
      </w:r>
    </w:p>
    <w:p w14:paraId="19F4DA99" w14:textId="0E066BB3" w:rsidR="00D35E90" w:rsidRDefault="00D35E90" w:rsidP="0094627F">
      <w:pPr>
        <w:pStyle w:val="EEAStandardindent07"/>
      </w:pPr>
      <w:r>
        <w:t xml:space="preserve">Freudenschuss et al. (2001) have distinguished several subindicators (better: statistical parameters), including: soil polluting activity, number of contaminated sites, progress in the management </w:t>
      </w:r>
      <w:proofErr w:type="gramStart"/>
      <w:r>
        <w:t>od</w:t>
      </w:r>
      <w:proofErr w:type="gramEnd"/>
      <w:r>
        <w:t xml:space="preserve"> contaminated sites, expenditures on remediation, and groundwater incidents. Since then, the work has been taken further but the formerly EINOET ad-hoc Working Group Contaminated Sites (now: WG Soil Contamination) in the form of questionnaires related to the EEA Indicator LSI003 “Progress in the management of Contaminated sites”, applying 6 site </w:t>
      </w:r>
      <w:r w:rsidR="00927D94">
        <w:t>statuses</w:t>
      </w:r>
      <w:r>
        <w:t xml:space="preserve"> representing some of the statistics mentioned above (for details see also </w:t>
      </w:r>
      <w:r w:rsidRPr="001064F4">
        <w:t xml:space="preserve">Payá Pérez and Rodríguez Eugenio 2018). </w:t>
      </w:r>
      <w:r>
        <w:t xml:space="preserve">The indicator is now being updated based on the last questionnaire in 2016. Future updates may include polluting activities, dominant </w:t>
      </w:r>
      <w:r w:rsidR="00927D94">
        <w:t>contaminants,</w:t>
      </w:r>
      <w:r>
        <w:t xml:space="preserve"> and spatial reference to regional administrative borders (number of sites per polluting activity and site status per NUTS 3); the proposal is currently in </w:t>
      </w:r>
      <w:r w:rsidR="00927D94">
        <w:t>discussion and</w:t>
      </w:r>
      <w:r>
        <w:t xml:space="preserve"> will address issues raised by </w:t>
      </w:r>
      <w:r w:rsidRPr="00161BB5">
        <w:t>Van-Camp</w:t>
      </w:r>
      <w:r>
        <w:t xml:space="preserve"> et al. (2004). There, the establishment of a European Point Source Assessment System (EPSAS) has been suggested. The development of such a register must be closely aligned with existing data collections about current industrial installations, reported to EEA’s </w:t>
      </w:r>
      <w:r w:rsidRPr="00161BB5">
        <w:t>European Pollutant Release and Transfer Register (E-PRTR)</w:t>
      </w:r>
      <w:r>
        <w:t xml:space="preserve">, and data collections under the Mercury Regulation. </w:t>
      </w:r>
    </w:p>
    <w:p w14:paraId="6172DE25" w14:textId="77777777" w:rsidR="00D35E90" w:rsidRDefault="00D35E90" w:rsidP="00D24035"/>
    <w:p w14:paraId="0EC124FC" w14:textId="77777777" w:rsidR="00D35E90" w:rsidRDefault="00D35E90" w:rsidP="009B7BC4">
      <w:pPr>
        <w:pStyle w:val="EEAbullet0"/>
      </w:pPr>
      <w:r>
        <w:t>Indicators for soil contamination from diffuse sources</w:t>
      </w:r>
    </w:p>
    <w:p w14:paraId="22B48E79" w14:textId="77777777" w:rsidR="00D35E90" w:rsidRDefault="00D35E90" w:rsidP="0094627F">
      <w:pPr>
        <w:pStyle w:val="EEAStandardindent07"/>
      </w:pPr>
      <w:r>
        <w:t xml:space="preserve">The following indicators were suggested during several EIONET workshops (Freudenschuss et al. 2001): </w:t>
      </w:r>
    </w:p>
    <w:p w14:paraId="03CA70E8" w14:textId="77777777" w:rsidR="00D35E90" w:rsidRDefault="00D35E90" w:rsidP="00927D94">
      <w:pPr>
        <w:pStyle w:val="EEAbullet1"/>
        <w:ind w:hanging="227"/>
      </w:pPr>
      <w:r>
        <w:t>Average pesticide consumption per unit area of agricultural land</w:t>
      </w:r>
    </w:p>
    <w:p w14:paraId="085A298F" w14:textId="77777777" w:rsidR="00D35E90" w:rsidRDefault="00D35E90" w:rsidP="00927D94">
      <w:pPr>
        <w:pStyle w:val="EEAbullet1"/>
        <w:ind w:hanging="227"/>
      </w:pPr>
      <w:r>
        <w:t>Sewage sludge application per unit area of agricultural land</w:t>
      </w:r>
    </w:p>
    <w:p w14:paraId="05F90C0C" w14:textId="77777777" w:rsidR="00D35E90" w:rsidRDefault="00D35E90" w:rsidP="00927D94">
      <w:pPr>
        <w:pStyle w:val="EEAbullet1"/>
        <w:ind w:hanging="227"/>
      </w:pPr>
      <w:r>
        <w:t>Exceedance of critical loads of heavy metal contents in soils related to different land uses</w:t>
      </w:r>
    </w:p>
    <w:p w14:paraId="3E4FEB92" w14:textId="77777777" w:rsidR="00D35E90" w:rsidRDefault="00D35E90" w:rsidP="00927D94">
      <w:pPr>
        <w:pStyle w:val="EEAbullet1"/>
        <w:ind w:hanging="227"/>
      </w:pPr>
      <w:r>
        <w:t>Heavy metal balance for agricultural soil</w:t>
      </w:r>
    </w:p>
    <w:p w14:paraId="1B0D1742" w14:textId="77777777" w:rsidR="00D35E90" w:rsidRDefault="00D35E90" w:rsidP="00927D94">
      <w:pPr>
        <w:pStyle w:val="EEAbullet1"/>
        <w:ind w:hanging="227"/>
      </w:pPr>
      <w:r>
        <w:t>Important are also the SOC content and the presence of key soil fauna and organisms.</w:t>
      </w:r>
    </w:p>
    <w:p w14:paraId="0DF8EB9D" w14:textId="77777777" w:rsidR="00023D0E" w:rsidRDefault="00023D0E" w:rsidP="00D24035">
      <w:pPr>
        <w:rPr>
          <w:rStyle w:val="sciprofiles-link"/>
        </w:rPr>
      </w:pPr>
    </w:p>
    <w:p w14:paraId="604202EF" w14:textId="0A8E3E4E" w:rsidR="00D35E90" w:rsidRPr="00D24035" w:rsidRDefault="00D35E90" w:rsidP="00023D0E">
      <w:pPr>
        <w:pStyle w:val="EEAStandardindent07"/>
        <w:rPr>
          <w:rStyle w:val="sciprofiles-link"/>
        </w:rPr>
      </w:pPr>
      <w:r w:rsidRPr="00D24035">
        <w:rPr>
          <w:rStyle w:val="sciprofiles-link"/>
        </w:rPr>
        <w:t xml:space="preserve">A more extend rationale on these parameters and indicators related to diffuse pollution are found in Van-Camp et al. (2004). </w:t>
      </w:r>
      <w:proofErr w:type="gramStart"/>
      <w:r w:rsidRPr="00D24035">
        <w:rPr>
          <w:rStyle w:val="sciprofiles-link"/>
        </w:rPr>
        <w:t>The suggest</w:t>
      </w:r>
      <w:proofErr w:type="gramEnd"/>
      <w:r w:rsidRPr="00D24035">
        <w:rPr>
          <w:rStyle w:val="sciprofiles-link"/>
        </w:rPr>
        <w:t xml:space="preserve"> that the following metals and nutrients could be realistically monitored, recommending 5-10 intervals:</w:t>
      </w:r>
    </w:p>
    <w:p w14:paraId="5F77815C" w14:textId="77777777" w:rsidR="00D35E90" w:rsidRPr="000A1030" w:rsidRDefault="00D35E90" w:rsidP="00927D94">
      <w:pPr>
        <w:pStyle w:val="EEAbullet1"/>
        <w:tabs>
          <w:tab w:val="clear" w:pos="794"/>
        </w:tabs>
        <w:ind w:hanging="227"/>
        <w:rPr>
          <w:rFonts w:eastAsiaTheme="minorEastAsia"/>
          <w:lang w:eastAsia="en-US"/>
        </w:rPr>
      </w:pPr>
      <w:r w:rsidRPr="000A1030">
        <w:rPr>
          <w:rFonts w:eastAsiaTheme="minorEastAsia"/>
          <w:lang w:eastAsia="en-US"/>
        </w:rPr>
        <w:t>Heavy metals (Cadmium, Copper, Lead, Zinc,</w:t>
      </w:r>
      <w:r w:rsidRPr="000A1030">
        <w:rPr>
          <w:rFonts w:eastAsiaTheme="minorEastAsia"/>
          <w:lang w:val="en-US" w:eastAsia="en-US"/>
        </w:rPr>
        <w:t xml:space="preserve"> </w:t>
      </w:r>
      <w:r w:rsidRPr="000A1030">
        <w:rPr>
          <w:rFonts w:eastAsiaTheme="minorEastAsia"/>
          <w:lang w:eastAsia="en-US"/>
        </w:rPr>
        <w:t>Mercury, Arsenic, Nickel and Chromium)</w:t>
      </w:r>
      <w:r>
        <w:rPr>
          <w:rFonts w:eastAsiaTheme="minorEastAsia"/>
          <w:lang w:val="en-US" w:eastAsia="en-US"/>
        </w:rPr>
        <w:t>;</w:t>
      </w:r>
    </w:p>
    <w:p w14:paraId="06AA8DE7" w14:textId="77777777" w:rsidR="00D35E90" w:rsidRPr="000A1030" w:rsidRDefault="00D35E90" w:rsidP="00927D94">
      <w:pPr>
        <w:pStyle w:val="EEAbullet1"/>
        <w:tabs>
          <w:tab w:val="clear" w:pos="794"/>
        </w:tabs>
        <w:ind w:hanging="227"/>
      </w:pPr>
      <w:r w:rsidRPr="000A1030">
        <w:rPr>
          <w:rFonts w:eastAsiaTheme="minorEastAsia"/>
          <w:lang w:eastAsia="en-US"/>
        </w:rPr>
        <w:t>Nutrients (nitrogen and phosphates).</w:t>
      </w:r>
    </w:p>
    <w:p w14:paraId="5B0C7207" w14:textId="77777777" w:rsidR="00023D0E" w:rsidRDefault="00023D0E" w:rsidP="00D24035"/>
    <w:p w14:paraId="58128479" w14:textId="584163A9" w:rsidR="00D35E90" w:rsidRDefault="00D35E90" w:rsidP="00D24035">
      <w:r>
        <w:t>These recommendations were then evaluated and synthesized by Huber et al. (2008), as a suggestion for a European soil monitoring system (</w:t>
      </w:r>
      <w:r w:rsidR="00720259">
        <w:fldChar w:fldCharType="begin"/>
      </w:r>
      <w:r w:rsidR="00720259">
        <w:instrText xml:space="preserve"> REF _Ref82773948 \h </w:instrText>
      </w:r>
      <w:r w:rsidR="00720259">
        <w:fldChar w:fldCharType="separate"/>
      </w:r>
      <w:r w:rsidR="0067767C" w:rsidRPr="00776F43">
        <w:t xml:space="preserve">Table </w:t>
      </w:r>
      <w:r w:rsidR="0067767C">
        <w:rPr>
          <w:noProof/>
        </w:rPr>
        <w:t>5</w:t>
      </w:r>
      <w:r w:rsidR="0067767C">
        <w:noBreakHyphen/>
      </w:r>
      <w:r w:rsidR="0067767C">
        <w:rPr>
          <w:noProof/>
        </w:rPr>
        <w:t>5</w:t>
      </w:r>
      <w:r w:rsidR="00720259">
        <w:fldChar w:fldCharType="end"/>
      </w:r>
      <w:r>
        <w:t xml:space="preserve">). Due to the lack of soil data, and particularly due to the lack of a European political incentive, the definition of an indicator on diffuse soil pollution was until now never </w:t>
      </w:r>
      <w:r>
        <w:lastRenderedPageBreak/>
        <w:t>realized in the EEA or any other soil indicator system. The lack of soil data about heavy metals seems to prevail in many countries (</w:t>
      </w:r>
      <w:r w:rsidRPr="00476474">
        <w:t>Bünemann</w:t>
      </w:r>
      <w:r>
        <w:t xml:space="preserve"> et al. 2018), while progress has been achieved with the LUCAS Soil Survey (starting with the 2009/2012 samplings) (Toth et al. 2013; </w:t>
      </w:r>
      <w:r w:rsidRPr="00BA259B">
        <w:t>Ballabio</w:t>
      </w:r>
      <w:r>
        <w:t xml:space="preserve"> et al. 2018). </w:t>
      </w:r>
    </w:p>
    <w:p w14:paraId="5F33A82C" w14:textId="77777777" w:rsidR="00023D0E" w:rsidRDefault="00023D0E" w:rsidP="00D24035"/>
    <w:p w14:paraId="59710094" w14:textId="77777777" w:rsidR="00D35E90" w:rsidRDefault="00D35E90" w:rsidP="00D24035">
      <w:r>
        <w:t xml:space="preserve">Due to the continued discussion in the EIONET WG Soil Contamination and other networks, a </w:t>
      </w:r>
      <w:r w:rsidRPr="000A1030">
        <w:rPr>
          <w:b/>
          <w:bCs/>
        </w:rPr>
        <w:t>soil pollution indicator on diffuse pollution on metals (e</w:t>
      </w:r>
      <w:bookmarkStart w:id="261" w:name="_Hlk63972456"/>
      <w:bookmarkStart w:id="262" w:name="_Hlk63880652"/>
      <w:r w:rsidRPr="000A1030">
        <w:rPr>
          <w:b/>
          <w:bCs/>
          <w:color w:val="000000" w:themeColor="text1"/>
        </w:rPr>
        <w:t>xceedance of (national) screening values for heavy metals)</w:t>
      </w:r>
      <w:r>
        <w:rPr>
          <w:color w:val="000000" w:themeColor="text1"/>
        </w:rPr>
        <w:t xml:space="preserve"> seems realistic. However, </w:t>
      </w:r>
      <w:bookmarkEnd w:id="261"/>
      <w:bookmarkEnd w:id="262"/>
      <w:r>
        <w:rPr>
          <w:b/>
          <w:bCs/>
        </w:rPr>
        <w:t xml:space="preserve">important is agreement about </w:t>
      </w:r>
      <w:r w:rsidRPr="007F7940">
        <w:rPr>
          <w:b/>
          <w:bCs/>
        </w:rPr>
        <w:t xml:space="preserve">common criteria for the definition of </w:t>
      </w:r>
      <w:r>
        <w:rPr>
          <w:b/>
          <w:bCs/>
        </w:rPr>
        <w:t>thresholds</w:t>
      </w:r>
      <w:r w:rsidRPr="007F7940">
        <w:rPr>
          <w:b/>
          <w:bCs/>
        </w:rPr>
        <w:t xml:space="preserve">. </w:t>
      </w:r>
      <w:r w:rsidRPr="000A1030">
        <w:t>An</w:t>
      </w:r>
      <w:r>
        <w:t>y</w:t>
      </w:r>
      <w:r w:rsidRPr="000A1030">
        <w:t xml:space="preserve"> such an agreement must be based </w:t>
      </w:r>
      <w:r w:rsidRPr="004453A1">
        <w:t>on a common</w:t>
      </w:r>
      <w:r w:rsidRPr="008B364B">
        <w:t xml:space="preserve"> terminolog</w:t>
      </w:r>
      <w:r>
        <w:t xml:space="preserve">y and definitions. The indicator would require broadly valid thresholds, possibly stratified at European level for different soil characteristics and land uses. It must be recognized that because of large differences in soil and climate across EU Member States, the validity of such thresholds would be still limited. For example, soil thresholds aimed at the protection of crop quality for e.g. cadmium, are far </w:t>
      </w:r>
      <w:proofErr w:type="gramStart"/>
      <w:r>
        <w:t>more strict</w:t>
      </w:r>
      <w:proofErr w:type="gramEnd"/>
      <w:r>
        <w:t xml:space="preserve"> in acid soils low in organic matter common in NW parts of the EU compared to those valid for calcareous clay soils in the Mediterranean areas. Agreement on or harmonization of the </w:t>
      </w:r>
      <w:r>
        <w:rPr>
          <w:i/>
          <w:iCs/>
        </w:rPr>
        <w:t>approach</w:t>
      </w:r>
      <w:r>
        <w:t xml:space="preserve"> and underlying assumptions on how to derive meaningful critical limits in soil therefore seems the relevant issue to accompany this indicator with the objective to derive EU wide generic critical limits in soil.</w:t>
      </w:r>
    </w:p>
    <w:p w14:paraId="5F3019D0" w14:textId="77777777" w:rsidR="00D35E90" w:rsidRDefault="00D35E90" w:rsidP="00D24035">
      <w:pPr>
        <w:rPr>
          <w:color w:val="000000" w:themeColor="text1"/>
        </w:rPr>
      </w:pPr>
    </w:p>
    <w:p w14:paraId="25C35F7F" w14:textId="2B939A0B" w:rsidR="0094627F" w:rsidRPr="009D5972" w:rsidRDefault="0094627F" w:rsidP="0094627F">
      <w:pPr>
        <w:pStyle w:val="berschrift2"/>
        <w:numPr>
          <w:ilvl w:val="2"/>
          <w:numId w:val="4"/>
        </w:numPr>
        <w:rPr>
          <w:rStyle w:val="FormatvorlageFormatvorlageberschrift3Zchn1"/>
        </w:rPr>
      </w:pPr>
      <w:bookmarkStart w:id="263" w:name="_Toc83997362"/>
      <w:r w:rsidRPr="0094627F">
        <w:rPr>
          <w:rStyle w:val="FormatvorlageFormatvorlageberschrift3Zchn1"/>
        </w:rPr>
        <w:t>Methodical references</w:t>
      </w:r>
      <w:bookmarkEnd w:id="263"/>
    </w:p>
    <w:p w14:paraId="68A37801" w14:textId="6A8EB54D" w:rsidR="00D35E90" w:rsidRDefault="00D35E90" w:rsidP="00D35E90">
      <w:pPr>
        <w:spacing w:before="120"/>
        <w:rPr>
          <w:color w:val="000000" w:themeColor="text1"/>
        </w:rPr>
      </w:pPr>
      <w:r>
        <w:rPr>
          <w:color w:val="000000" w:themeColor="text1"/>
        </w:rPr>
        <w:t>Different stages are recognised in soil and groundwater sampling:</w:t>
      </w:r>
    </w:p>
    <w:p w14:paraId="623F9AE6" w14:textId="77777777" w:rsidR="00D35E90" w:rsidRDefault="00D35E90" w:rsidP="009B7BC4">
      <w:pPr>
        <w:pStyle w:val="EEAbullet0"/>
      </w:pPr>
      <w:r>
        <w:t>analyses of pollution pattern;</w:t>
      </w:r>
    </w:p>
    <w:p w14:paraId="3D264FE8" w14:textId="77777777" w:rsidR="00D35E90" w:rsidRDefault="00D35E90" w:rsidP="009B7BC4">
      <w:pPr>
        <w:pStyle w:val="EEAbullet0"/>
      </w:pPr>
      <w:r>
        <w:t>development of a sampling protocol;</w:t>
      </w:r>
    </w:p>
    <w:p w14:paraId="01D455C5" w14:textId="77777777" w:rsidR="00D35E90" w:rsidRDefault="00D35E90" w:rsidP="009B7BC4">
      <w:pPr>
        <w:pStyle w:val="EEAbullet0"/>
      </w:pPr>
      <w:r>
        <w:t>sample conservation;</w:t>
      </w:r>
    </w:p>
    <w:p w14:paraId="49EB1BEA" w14:textId="77777777" w:rsidR="00D35E90" w:rsidRDefault="00D35E90" w:rsidP="009B7BC4">
      <w:pPr>
        <w:pStyle w:val="EEAbullet0"/>
      </w:pPr>
      <w:r>
        <w:t>sample analyses in the laboratory;</w:t>
      </w:r>
    </w:p>
    <w:p w14:paraId="5B9AC670" w14:textId="77777777" w:rsidR="00D35E90" w:rsidRDefault="00D35E90" w:rsidP="009B7BC4">
      <w:pPr>
        <w:pStyle w:val="EEAbullet0"/>
      </w:pPr>
      <w:proofErr w:type="gramStart"/>
      <w:r>
        <w:t>data</w:t>
      </w:r>
      <w:proofErr w:type="gramEnd"/>
      <w:r>
        <w:t xml:space="preserve"> interpretation.</w:t>
      </w:r>
    </w:p>
    <w:p w14:paraId="5BBB8CC7" w14:textId="77777777" w:rsidR="00D35E90" w:rsidRDefault="00D35E90" w:rsidP="00D24035"/>
    <w:p w14:paraId="4514A32E" w14:textId="78C83897" w:rsidR="00D35E90" w:rsidRPr="00CA14D1" w:rsidRDefault="00D35E90" w:rsidP="00D24035">
      <w:pPr>
        <w:rPr>
          <w:rFonts w:asciiTheme="majorHAnsi" w:hAnsiTheme="majorHAnsi" w:cstheme="majorHAnsi"/>
          <w:szCs w:val="22"/>
        </w:rPr>
      </w:pPr>
      <w:r w:rsidRPr="00F77501">
        <w:rPr>
          <w:rFonts w:asciiTheme="majorHAnsi" w:hAnsiTheme="majorHAnsi" w:cstheme="majorHAnsi"/>
          <w:szCs w:val="22"/>
        </w:rPr>
        <w:t>The analyses of pollution pattern and the development of a sampling protocol are different for diffuse and point source polluted sites. Since diffuse soil pollution is charact</w:t>
      </w:r>
      <w:r>
        <w:rPr>
          <w:rFonts w:asciiTheme="majorHAnsi" w:hAnsiTheme="majorHAnsi" w:cstheme="majorHAnsi"/>
          <w:szCs w:val="22"/>
        </w:rPr>
        <w:t>e</w:t>
      </w:r>
      <w:r w:rsidRPr="00F77501">
        <w:rPr>
          <w:rFonts w:asciiTheme="majorHAnsi" w:hAnsiTheme="majorHAnsi" w:cstheme="majorHAnsi"/>
          <w:szCs w:val="22"/>
        </w:rPr>
        <w:t xml:space="preserve">rized by a homogeneous </w:t>
      </w:r>
      <w:r>
        <w:rPr>
          <w:rFonts w:asciiTheme="majorHAnsi" w:hAnsiTheme="majorHAnsi" w:cstheme="majorHAnsi"/>
          <w:szCs w:val="22"/>
        </w:rPr>
        <w:t xml:space="preserve">contamination </w:t>
      </w:r>
      <w:r w:rsidRPr="00F77501">
        <w:rPr>
          <w:rFonts w:asciiTheme="majorHAnsi" w:hAnsiTheme="majorHAnsi" w:cstheme="majorHAnsi"/>
          <w:szCs w:val="22"/>
        </w:rPr>
        <w:t>pattern, a limited number of samples and analyses of composite samples is appropriate. For point source polluted sites, several options are available for sampling, depending on the contaminant pattern. In the Netherlands, as an example, a p</w:t>
      </w:r>
      <w:r w:rsidR="00B703AD" w:rsidRPr="00CA14D1">
        <w:rPr>
          <w:rFonts w:asciiTheme="majorHAnsi" w:eastAsiaTheme="minorEastAsia" w:hAnsiTheme="majorHAnsi" w:cstheme="majorHAnsi"/>
          <w:color w:val="131413"/>
          <w:szCs w:val="22"/>
          <w:lang w:val="en-US" w:eastAsia="en-US"/>
        </w:rPr>
        <w:t>preliminary</w:t>
      </w:r>
      <w:r w:rsidRPr="00CA14D1">
        <w:rPr>
          <w:rFonts w:asciiTheme="majorHAnsi" w:eastAsiaTheme="minorEastAsia" w:hAnsiTheme="majorHAnsi" w:cstheme="majorHAnsi"/>
          <w:color w:val="131413"/>
          <w:szCs w:val="22"/>
          <w:lang w:val="en-US" w:eastAsia="en-US"/>
        </w:rPr>
        <w:t xml:space="preserve">, exploratory and main investigation are used (Lamé, 2011). The </w:t>
      </w:r>
      <w:r>
        <w:rPr>
          <w:rFonts w:asciiTheme="majorHAnsi" w:eastAsiaTheme="minorEastAsia" w:hAnsiTheme="majorHAnsi" w:cstheme="majorHAnsi"/>
          <w:color w:val="131413"/>
          <w:szCs w:val="22"/>
          <w:lang w:val="en-US" w:eastAsia="en-US"/>
        </w:rPr>
        <w:t>p</w:t>
      </w:r>
      <w:r w:rsidRPr="00CA14D1">
        <w:rPr>
          <w:rFonts w:asciiTheme="majorHAnsi" w:eastAsiaTheme="minorEastAsia" w:hAnsiTheme="majorHAnsi" w:cstheme="majorHAnsi"/>
          <w:color w:val="131413"/>
          <w:szCs w:val="22"/>
          <w:lang w:val="en-US" w:eastAsia="en-US"/>
        </w:rPr>
        <w:t>reliminary Investigation is a desk study combined with a site visit. A preliminary investigation can be performed both for sites where contamination is expected and for sites that are probably uncontaminated. The main objective of the exploratory investigation is to proof that the assumptions made in the preliminary investigation are indeed correct. The goal of the main investigation is to provide the necessary information to deal with the contamination on a cost</w:t>
      </w:r>
      <w:r>
        <w:rPr>
          <w:rFonts w:asciiTheme="majorHAnsi" w:eastAsiaTheme="minorEastAsia" w:hAnsiTheme="majorHAnsi" w:cstheme="majorHAnsi"/>
          <w:color w:val="131413"/>
          <w:szCs w:val="22"/>
          <w:lang w:val="en-US" w:eastAsia="en-US"/>
        </w:rPr>
        <w:t>-</w:t>
      </w:r>
      <w:r w:rsidRPr="00CA14D1">
        <w:rPr>
          <w:rFonts w:asciiTheme="majorHAnsi" w:eastAsiaTheme="minorEastAsia" w:hAnsiTheme="majorHAnsi" w:cstheme="majorHAnsi"/>
          <w:color w:val="131413"/>
          <w:szCs w:val="22"/>
          <w:lang w:val="en-US" w:eastAsia="en-US"/>
        </w:rPr>
        <w:t>efficient basis. The main Investigation is an iterative process, where after each step the question has to be answered if the available information is ‘fit for purpose’.</w:t>
      </w:r>
      <w:r w:rsidRPr="00CA14D1">
        <w:rPr>
          <w:rFonts w:asciiTheme="majorHAnsi" w:hAnsiTheme="majorHAnsi" w:cstheme="majorHAnsi"/>
          <w:szCs w:val="22"/>
        </w:rPr>
        <w:t xml:space="preserve"> </w:t>
      </w:r>
    </w:p>
    <w:p w14:paraId="43C50356" w14:textId="77777777" w:rsidR="00D35E90" w:rsidRPr="00CA14D1" w:rsidRDefault="00D35E90" w:rsidP="00D24035"/>
    <w:p w14:paraId="781DDC18" w14:textId="77777777" w:rsidR="00D35E90" w:rsidRPr="00101BDE" w:rsidRDefault="00D35E90" w:rsidP="00D24035">
      <w:pPr>
        <w:rPr>
          <w:rFonts w:asciiTheme="majorHAnsi" w:hAnsiTheme="majorHAnsi" w:cstheme="majorHAnsi"/>
          <w:szCs w:val="22"/>
        </w:rPr>
      </w:pPr>
      <w:r w:rsidRPr="00101BDE">
        <w:rPr>
          <w:rFonts w:asciiTheme="majorHAnsi" w:hAnsiTheme="majorHAnsi" w:cstheme="majorHAnsi"/>
          <w:szCs w:val="22"/>
        </w:rPr>
        <w:t xml:space="preserve">Sampling of soil and groundwater has </w:t>
      </w:r>
      <w:r>
        <w:rPr>
          <w:rFonts w:asciiTheme="majorHAnsi" w:hAnsiTheme="majorHAnsi" w:cstheme="majorHAnsi"/>
          <w:szCs w:val="22"/>
        </w:rPr>
        <w:t xml:space="preserve">also </w:t>
      </w:r>
      <w:r w:rsidRPr="00101BDE">
        <w:rPr>
          <w:rFonts w:asciiTheme="majorHAnsi" w:hAnsiTheme="majorHAnsi" w:cstheme="majorHAnsi"/>
          <w:szCs w:val="22"/>
        </w:rPr>
        <w:t>be</w:t>
      </w:r>
      <w:r>
        <w:rPr>
          <w:rFonts w:asciiTheme="majorHAnsi" w:hAnsiTheme="majorHAnsi" w:cstheme="majorHAnsi"/>
          <w:szCs w:val="22"/>
        </w:rPr>
        <w:t>e</w:t>
      </w:r>
      <w:r w:rsidRPr="00101BDE">
        <w:rPr>
          <w:rFonts w:asciiTheme="majorHAnsi" w:hAnsiTheme="majorHAnsi" w:cstheme="majorHAnsi"/>
          <w:szCs w:val="22"/>
        </w:rPr>
        <w:t xml:space="preserve">n described in </w:t>
      </w:r>
      <w:r>
        <w:rPr>
          <w:rFonts w:asciiTheme="majorHAnsi" w:hAnsiTheme="majorHAnsi" w:cstheme="majorHAnsi"/>
          <w:szCs w:val="22"/>
        </w:rPr>
        <w:t xml:space="preserve">international </w:t>
      </w:r>
      <w:r w:rsidRPr="00101BDE">
        <w:rPr>
          <w:rFonts w:asciiTheme="majorHAnsi" w:hAnsiTheme="majorHAnsi" w:cstheme="majorHAnsi"/>
          <w:szCs w:val="22"/>
        </w:rPr>
        <w:t xml:space="preserve">protocols. i.e., for the sampling of soil (ISO, 2018) and for the sampling of groundwater (ISO, 2009). </w:t>
      </w:r>
    </w:p>
    <w:p w14:paraId="2C918D77" w14:textId="77777777" w:rsidR="00D35E90" w:rsidRPr="00101BDE" w:rsidRDefault="00D35E90" w:rsidP="00D24035">
      <w:pPr>
        <w:rPr>
          <w:rFonts w:asciiTheme="majorHAnsi" w:hAnsiTheme="majorHAnsi" w:cstheme="majorHAnsi"/>
          <w:szCs w:val="22"/>
        </w:rPr>
      </w:pPr>
    </w:p>
    <w:p w14:paraId="66ECD4BC" w14:textId="77777777" w:rsidR="00D35E90" w:rsidRDefault="00D35E90" w:rsidP="002C488D">
      <w:pPr>
        <w:pStyle w:val="berschrift2"/>
      </w:pPr>
      <w:bookmarkStart w:id="264" w:name="_Toc82701997"/>
      <w:bookmarkStart w:id="265" w:name="_Toc82702035"/>
      <w:bookmarkStart w:id="266" w:name="_Toc82720766"/>
      <w:bookmarkStart w:id="267" w:name="_Toc82701998"/>
      <w:bookmarkStart w:id="268" w:name="_Toc82702036"/>
      <w:bookmarkStart w:id="269" w:name="_Toc82720767"/>
      <w:bookmarkStart w:id="270" w:name="_Toc82701999"/>
      <w:bookmarkStart w:id="271" w:name="_Toc82702037"/>
      <w:bookmarkStart w:id="272" w:name="_Toc82720768"/>
      <w:bookmarkStart w:id="273" w:name="_Toc82720769"/>
      <w:bookmarkStart w:id="274" w:name="_Toc83997363"/>
      <w:bookmarkEnd w:id="264"/>
      <w:bookmarkEnd w:id="265"/>
      <w:bookmarkEnd w:id="266"/>
      <w:bookmarkEnd w:id="267"/>
      <w:bookmarkEnd w:id="268"/>
      <w:bookmarkEnd w:id="269"/>
      <w:bookmarkEnd w:id="270"/>
      <w:bookmarkEnd w:id="271"/>
      <w:bookmarkEnd w:id="272"/>
      <w:r w:rsidRPr="00D43EF0">
        <w:t>Thresholds: screening values for soil contamination</w:t>
      </w:r>
      <w:bookmarkEnd w:id="273"/>
      <w:bookmarkEnd w:id="274"/>
    </w:p>
    <w:p w14:paraId="79083FB0" w14:textId="1F5643BD" w:rsidR="0094627F" w:rsidRPr="009D5972" w:rsidRDefault="0094627F" w:rsidP="0094627F">
      <w:pPr>
        <w:pStyle w:val="berschrift2"/>
        <w:numPr>
          <w:ilvl w:val="2"/>
          <w:numId w:val="4"/>
        </w:numPr>
        <w:rPr>
          <w:rStyle w:val="FormatvorlageFormatvorlageberschrift3Zchn1"/>
        </w:rPr>
      </w:pPr>
      <w:bookmarkStart w:id="275" w:name="_Toc83997364"/>
      <w:r w:rsidRPr="0094627F">
        <w:rPr>
          <w:rStyle w:val="FormatvorlageFormatvorlageberschrift3Zchn1"/>
        </w:rPr>
        <w:t>The principle of soil pollution thresholds: from screening value to risk prevention</w:t>
      </w:r>
      <w:bookmarkEnd w:id="275"/>
    </w:p>
    <w:p w14:paraId="55B16535" w14:textId="77777777" w:rsidR="0094627F" w:rsidRDefault="0094627F" w:rsidP="00D35E90">
      <w:pPr>
        <w:rPr>
          <w:color w:val="000000" w:themeColor="text1"/>
        </w:rPr>
      </w:pPr>
    </w:p>
    <w:p w14:paraId="3A08FFA3" w14:textId="5CF326B7" w:rsidR="00D35E90" w:rsidRDefault="00D35E90" w:rsidP="00D24035">
      <w:r>
        <w:t xml:space="preserve">To identify whether or not a soil is at risk, that is, whether specific functions attributed to the soil are affected by the contaminant present, it is imperative to connect the quality of the soil under investigation to a specific critical limit or threshold, i.e. screening value (SV), which is related to a specific endpoint or protection target </w:t>
      </w:r>
      <w:r w:rsidRPr="00FC6DF0">
        <w:t xml:space="preserve">(e.g. quality guidelines for drinking water, tolerable daily intake levels via food and other exposure pathways). SV are linked to critical levels in soil via transfer models. Such models depend on representative actually measured concentrations of soil contaminants, or values that are predicted to </w:t>
      </w:r>
      <w:r w:rsidRPr="00FC6DF0">
        <w:lastRenderedPageBreak/>
        <w:t xml:space="preserve">occur within a specific timeframe (de Vries et al., 2007, for Cd: see Römkens et al., 2019). It must be noted that end-points differ depending on the type of receptors. In </w:t>
      </w:r>
      <w:r w:rsidR="00720259">
        <w:fldChar w:fldCharType="begin"/>
      </w:r>
      <w:r w:rsidR="00720259">
        <w:instrText xml:space="preserve"> REF _Ref82774204 \h </w:instrText>
      </w:r>
      <w:r w:rsidR="00720259">
        <w:fldChar w:fldCharType="separate"/>
      </w:r>
      <w:r w:rsidR="0067767C" w:rsidRPr="00776F43">
        <w:t xml:space="preserve">Table </w:t>
      </w:r>
      <w:r w:rsidR="0067767C">
        <w:rPr>
          <w:noProof/>
        </w:rPr>
        <w:t>5</w:t>
      </w:r>
      <w:r w:rsidR="0067767C">
        <w:noBreakHyphen/>
      </w:r>
      <w:r w:rsidR="0067767C">
        <w:rPr>
          <w:noProof/>
        </w:rPr>
        <w:t>2</w:t>
      </w:r>
      <w:r w:rsidR="00720259">
        <w:fldChar w:fldCharType="end"/>
      </w:r>
      <w:r w:rsidRPr="00FC6DF0">
        <w:t>, an overview of relevant end-points and related critical limits are listed. In essence, the endpoint refers to the target to be protected.</w:t>
      </w:r>
    </w:p>
    <w:p w14:paraId="0643F632" w14:textId="77777777" w:rsidR="00D35E90" w:rsidRPr="00FC6DF0" w:rsidRDefault="00D35E90" w:rsidP="00D24035"/>
    <w:p w14:paraId="586FC7FE" w14:textId="72E42380" w:rsidR="00023D0E" w:rsidRDefault="00F55B2B" w:rsidP="00D24035">
      <w:r w:rsidRPr="00023D0E">
        <w:rPr>
          <w:b/>
          <w:bCs/>
          <w:noProof/>
          <w:lang w:eastAsia="en-GB"/>
        </w:rPr>
        <mc:AlternateContent>
          <mc:Choice Requires="wps">
            <w:drawing>
              <wp:anchor distT="45720" distB="45720" distL="114300" distR="114300" simplePos="0" relativeHeight="251739648" behindDoc="0" locked="0" layoutInCell="1" allowOverlap="1" wp14:anchorId="1CFC23AD" wp14:editId="2B66EF79">
                <wp:simplePos x="0" y="0"/>
                <wp:positionH relativeFrom="margin">
                  <wp:align>left</wp:align>
                </wp:positionH>
                <wp:positionV relativeFrom="paragraph">
                  <wp:posOffset>1506400</wp:posOffset>
                </wp:positionV>
                <wp:extent cx="6081395" cy="6348730"/>
                <wp:effectExtent l="0" t="0" r="14605" b="13970"/>
                <wp:wrapTopAndBottom/>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6348730"/>
                        </a:xfrm>
                        <a:prstGeom prst="rect">
                          <a:avLst/>
                        </a:prstGeom>
                        <a:solidFill>
                          <a:schemeClr val="bg1">
                            <a:lumMod val="95000"/>
                          </a:schemeClr>
                        </a:solidFill>
                        <a:ln w="9525">
                          <a:solidFill>
                            <a:srgbClr val="000000"/>
                          </a:solidFill>
                          <a:miter lim="800000"/>
                          <a:headEnd/>
                          <a:tailEnd/>
                        </a:ln>
                      </wps:spPr>
                      <wps:txbx>
                        <w:txbxContent>
                          <w:p w14:paraId="6FD2F1C4" w14:textId="12E2919D" w:rsidR="0067767C" w:rsidRPr="005A1BDB" w:rsidRDefault="0067767C" w:rsidP="00720259">
                            <w:pPr>
                              <w:pStyle w:val="EEALabel"/>
                              <w:rPr>
                                <w:rFonts w:eastAsiaTheme="minorEastAsia"/>
                                <w:bCs/>
                                <w:szCs w:val="22"/>
                                <w:lang w:val="en-US" w:eastAsia="en-US"/>
                              </w:rPr>
                            </w:pPr>
                            <w:bookmarkStart w:id="276" w:name="_Toc83997426"/>
                            <w:r>
                              <w:t xml:space="preserve">Box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Box \* ARABIC \s 1 </w:instrText>
                            </w:r>
                            <w:r>
                              <w:fldChar w:fldCharType="separate"/>
                            </w:r>
                            <w:r>
                              <w:rPr>
                                <w:noProof/>
                              </w:rPr>
                              <w:t>1</w:t>
                            </w:r>
                            <w:r>
                              <w:fldChar w:fldCharType="end"/>
                            </w:r>
                            <w:r w:rsidRPr="005A1BDB">
                              <w:rPr>
                                <w:bCs/>
                              </w:rPr>
                              <w:tab/>
                              <w:t>Key principles of RBLM and related screening values</w:t>
                            </w:r>
                            <w:bookmarkEnd w:id="276"/>
                          </w:p>
                          <w:p w14:paraId="0A91D089" w14:textId="2C78C88B" w:rsidR="0067767C" w:rsidRPr="000A1030" w:rsidRDefault="0067767C" w:rsidP="00023D0E">
                            <w:pPr>
                              <w:spacing w:before="120"/>
                              <w:ind w:left="284" w:right="617"/>
                              <w:rPr>
                                <w:color w:val="000000" w:themeColor="text1"/>
                                <w:sz w:val="20"/>
                              </w:rPr>
                            </w:pPr>
                            <w:r w:rsidRPr="000A1030">
                              <w:rPr>
                                <w:color w:val="000000" w:themeColor="text1"/>
                                <w:sz w:val="20"/>
                              </w:rPr>
                              <w:t xml:space="preserve">In order to avoid risk from pollution towards the consumer, the ecosystem or livestock </w:t>
                            </w:r>
                            <w:r w:rsidRPr="000A1030">
                              <w:rPr>
                                <w:b/>
                                <w:bCs/>
                                <w:color w:val="000000" w:themeColor="text1"/>
                                <w:sz w:val="20"/>
                              </w:rPr>
                              <w:t>risk based land management (RBLM</w:t>
                            </w:r>
                            <w:r w:rsidRPr="000A1030">
                              <w:rPr>
                                <w:color w:val="000000" w:themeColor="text1"/>
                                <w:sz w:val="20"/>
                              </w:rPr>
                              <w:t>) has been developed as restorative or remedial action triggered by the exposure of endpoints. Several methodical steps can be identified how screening values for soils are developed so that the proper management response can be triggered:</w:t>
                            </w:r>
                          </w:p>
                          <w:p w14:paraId="16F9D3A4" w14:textId="439B9EF1" w:rsidR="0067767C" w:rsidRPr="005A1BDB" w:rsidRDefault="0067767C" w:rsidP="00023D0E">
                            <w:pPr>
                              <w:spacing w:before="120"/>
                              <w:ind w:left="284" w:right="618"/>
                              <w:rPr>
                                <w:color w:val="000000" w:themeColor="text1"/>
                                <w:sz w:val="20"/>
                              </w:rPr>
                            </w:pPr>
                            <w:r w:rsidRPr="005A1BDB">
                              <w:rPr>
                                <w:color w:val="000000" w:themeColor="text1"/>
                                <w:sz w:val="20"/>
                              </w:rPr>
                              <w:t xml:space="preserve">Step 1: Relevant critical limits for each form or land use are identified. This can be a single critical limit for example if the main function of an area is to protect drinking water quality but can include multiple criteria if the land use includes multiple relevant endpoints. For agriculture for example it can include both, critical limits in food products, critical limits related to animal health, and critical limits in nearby surface waters (for N and P for example). Each of the critical limits is then converted to a screening value for soil. This screening value represents the acceptable quality of soil below which the function is not affected by the level of contaminants in soil. </w:t>
                            </w:r>
                          </w:p>
                          <w:p w14:paraId="0938F314" w14:textId="68567FF2" w:rsidR="0067767C" w:rsidRPr="005A1BDB" w:rsidRDefault="0067767C" w:rsidP="00023D0E">
                            <w:pPr>
                              <w:spacing w:before="120"/>
                              <w:ind w:left="284" w:right="618"/>
                              <w:rPr>
                                <w:color w:val="000000" w:themeColor="text1"/>
                                <w:sz w:val="20"/>
                              </w:rPr>
                            </w:pPr>
                            <w:r w:rsidRPr="005A1BDB">
                              <w:rPr>
                                <w:color w:val="000000" w:themeColor="text1"/>
                                <w:sz w:val="20"/>
                              </w:rPr>
                              <w:t xml:space="preserve">Step 2 includes the actual assessment, as shown in </w:t>
                            </w:r>
                            <w:r w:rsidRPr="003373FE">
                              <w:rPr>
                                <w:color w:val="000000" w:themeColor="text1"/>
                                <w:sz w:val="20"/>
                              </w:rPr>
                              <w:fldChar w:fldCharType="begin"/>
                            </w:r>
                            <w:r w:rsidRPr="003373FE">
                              <w:rPr>
                                <w:color w:val="000000" w:themeColor="text1"/>
                                <w:sz w:val="20"/>
                              </w:rPr>
                              <w:instrText xml:space="preserve"> REF _Ref82773674 \h </w:instrText>
                            </w:r>
                            <w:r>
                              <w:rPr>
                                <w:color w:val="000000" w:themeColor="text1"/>
                                <w:sz w:val="20"/>
                              </w:rPr>
                              <w:instrText xml:space="preserve"> \* MERGEFORMAT </w:instrText>
                            </w:r>
                            <w:r w:rsidRPr="003373FE">
                              <w:rPr>
                                <w:color w:val="000000" w:themeColor="text1"/>
                                <w:sz w:val="20"/>
                              </w:rPr>
                            </w:r>
                            <w:r w:rsidRPr="003373FE">
                              <w:rPr>
                                <w:color w:val="000000" w:themeColor="text1"/>
                                <w:sz w:val="20"/>
                              </w:rPr>
                              <w:fldChar w:fldCharType="separate"/>
                            </w:r>
                            <w:r w:rsidRPr="0067767C">
                              <w:rPr>
                                <w:sz w:val="20"/>
                              </w:rPr>
                              <w:t xml:space="preserve">Figure </w:t>
                            </w:r>
                            <w:r w:rsidRPr="0067767C">
                              <w:rPr>
                                <w:noProof/>
                                <w:sz w:val="20"/>
                              </w:rPr>
                              <w:t>5</w:t>
                            </w:r>
                            <w:r w:rsidRPr="0067767C">
                              <w:rPr>
                                <w:noProof/>
                                <w:sz w:val="20"/>
                              </w:rPr>
                              <w:noBreakHyphen/>
                              <w:t>2</w:t>
                            </w:r>
                            <w:r w:rsidRPr="003373FE">
                              <w:rPr>
                                <w:color w:val="000000" w:themeColor="text1"/>
                                <w:sz w:val="20"/>
                              </w:rPr>
                              <w:fldChar w:fldCharType="end"/>
                            </w:r>
                            <w:r w:rsidRPr="005A1BDB">
                              <w:rPr>
                                <w:color w:val="000000" w:themeColor="text1"/>
                                <w:sz w:val="20"/>
                              </w:rPr>
                              <w:t xml:space="preserve">. It involves the comparison of the actual quality in soil with relevant SVs. If the actual soil quality exceeds the relevant SV (or minimum of SVs in case of multiple protection goals), site-specific risk assessment follows (for a more comprehensive elaboration of this, see Ehlert et al., 2013). </w:t>
                            </w:r>
                          </w:p>
                          <w:p w14:paraId="5A27828A" w14:textId="77777777" w:rsidR="0067767C" w:rsidRPr="005A1BDB" w:rsidRDefault="0067767C" w:rsidP="00023D0E">
                            <w:pPr>
                              <w:ind w:left="284" w:right="617"/>
                              <w:rPr>
                                <w:color w:val="000000" w:themeColor="text1"/>
                                <w:sz w:val="20"/>
                              </w:rPr>
                            </w:pPr>
                          </w:p>
                          <w:p w14:paraId="38C7CF76" w14:textId="45F54D1E" w:rsidR="0067767C" w:rsidRDefault="0067767C" w:rsidP="00023D0E">
                            <w:pPr>
                              <w:ind w:left="851" w:right="617"/>
                              <w:rPr>
                                <w:color w:val="000000" w:themeColor="text1"/>
                              </w:rPr>
                            </w:pPr>
                            <w:r w:rsidRPr="00285567">
                              <w:rPr>
                                <w:noProof/>
                                <w:lang w:eastAsia="en-GB"/>
                              </w:rPr>
                              <w:drawing>
                                <wp:inline distT="0" distB="0" distL="0" distR="0" wp14:anchorId="5F4A668B" wp14:editId="36E68E7E">
                                  <wp:extent cx="4319270" cy="1801495"/>
                                  <wp:effectExtent l="0" t="0" r="508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9270" cy="1801495"/>
                                          </a:xfrm>
                                          <a:prstGeom prst="rect">
                                            <a:avLst/>
                                          </a:prstGeom>
                                          <a:noFill/>
                                          <a:ln>
                                            <a:noFill/>
                                          </a:ln>
                                        </pic:spPr>
                                      </pic:pic>
                                    </a:graphicData>
                                  </a:graphic>
                                </wp:inline>
                              </w:drawing>
                            </w:r>
                          </w:p>
                          <w:p w14:paraId="675E72DA" w14:textId="77777777" w:rsidR="0067767C" w:rsidRDefault="0067767C" w:rsidP="00023D0E">
                            <w:pPr>
                              <w:ind w:left="851" w:right="617"/>
                              <w:rPr>
                                <w:color w:val="000000" w:themeColor="text1"/>
                              </w:rPr>
                            </w:pPr>
                          </w:p>
                          <w:p w14:paraId="2D68FA5A" w14:textId="77777777" w:rsidR="0067767C" w:rsidRDefault="0067767C" w:rsidP="00023D0E">
                            <w:pPr>
                              <w:ind w:left="851" w:right="617"/>
                              <w:rPr>
                                <w:color w:val="000000" w:themeColor="text1"/>
                              </w:rPr>
                            </w:pPr>
                            <w:r>
                              <w:rPr>
                                <w:noProof/>
                                <w:color w:val="000000" w:themeColor="text1"/>
                                <w:lang w:eastAsia="en-GB"/>
                              </w:rPr>
                              <w:drawing>
                                <wp:inline distT="0" distB="0" distL="0" distR="0" wp14:anchorId="2F590A6A" wp14:editId="05F1556F">
                                  <wp:extent cx="4319905" cy="1128395"/>
                                  <wp:effectExtent l="0" t="0" r="0" b="0"/>
                                  <wp:docPr id="21" name="Grafik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0000" cy="1128960"/>
                                          </a:xfrm>
                                          <a:prstGeom prst="rect">
                                            <a:avLst/>
                                          </a:prstGeom>
                                          <a:noFill/>
                                        </pic:spPr>
                                      </pic:pic>
                                    </a:graphicData>
                                  </a:graphic>
                                </wp:inline>
                              </w:drawing>
                            </w:r>
                          </w:p>
                          <w:p w14:paraId="1B87CE3F" w14:textId="41E3655D" w:rsidR="0067767C" w:rsidRDefault="006776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C23AD" id="Textfeld 2" o:spid="_x0000_s1028" type="#_x0000_t202" style="position:absolute;left:0;text-align:left;margin-left:0;margin-top:118.6pt;width:478.85pt;height:499.9pt;z-index:251739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uDPQIAAGoEAAAOAAAAZHJzL2Uyb0RvYy54bWysVNtu2zAMfR+wfxD0vtjOrYkRp+jSdRjQ&#10;XYB2HyDLsi1MEj1JiZ19fSk5ydLtbdiLIIr0IXkO6c3toBU5COskmIJmk5QSYThU0jQF/f788G5F&#10;ifPMVEyBEQU9Ckdvt2/fbPouF1NoQVXCEgQxLu+7grbed3mSON4KzdwEOmHQWYPVzKNpm6SyrEd0&#10;rZJpmi6THmzVWeDCOXy9H510G/HrWnD/ta6d8EQVFGvz8bTxLMOZbDcsbyzrWslPZbB/qEIzaTDp&#10;BeqeeUb2Vv4FpSW34KD2Ew46gbqWXMQesJss/aObp5Z1IvaC5LjuQpP7f7D8y+GbJbIq6DS7ocQw&#10;jSI9i8HXQlVkGvjpO5dj2FOHgX54DwPqHHt13SPwH44Y2LXMNOLOWuhbwSqsLwtfJlefjjgugJT9&#10;Z6gwDdt7iEBDbXUgD+kgiI46HS/aYCmE4+MyXWWz9YISjr7lbL66mUX1EpafP++s8x8FaBIuBbUo&#10;foRnh0fnQzksP4eEbA6UrB6kUtEIAyd2ypIDw1Epm7FFtddY6/i2XqTpOWWczxAeUV8hKUP6gq4X&#10;08VI0qsstikvORDtCvA6TEuPS6GkLujqEsTyQO0HU8WR9Uyq8Y5dKXPiOtA7Eu2HcjhpV0J1RNYt&#10;jMOPy4qXFuwvSnoc/IK6n3tmBSXqk0Hl1tl8HjYlGvPFzRQNe+0prz3McIQqqKdkvO583K7AqYE7&#10;VLiWkfswCmMlp1pxoCN5p+ULG3Ntx6jfv4jtCwAAAP//AwBQSwMEFAAGAAgAAAAhADZPHE7eAAAA&#10;CQEAAA8AAABkcnMvZG93bnJldi54bWxMj8FOwzAQRO9I/IO1lbhRp0E0NMSpEIhLpQrR0kNvTrxN&#10;IuJ1ZDtt+Hu2JzjuzGj2TbGebC/O6EPnSMFinoBAqp3pqFHwtX+/fwIRoiaje0eo4AcDrMvbm0Ln&#10;xl3oE8+72AguoZBrBW2MQy5lqFu0OszdgMTeyXmrI5++kcbrC5fbXqZJspRWd8QfWj3ga4v19260&#10;Cuy2os2RNs6Yce/f4vLjgKuTUnez6eUZRMQp/oXhis/oUDJT5UYyQfQKeEhUkD5kKQi2V49ZBqLi&#10;HEsJyLKQ/xeUvwAAAP//AwBQSwECLQAUAAYACAAAACEAtoM4kv4AAADhAQAAEwAAAAAAAAAAAAAA&#10;AAAAAAAAW0NvbnRlbnRfVHlwZXNdLnhtbFBLAQItABQABgAIAAAAIQA4/SH/1gAAAJQBAAALAAAA&#10;AAAAAAAAAAAAAC8BAABfcmVscy8ucmVsc1BLAQItABQABgAIAAAAIQDBMFuDPQIAAGoEAAAOAAAA&#10;AAAAAAAAAAAAAC4CAABkcnMvZTJvRG9jLnhtbFBLAQItABQABgAIAAAAIQA2TxxO3gAAAAkBAAAP&#10;AAAAAAAAAAAAAAAAAJcEAABkcnMvZG93bnJldi54bWxQSwUGAAAAAAQABADzAAAAogUAAAAA&#10;" fillcolor="#f2f2f2 [3052]">
                <v:textbox>
                  <w:txbxContent>
                    <w:p w14:paraId="6FD2F1C4" w14:textId="12E2919D" w:rsidR="0067767C" w:rsidRPr="005A1BDB" w:rsidRDefault="0067767C" w:rsidP="00720259">
                      <w:pPr>
                        <w:pStyle w:val="EEALabel"/>
                        <w:rPr>
                          <w:rFonts w:eastAsiaTheme="minorEastAsia"/>
                          <w:bCs/>
                          <w:szCs w:val="22"/>
                          <w:lang w:val="en-US" w:eastAsia="en-US"/>
                        </w:rPr>
                      </w:pPr>
                      <w:bookmarkStart w:id="277" w:name="_Toc83997426"/>
                      <w:r>
                        <w:t xml:space="preserve">Box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Box \* ARABIC \s 1 </w:instrText>
                      </w:r>
                      <w:r>
                        <w:fldChar w:fldCharType="separate"/>
                      </w:r>
                      <w:r>
                        <w:rPr>
                          <w:noProof/>
                        </w:rPr>
                        <w:t>1</w:t>
                      </w:r>
                      <w:r>
                        <w:fldChar w:fldCharType="end"/>
                      </w:r>
                      <w:r w:rsidRPr="005A1BDB">
                        <w:rPr>
                          <w:bCs/>
                        </w:rPr>
                        <w:tab/>
                        <w:t>Key principles of RBLM and related screening values</w:t>
                      </w:r>
                      <w:bookmarkEnd w:id="277"/>
                    </w:p>
                    <w:p w14:paraId="0A91D089" w14:textId="2C78C88B" w:rsidR="0067767C" w:rsidRPr="000A1030" w:rsidRDefault="0067767C" w:rsidP="00023D0E">
                      <w:pPr>
                        <w:spacing w:before="120"/>
                        <w:ind w:left="284" w:right="617"/>
                        <w:rPr>
                          <w:color w:val="000000" w:themeColor="text1"/>
                          <w:sz w:val="20"/>
                        </w:rPr>
                      </w:pPr>
                      <w:r w:rsidRPr="000A1030">
                        <w:rPr>
                          <w:color w:val="000000" w:themeColor="text1"/>
                          <w:sz w:val="20"/>
                        </w:rPr>
                        <w:t xml:space="preserve">In order to avoid risk from pollution towards the consumer, the ecosystem or livestock </w:t>
                      </w:r>
                      <w:r w:rsidRPr="000A1030">
                        <w:rPr>
                          <w:b/>
                          <w:bCs/>
                          <w:color w:val="000000" w:themeColor="text1"/>
                          <w:sz w:val="20"/>
                        </w:rPr>
                        <w:t>risk based land management (RBLM</w:t>
                      </w:r>
                      <w:r w:rsidRPr="000A1030">
                        <w:rPr>
                          <w:color w:val="000000" w:themeColor="text1"/>
                          <w:sz w:val="20"/>
                        </w:rPr>
                        <w:t>) has been developed as restorative or remedial action triggered by the exposure of endpoints. Several methodical steps can be identified how screening values for soils are developed so that the proper management response can be triggered:</w:t>
                      </w:r>
                    </w:p>
                    <w:p w14:paraId="16F9D3A4" w14:textId="439B9EF1" w:rsidR="0067767C" w:rsidRPr="005A1BDB" w:rsidRDefault="0067767C" w:rsidP="00023D0E">
                      <w:pPr>
                        <w:spacing w:before="120"/>
                        <w:ind w:left="284" w:right="618"/>
                        <w:rPr>
                          <w:color w:val="000000" w:themeColor="text1"/>
                          <w:sz w:val="20"/>
                        </w:rPr>
                      </w:pPr>
                      <w:r w:rsidRPr="005A1BDB">
                        <w:rPr>
                          <w:color w:val="000000" w:themeColor="text1"/>
                          <w:sz w:val="20"/>
                        </w:rPr>
                        <w:t xml:space="preserve">Step 1: Relevant critical limits for each form or land use are identified. This can be a single critical limit for example if the main function of an area is to protect drinking water quality but can include multiple criteria if the land use includes multiple relevant endpoints. For agriculture for example it can include both, critical limits in food products, critical limits related to animal health, and critical limits in nearby surface waters (for N and P for example). Each of the critical limits is then converted to a screening value for soil. This screening value represents the acceptable quality of soil below which the function is not affected by the level of contaminants in soil. </w:t>
                      </w:r>
                    </w:p>
                    <w:p w14:paraId="0938F314" w14:textId="68567FF2" w:rsidR="0067767C" w:rsidRPr="005A1BDB" w:rsidRDefault="0067767C" w:rsidP="00023D0E">
                      <w:pPr>
                        <w:spacing w:before="120"/>
                        <w:ind w:left="284" w:right="618"/>
                        <w:rPr>
                          <w:color w:val="000000" w:themeColor="text1"/>
                          <w:sz w:val="20"/>
                        </w:rPr>
                      </w:pPr>
                      <w:r w:rsidRPr="005A1BDB">
                        <w:rPr>
                          <w:color w:val="000000" w:themeColor="text1"/>
                          <w:sz w:val="20"/>
                        </w:rPr>
                        <w:t xml:space="preserve">Step 2 includes the actual assessment, as shown in </w:t>
                      </w:r>
                      <w:r w:rsidRPr="003373FE">
                        <w:rPr>
                          <w:color w:val="000000" w:themeColor="text1"/>
                          <w:sz w:val="20"/>
                        </w:rPr>
                        <w:fldChar w:fldCharType="begin"/>
                      </w:r>
                      <w:r w:rsidRPr="003373FE">
                        <w:rPr>
                          <w:color w:val="000000" w:themeColor="text1"/>
                          <w:sz w:val="20"/>
                        </w:rPr>
                        <w:instrText xml:space="preserve"> REF _Ref82773674 \h </w:instrText>
                      </w:r>
                      <w:r>
                        <w:rPr>
                          <w:color w:val="000000" w:themeColor="text1"/>
                          <w:sz w:val="20"/>
                        </w:rPr>
                        <w:instrText xml:space="preserve"> \* MERGEFORMAT </w:instrText>
                      </w:r>
                      <w:r w:rsidRPr="003373FE">
                        <w:rPr>
                          <w:color w:val="000000" w:themeColor="text1"/>
                          <w:sz w:val="20"/>
                        </w:rPr>
                      </w:r>
                      <w:r w:rsidRPr="003373FE">
                        <w:rPr>
                          <w:color w:val="000000" w:themeColor="text1"/>
                          <w:sz w:val="20"/>
                        </w:rPr>
                        <w:fldChar w:fldCharType="separate"/>
                      </w:r>
                      <w:r w:rsidRPr="0067767C">
                        <w:rPr>
                          <w:sz w:val="20"/>
                        </w:rPr>
                        <w:t xml:space="preserve">Figure </w:t>
                      </w:r>
                      <w:r w:rsidRPr="0067767C">
                        <w:rPr>
                          <w:noProof/>
                          <w:sz w:val="20"/>
                        </w:rPr>
                        <w:t>5</w:t>
                      </w:r>
                      <w:r w:rsidRPr="0067767C">
                        <w:rPr>
                          <w:noProof/>
                          <w:sz w:val="20"/>
                        </w:rPr>
                        <w:noBreakHyphen/>
                        <w:t>2</w:t>
                      </w:r>
                      <w:r w:rsidRPr="003373FE">
                        <w:rPr>
                          <w:color w:val="000000" w:themeColor="text1"/>
                          <w:sz w:val="20"/>
                        </w:rPr>
                        <w:fldChar w:fldCharType="end"/>
                      </w:r>
                      <w:r w:rsidRPr="005A1BDB">
                        <w:rPr>
                          <w:color w:val="000000" w:themeColor="text1"/>
                          <w:sz w:val="20"/>
                        </w:rPr>
                        <w:t xml:space="preserve">. It involves the comparison of the actual quality in soil with relevant SVs. If the actual soil quality exceeds the relevant SV (or minimum of SVs in case of multiple protection goals), site-specific risk assessment follows (for a more comprehensive elaboration of this, see Ehlert et al., 2013). </w:t>
                      </w:r>
                    </w:p>
                    <w:p w14:paraId="5A27828A" w14:textId="77777777" w:rsidR="0067767C" w:rsidRPr="005A1BDB" w:rsidRDefault="0067767C" w:rsidP="00023D0E">
                      <w:pPr>
                        <w:ind w:left="284" w:right="617"/>
                        <w:rPr>
                          <w:color w:val="000000" w:themeColor="text1"/>
                          <w:sz w:val="20"/>
                        </w:rPr>
                      </w:pPr>
                    </w:p>
                    <w:p w14:paraId="38C7CF76" w14:textId="45F54D1E" w:rsidR="0067767C" w:rsidRDefault="0067767C" w:rsidP="00023D0E">
                      <w:pPr>
                        <w:ind w:left="851" w:right="617"/>
                        <w:rPr>
                          <w:color w:val="000000" w:themeColor="text1"/>
                        </w:rPr>
                      </w:pPr>
                      <w:r w:rsidRPr="00285567">
                        <w:rPr>
                          <w:noProof/>
                          <w:lang w:eastAsia="en-GB"/>
                        </w:rPr>
                        <w:drawing>
                          <wp:inline distT="0" distB="0" distL="0" distR="0" wp14:anchorId="5F4A668B" wp14:editId="36E68E7E">
                            <wp:extent cx="4319270" cy="1801495"/>
                            <wp:effectExtent l="0" t="0" r="508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19270" cy="1801495"/>
                                    </a:xfrm>
                                    <a:prstGeom prst="rect">
                                      <a:avLst/>
                                    </a:prstGeom>
                                    <a:noFill/>
                                    <a:ln>
                                      <a:noFill/>
                                    </a:ln>
                                  </pic:spPr>
                                </pic:pic>
                              </a:graphicData>
                            </a:graphic>
                          </wp:inline>
                        </w:drawing>
                      </w:r>
                    </w:p>
                    <w:p w14:paraId="675E72DA" w14:textId="77777777" w:rsidR="0067767C" w:rsidRDefault="0067767C" w:rsidP="00023D0E">
                      <w:pPr>
                        <w:ind w:left="851" w:right="617"/>
                        <w:rPr>
                          <w:color w:val="000000" w:themeColor="text1"/>
                        </w:rPr>
                      </w:pPr>
                    </w:p>
                    <w:p w14:paraId="2D68FA5A" w14:textId="77777777" w:rsidR="0067767C" w:rsidRDefault="0067767C" w:rsidP="00023D0E">
                      <w:pPr>
                        <w:ind w:left="851" w:right="617"/>
                        <w:rPr>
                          <w:color w:val="000000" w:themeColor="text1"/>
                        </w:rPr>
                      </w:pPr>
                      <w:r>
                        <w:rPr>
                          <w:noProof/>
                          <w:color w:val="000000" w:themeColor="text1"/>
                          <w:lang w:eastAsia="en-GB"/>
                        </w:rPr>
                        <w:drawing>
                          <wp:inline distT="0" distB="0" distL="0" distR="0" wp14:anchorId="2F590A6A" wp14:editId="05F1556F">
                            <wp:extent cx="4319905" cy="1128395"/>
                            <wp:effectExtent l="0" t="0" r="0" b="0"/>
                            <wp:docPr id="21" name="Grafik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1128960"/>
                                    </a:xfrm>
                                    <a:prstGeom prst="rect">
                                      <a:avLst/>
                                    </a:prstGeom>
                                    <a:noFill/>
                                  </pic:spPr>
                                </pic:pic>
                              </a:graphicData>
                            </a:graphic>
                          </wp:inline>
                        </w:drawing>
                      </w:r>
                    </w:p>
                    <w:p w14:paraId="1B87CE3F" w14:textId="41E3655D" w:rsidR="0067767C" w:rsidRDefault="0067767C"/>
                  </w:txbxContent>
                </v:textbox>
                <w10:wrap type="topAndBottom" anchorx="margin"/>
              </v:shape>
            </w:pict>
          </mc:Fallback>
        </mc:AlternateContent>
      </w:r>
      <w:r w:rsidR="00D35E90" w:rsidRPr="00FC6DF0">
        <w:t xml:space="preserve">A large variety of screening values (SVs) for different levels of risk have been developed, differing by methodical/scientific and political choices in different countries (see also Carlon et al., 2007). Through parameters such as pH, organic matter or clay, the SVs become soil-specific. In order not to let soil variability limit the application of SV’s, the Dutch system has developed a generic SV using a fixed set of soil properties. Such </w:t>
      </w:r>
      <w:r w:rsidR="00D35E90" w:rsidRPr="00FC6DF0">
        <w:rPr>
          <w:b/>
          <w:bCs/>
        </w:rPr>
        <w:t>SVs for a ‘standard soil’</w:t>
      </w:r>
      <w:r w:rsidR="00D35E90" w:rsidRPr="00FC6DF0">
        <w:t xml:space="preserve"> (a soil with 25% clay and 10% organic matter) are to be used as generic, first-tier national standard. Based on local conditions, </w:t>
      </w:r>
      <w:r w:rsidR="00D35E90" w:rsidRPr="00FC6DF0">
        <w:rPr>
          <w:b/>
          <w:bCs/>
        </w:rPr>
        <w:t>local SVs</w:t>
      </w:r>
      <w:r w:rsidR="00D35E90" w:rsidRPr="00FC6DF0">
        <w:t xml:space="preserve"> can be derived based on an adopted set of correction formulas to convert the generic SV to the local or regional conditions (Wezenbeek et al., 2008)</w:t>
      </w:r>
      <w:r w:rsidR="004E5E41">
        <w:t>.</w:t>
      </w:r>
    </w:p>
    <w:p w14:paraId="1EB3D474" w14:textId="01E615EF" w:rsidR="00023D0E" w:rsidRDefault="00023D0E" w:rsidP="00D24035"/>
    <w:p w14:paraId="2143E80C" w14:textId="7F27FC95" w:rsidR="00023D0E" w:rsidRDefault="00023D0E" w:rsidP="00D24035"/>
    <w:p w14:paraId="1A794F3E" w14:textId="5E2C1099" w:rsidR="003373FE" w:rsidRDefault="003373FE">
      <w:pPr>
        <w:suppressAutoHyphens w:val="0"/>
        <w:jc w:val="left"/>
      </w:pPr>
      <w:r>
        <w:br w:type="page"/>
      </w:r>
    </w:p>
    <w:p w14:paraId="0A58D8C1" w14:textId="4CE41822" w:rsidR="00D35E90" w:rsidRPr="005C56CC" w:rsidRDefault="00D35E90" w:rsidP="00D24035">
      <w:pPr>
        <w:rPr>
          <w:szCs w:val="22"/>
        </w:rPr>
      </w:pPr>
      <w:r>
        <w:lastRenderedPageBreak/>
        <w:t xml:space="preserve">As stated earlier, risk limits or screening values derived based on RBLM-principles need to be consistent in </w:t>
      </w:r>
      <w:r w:rsidRPr="00030B69">
        <w:t>both</w:t>
      </w:r>
      <w:r w:rsidR="00030B69" w:rsidRPr="00030B69">
        <w:t>,</w:t>
      </w:r>
      <w:r w:rsidRPr="00030B69">
        <w:t xml:space="preserve"> endpoint</w:t>
      </w:r>
      <w:r w:rsidR="00030B69" w:rsidRPr="00030B69">
        <w:t>s</w:t>
      </w:r>
      <w:r w:rsidRPr="00030B69">
        <w:t xml:space="preserve"> addressed (human, ecosystem) ánd protection level</w:t>
      </w:r>
      <w:r w:rsidR="00C867D4">
        <w:t>,</w:t>
      </w:r>
      <w:r>
        <w:t xml:space="preserve"> in order to be comparable. And even then, the resulting national screening value or risk limit can depend on for example soil properties. Uptake of metals by crops for example depends (for metals) on pH and, in some cases, organic </w:t>
      </w:r>
      <w:r w:rsidRPr="005C56CC">
        <w:rPr>
          <w:szCs w:val="22"/>
        </w:rPr>
        <w:t xml:space="preserve">matter. </w:t>
      </w:r>
      <w:r w:rsidRPr="00B537AB">
        <w:rPr>
          <w:szCs w:val="22"/>
        </w:rPr>
        <w:t>This means that given a critical l</w:t>
      </w:r>
      <w:r w:rsidRPr="00322E05">
        <w:rPr>
          <w:szCs w:val="22"/>
        </w:rPr>
        <w:t xml:space="preserve">imit in food (for example as defined for cadmium and lead in </w:t>
      </w:r>
      <w:r w:rsidRPr="00813760">
        <w:rPr>
          <w:rStyle w:val="Hervorhebung"/>
          <w:i w:val="0"/>
          <w:iCs w:val="0"/>
          <w:szCs w:val="22"/>
        </w:rPr>
        <w:t>Regulation</w:t>
      </w:r>
      <w:r w:rsidRPr="005C56CC">
        <w:rPr>
          <w:rStyle w:val="acopre"/>
          <w:szCs w:val="22"/>
        </w:rPr>
        <w:t xml:space="preserve"> (</w:t>
      </w:r>
      <w:r w:rsidRPr="00813760">
        <w:rPr>
          <w:rStyle w:val="Hervorhebung"/>
          <w:i w:val="0"/>
          <w:iCs w:val="0"/>
          <w:szCs w:val="22"/>
        </w:rPr>
        <w:t>EC</w:t>
      </w:r>
      <w:r w:rsidRPr="005C56CC">
        <w:rPr>
          <w:rStyle w:val="acopre"/>
          <w:szCs w:val="22"/>
        </w:rPr>
        <w:t>) No 2006</w:t>
      </w:r>
      <w:r w:rsidRPr="00B537AB">
        <w:rPr>
          <w:rStyle w:val="acopre"/>
          <w:szCs w:val="22"/>
        </w:rPr>
        <w:t>/1881</w:t>
      </w:r>
      <w:r>
        <w:rPr>
          <w:rStyle w:val="acopre"/>
          <w:szCs w:val="22"/>
        </w:rPr>
        <w:t>) the resulting screening level in soil derived from this varies according to soil pH and or organics matter content. This can even be the case on a regional level and a first step to correct for this is to use default soil properties (e</w:t>
      </w:r>
      <w:r w:rsidR="00C867D4">
        <w:rPr>
          <w:rStyle w:val="acopre"/>
          <w:szCs w:val="22"/>
        </w:rPr>
        <w:t>.</w:t>
      </w:r>
      <w:r>
        <w:rPr>
          <w:rStyle w:val="acopre"/>
          <w:szCs w:val="22"/>
        </w:rPr>
        <w:t>g</w:t>
      </w:r>
      <w:r w:rsidR="00C867D4">
        <w:rPr>
          <w:rStyle w:val="acopre"/>
          <w:szCs w:val="22"/>
        </w:rPr>
        <w:t>.,</w:t>
      </w:r>
      <w:r>
        <w:rPr>
          <w:rStyle w:val="acopre"/>
          <w:szCs w:val="22"/>
        </w:rPr>
        <w:t xml:space="preserve"> soil pH, organic matter or clay) to derive a ‘standard’ screening value (as is done in the Netherlands using a fixed content for organic matter and clay content). When applied locally or regionally, local or regional screening values are derived using regional (or local in case of point source pollution) soil data.</w:t>
      </w:r>
    </w:p>
    <w:p w14:paraId="0D800FA6" w14:textId="77777777" w:rsidR="00D35E90" w:rsidRDefault="00D35E90" w:rsidP="00D24035"/>
    <w:p w14:paraId="5D3B8D2B" w14:textId="5FFCAE98" w:rsidR="0094627F" w:rsidRPr="009D5972" w:rsidRDefault="0094627F" w:rsidP="0094627F">
      <w:pPr>
        <w:pStyle w:val="berschrift2"/>
        <w:numPr>
          <w:ilvl w:val="2"/>
          <w:numId w:val="4"/>
        </w:numPr>
        <w:rPr>
          <w:rStyle w:val="FormatvorlageFormatvorlageberschrift3Zchn1"/>
        </w:rPr>
      </w:pPr>
      <w:bookmarkStart w:id="277" w:name="_Toc83997365"/>
      <w:r w:rsidRPr="0094627F">
        <w:rPr>
          <w:rStyle w:val="FormatvorlageFormatvorlageberschrift3Zchn1"/>
        </w:rPr>
        <w:t>Knowledge base regarding thresholds for soil contamination</w:t>
      </w:r>
      <w:bookmarkEnd w:id="277"/>
    </w:p>
    <w:p w14:paraId="2909090C" w14:textId="77777777" w:rsidR="0094627F" w:rsidRDefault="0094627F" w:rsidP="00D24035"/>
    <w:p w14:paraId="53F7740E" w14:textId="64367B2F" w:rsidR="00D35E90" w:rsidRDefault="00D35E90" w:rsidP="00D24035">
      <w:r>
        <w:t xml:space="preserve">A vast variety of thresholds in particular for heavy metals have been developed in many countries, for both point source and diffuse soil pollution. As shown below, screening values as a specific kind of threshold, have been derived from, and for, risk assessment methods, of which many different approaches exist (Swartjes et al., 2009). </w:t>
      </w:r>
    </w:p>
    <w:p w14:paraId="1920AA9F" w14:textId="77777777" w:rsidR="00984450" w:rsidRDefault="00984450" w:rsidP="00D24035"/>
    <w:p w14:paraId="572C24DC" w14:textId="1B03224D" w:rsidR="00D35E90" w:rsidRDefault="00D35E90" w:rsidP="00D24035">
      <w:r>
        <w:t>At present, most thresholds consider a critical endpoint to be protected, usually human health and the (soil</w:t>
      </w:r>
      <w:proofErr w:type="gramStart"/>
      <w:r>
        <w:t>)ecosystem</w:t>
      </w:r>
      <w:proofErr w:type="gramEnd"/>
      <w:r>
        <w:t>. Other end points often used are groundwater, drinking water and surface water (Carlon and Swartjes, 2007). In some countries, wildlife, animal products, or crops are considered as end points. Current UK (Soil Guideline Values), German (BMU 2020) or Dutch intervention values, for example, are based on effects to humans and the ecosystem. They also share a common approach in that risk assessment is at the core of the system to derive screening values that depend on the actual land use. By relating exposure to acceptable exposure (e.g., TDI or access cancer risk) of human beings</w:t>
      </w:r>
      <w:r>
        <w:rPr>
          <w:rStyle w:val="Funotenzeichen"/>
        </w:rPr>
        <w:footnoteReference w:id="44"/>
      </w:r>
      <w:r>
        <w:t>, a human health-based threshold results. By selection of a Potentially Affected fraction (PAF) of organisms, an ecology-based threshold can be derived from a species sensitivity distribution (Posthuma and Suter, 2011). In case of the Dutch approach, the minimum of the human health-based and ecology-based value serves as the final threshold</w:t>
      </w:r>
      <w:r w:rsidRPr="00C462A6">
        <w:t xml:space="preserve"> in soil.</w:t>
      </w:r>
      <w:r>
        <w:t xml:space="preserve"> Similar approaches have been adopted by other Member States, but the assumptions underlying the models considering the variation in soil across the EU, has resulted in a wide range of screening values (Swartjes et al., 2007). </w:t>
      </w:r>
    </w:p>
    <w:p w14:paraId="624797F9" w14:textId="77777777" w:rsidR="00984450" w:rsidRDefault="00984450" w:rsidP="00D24035"/>
    <w:p w14:paraId="538EFBB7" w14:textId="34CBDE54" w:rsidR="00D35E90" w:rsidRDefault="00D35E90" w:rsidP="00D24035">
      <w:r>
        <w:t xml:space="preserve">Despite the inherent range in thresholds across member states, there is a common principle underlying most risk assessment schemes developed so far. The following main groups of thresholds are commonly used (see </w:t>
      </w:r>
      <w:r w:rsidRPr="00454EA7">
        <w:t xml:space="preserve">also </w:t>
      </w:r>
      <w:r w:rsidR="00984450" w:rsidRPr="00454EA7">
        <w:fldChar w:fldCharType="begin"/>
      </w:r>
      <w:r w:rsidR="00984450" w:rsidRPr="00454EA7">
        <w:instrText xml:space="preserve"> REF _Ref82773635 \h </w:instrText>
      </w:r>
      <w:r w:rsidR="00454EA7" w:rsidRPr="00454EA7">
        <w:instrText xml:space="preserve"> \* MERGEFORMAT </w:instrText>
      </w:r>
      <w:r w:rsidR="00984450" w:rsidRPr="00454EA7">
        <w:fldChar w:fldCharType="separate"/>
      </w:r>
      <w:r w:rsidR="0067767C" w:rsidRPr="0067767C">
        <w:rPr>
          <w:bCs/>
        </w:rPr>
        <w:t xml:space="preserve">Figure </w:t>
      </w:r>
      <w:r w:rsidR="0067767C" w:rsidRPr="0067767C">
        <w:rPr>
          <w:bCs/>
          <w:noProof/>
        </w:rPr>
        <w:t>5</w:t>
      </w:r>
      <w:r w:rsidR="0067767C" w:rsidRPr="0067767C">
        <w:rPr>
          <w:bCs/>
          <w:noProof/>
        </w:rPr>
        <w:noBreakHyphen/>
        <w:t>1</w:t>
      </w:r>
      <w:r w:rsidR="00984450" w:rsidRPr="00454EA7">
        <w:fldChar w:fldCharType="end"/>
      </w:r>
      <w:r w:rsidRPr="00454EA7">
        <w:t>):</w:t>
      </w:r>
    </w:p>
    <w:p w14:paraId="2F5B759F" w14:textId="77777777" w:rsidR="00D35E90" w:rsidRDefault="00D35E90" w:rsidP="00D24035"/>
    <w:p w14:paraId="62BC1BF1" w14:textId="7277C3E4" w:rsidR="00D35E90" w:rsidRDefault="00D35E90" w:rsidP="00D24035">
      <w:r w:rsidRPr="00746724">
        <w:rPr>
          <w:b/>
          <w:bCs/>
        </w:rPr>
        <w:t>Threshold</w:t>
      </w:r>
      <w:r>
        <w:t xml:space="preserve"> as an overall term can be specified into background and screening values as schematised in </w:t>
      </w:r>
      <w:r w:rsidR="00984450">
        <w:fldChar w:fldCharType="begin"/>
      </w:r>
      <w:r w:rsidR="00984450">
        <w:instrText xml:space="preserve"> REF _Ref82773674 \h </w:instrText>
      </w:r>
      <w:r w:rsidR="00984450">
        <w:fldChar w:fldCharType="separate"/>
      </w:r>
      <w:r w:rsidR="0067767C" w:rsidRPr="001D46F1">
        <w:t xml:space="preserve">Figure </w:t>
      </w:r>
      <w:r w:rsidR="0067767C">
        <w:rPr>
          <w:noProof/>
        </w:rPr>
        <w:t>5</w:t>
      </w:r>
      <w:r w:rsidR="0067767C">
        <w:noBreakHyphen/>
      </w:r>
      <w:r w:rsidR="0067767C">
        <w:rPr>
          <w:noProof/>
        </w:rPr>
        <w:t>2</w:t>
      </w:r>
      <w:r w:rsidR="00984450">
        <w:fldChar w:fldCharType="end"/>
      </w:r>
      <w:r>
        <w:t xml:space="preserve">. Not all kinds of thresholds are used in every country, but all existing thresholds in Europe fit in this schematic presentation. </w:t>
      </w:r>
    </w:p>
    <w:p w14:paraId="5DA34D8E" w14:textId="0B3241AA" w:rsidR="00311C3B" w:rsidRDefault="00311C3B">
      <w:pPr>
        <w:suppressAutoHyphens w:val="0"/>
        <w:jc w:val="left"/>
      </w:pPr>
      <w:r>
        <w:br w:type="page"/>
      </w:r>
    </w:p>
    <w:p w14:paraId="220DCEBB" w14:textId="77777777" w:rsidR="00454EA7" w:rsidRDefault="00454EA7" w:rsidP="00D24035"/>
    <w:p w14:paraId="0B4CE049" w14:textId="6E4FE994" w:rsidR="00454EA7" w:rsidRPr="001D46F1" w:rsidRDefault="00454EA7" w:rsidP="00454EA7">
      <w:pPr>
        <w:pStyle w:val="FormatvorlageBeschriftung"/>
      </w:pPr>
      <w:bookmarkStart w:id="278" w:name="_Ref82773674"/>
      <w:bookmarkStart w:id="279" w:name="_Toc83997438"/>
      <w:r w:rsidRPr="001D46F1">
        <w:t xml:space="preserve">Figure </w:t>
      </w:r>
      <w:r w:rsidR="00CA7716">
        <w:fldChar w:fldCharType="begin"/>
      </w:r>
      <w:r w:rsidR="00CA7716">
        <w:instrText xml:space="preserve"> STYLEREF 1 \s </w:instrText>
      </w:r>
      <w:r w:rsidR="00CA7716">
        <w:fldChar w:fldCharType="separate"/>
      </w:r>
      <w:r w:rsidR="0067767C">
        <w:rPr>
          <w:noProof/>
        </w:rPr>
        <w:t>5</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2</w:t>
      </w:r>
      <w:r w:rsidR="00CA7716">
        <w:fldChar w:fldCharType="end"/>
      </w:r>
      <w:bookmarkEnd w:id="278"/>
      <w:r>
        <w:t>:</w:t>
      </w:r>
      <w:r>
        <w:tab/>
      </w:r>
      <w:r w:rsidRPr="001D46F1">
        <w:t>Schematic representation of thresholds</w:t>
      </w:r>
      <w:bookmarkEnd w:id="279"/>
    </w:p>
    <w:p w14:paraId="4E65D703" w14:textId="1BAC71C1" w:rsidR="00D35E90" w:rsidRDefault="00D35E90" w:rsidP="00D35E90">
      <w:r w:rsidRPr="00100867">
        <w:rPr>
          <w:noProof/>
          <w:lang w:eastAsia="en-GB"/>
        </w:rPr>
        <w:drawing>
          <wp:anchor distT="0" distB="0" distL="114300" distR="114300" simplePos="0" relativeHeight="251712000" behindDoc="0" locked="0" layoutInCell="1" allowOverlap="1" wp14:anchorId="6D05DBCC" wp14:editId="0F1853FF">
            <wp:simplePos x="0" y="0"/>
            <wp:positionH relativeFrom="column">
              <wp:posOffset>-1270</wp:posOffset>
            </wp:positionH>
            <wp:positionV relativeFrom="paragraph">
              <wp:posOffset>36195</wp:posOffset>
            </wp:positionV>
            <wp:extent cx="5945505" cy="3346450"/>
            <wp:effectExtent l="0" t="0" r="0" b="6350"/>
            <wp:wrapTopAndBottom/>
            <wp:docPr id="37" name="Picture 3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pic:cNvPicPr/>
                  </pic:nvPicPr>
                  <pic:blipFill>
                    <a:blip r:embed="rId45"/>
                    <a:stretch>
                      <a:fillRect/>
                    </a:stretch>
                  </pic:blipFill>
                  <pic:spPr>
                    <a:xfrm>
                      <a:off x="0" y="0"/>
                      <a:ext cx="5945505" cy="3346450"/>
                    </a:xfrm>
                    <a:prstGeom prst="rect">
                      <a:avLst/>
                    </a:prstGeom>
                  </pic:spPr>
                </pic:pic>
              </a:graphicData>
            </a:graphic>
            <wp14:sizeRelH relativeFrom="margin">
              <wp14:pctWidth>0</wp14:pctWidth>
            </wp14:sizeRelH>
            <wp14:sizeRelV relativeFrom="margin">
              <wp14:pctHeight>0</wp14:pctHeight>
            </wp14:sizeRelV>
          </wp:anchor>
        </w:drawing>
      </w:r>
    </w:p>
    <w:p w14:paraId="1084D58C" w14:textId="77777777" w:rsidR="00D35E90" w:rsidRDefault="00D35E90" w:rsidP="00D35E90">
      <w:r>
        <w:t>The specification of the thresholds is as follows:</w:t>
      </w:r>
    </w:p>
    <w:p w14:paraId="53011DDF" w14:textId="77777777" w:rsidR="00D35E90" w:rsidRDefault="00D35E90" w:rsidP="009B7BC4">
      <w:pPr>
        <w:pStyle w:val="EEAbullet0"/>
      </w:pPr>
      <w:r w:rsidRPr="009F1580">
        <w:rPr>
          <w:b/>
        </w:rPr>
        <w:t>Background values</w:t>
      </w:r>
      <w:r>
        <w:t xml:space="preserve">. According to Reimann et al. (2005), the “background value” is often used as a </w:t>
      </w:r>
      <w:r w:rsidRPr="00D85C59">
        <w:rPr>
          <w:u w:val="single"/>
        </w:rPr>
        <w:t>base value</w:t>
      </w:r>
      <w:r>
        <w:t xml:space="preserve"> to evaluate whether or not a specific soil has been under the influence of anthropogenic pollution in soils. It is commonly expressed “in terms of average, typical, median, mode, a range of values or a background value” [ISO 19258 (2018)]. In some countries background values are assumed to pose no risk or negligible risk and are considered suitable for any type of land use. Background concentrations, however, </w:t>
      </w:r>
      <w:r w:rsidRPr="000A1030">
        <w:rPr>
          <w:b/>
          <w:bCs/>
        </w:rPr>
        <w:t>do not have any relation with risks</w:t>
      </w:r>
      <w:r>
        <w:t xml:space="preserve">. In the Dutch system, for example, background values are determined as the 95 percentile of values taken from 100 sites that are considered as the </w:t>
      </w:r>
      <w:proofErr w:type="gramStart"/>
      <w:r>
        <w:t>most strict</w:t>
      </w:r>
      <w:proofErr w:type="gramEnd"/>
      <w:r>
        <w:t xml:space="preserve"> thresholds for practical reasons. There is much variability among countries in the definition of the percentile, the population of measuring points, and the level of stratification. Due to the variability of most contaminants in the parent material from which soils are derived, differences in background values related to soil type or geographic distribution can be quite large.</w:t>
      </w:r>
    </w:p>
    <w:p w14:paraId="6CE3CED3" w14:textId="466DF5D2" w:rsidR="00D35E90" w:rsidRPr="00BA5E62" w:rsidRDefault="00D35E90" w:rsidP="009B7BC4">
      <w:pPr>
        <w:pStyle w:val="EEAbullet0"/>
      </w:pPr>
      <w:r w:rsidRPr="00BA5E62">
        <w:rPr>
          <w:b/>
        </w:rPr>
        <w:t xml:space="preserve">Acceptable value. </w:t>
      </w:r>
      <w:r w:rsidRPr="008E76CC">
        <w:t>Several countries use acceptab</w:t>
      </w:r>
      <w:r w:rsidRPr="00BA5E62">
        <w:t xml:space="preserve">le values in their procedures. The acceptable value generally relates to the </w:t>
      </w:r>
      <w:r w:rsidRPr="000A1030">
        <w:rPr>
          <w:b/>
        </w:rPr>
        <w:t>negligible risk level</w:t>
      </w:r>
      <w:r w:rsidRPr="00BA5E62">
        <w:t>. The basic idea of an acceptable value is that there are no restrictions in land use</w:t>
      </w:r>
      <w:r>
        <w:t>,</w:t>
      </w:r>
      <w:r w:rsidRPr="00BA5E62">
        <w:t xml:space="preserve"> as long as the acceptable value is not exceeded. Acceptable value</w:t>
      </w:r>
      <w:r>
        <w:t>s</w:t>
      </w:r>
      <w:r w:rsidRPr="00BA5E62">
        <w:t xml:space="preserve"> are sometimes also used a generic remediation </w:t>
      </w:r>
      <w:r w:rsidR="00C867D4" w:rsidRPr="00BA5E62">
        <w:t>target</w:t>
      </w:r>
      <w:r w:rsidRPr="00BA5E62">
        <w:t xml:space="preserve">. </w:t>
      </w:r>
    </w:p>
    <w:p w14:paraId="7A82542F" w14:textId="77777777" w:rsidR="00D35E90" w:rsidRDefault="00D35E90" w:rsidP="009B7BC4">
      <w:pPr>
        <w:pStyle w:val="EEAbullet0"/>
        <w:rPr>
          <w:rFonts w:asciiTheme="majorHAnsi" w:hAnsiTheme="majorHAnsi" w:cstheme="majorHAnsi"/>
        </w:rPr>
      </w:pPr>
      <w:r w:rsidRPr="00BA5E62">
        <w:rPr>
          <w:rFonts w:asciiTheme="majorHAnsi" w:hAnsiTheme="majorHAnsi" w:cstheme="majorHAnsi"/>
          <w:b/>
        </w:rPr>
        <w:t>Action value</w:t>
      </w:r>
      <w:r w:rsidRPr="00BA5E62">
        <w:rPr>
          <w:rFonts w:asciiTheme="majorHAnsi" w:hAnsiTheme="majorHAnsi" w:cstheme="majorHAnsi"/>
        </w:rPr>
        <w:t xml:space="preserve">. Action values mark the </w:t>
      </w:r>
      <w:r w:rsidRPr="000A1030">
        <w:rPr>
          <w:rFonts w:asciiTheme="majorHAnsi" w:hAnsiTheme="majorHAnsi" w:cstheme="majorHAnsi"/>
          <w:b/>
        </w:rPr>
        <w:t>unacceptable risk level</w:t>
      </w:r>
      <w:r w:rsidRPr="00BA5E62">
        <w:rPr>
          <w:rFonts w:asciiTheme="majorHAnsi" w:hAnsiTheme="majorHAnsi" w:cstheme="majorHAnsi"/>
        </w:rPr>
        <w:t xml:space="preserve">. Exceedance of the first generation of </w:t>
      </w:r>
      <w:r>
        <w:rPr>
          <w:rFonts w:asciiTheme="majorHAnsi" w:hAnsiTheme="majorHAnsi" w:cstheme="majorHAnsi"/>
        </w:rPr>
        <w:t>a</w:t>
      </w:r>
      <w:r w:rsidRPr="00BA5E62">
        <w:rPr>
          <w:rFonts w:asciiTheme="majorHAnsi" w:hAnsiTheme="majorHAnsi" w:cstheme="majorHAnsi"/>
        </w:rPr>
        <w:t xml:space="preserve">ction values </w:t>
      </w:r>
      <w:r>
        <w:rPr>
          <w:rFonts w:asciiTheme="majorHAnsi" w:hAnsiTheme="majorHAnsi" w:cstheme="majorHAnsi"/>
        </w:rPr>
        <w:t xml:space="preserve">often </w:t>
      </w:r>
      <w:r w:rsidRPr="00BA5E62">
        <w:rPr>
          <w:rFonts w:asciiTheme="majorHAnsi" w:hAnsiTheme="majorHAnsi" w:cstheme="majorHAnsi"/>
        </w:rPr>
        <w:t xml:space="preserve">meant ‘polluted soil’ and </w:t>
      </w:r>
      <w:r w:rsidRPr="00BA5E62">
        <w:rPr>
          <w:rFonts w:asciiTheme="majorHAnsi" w:hAnsiTheme="majorHAnsi" w:cstheme="majorHAnsi"/>
          <w:color w:val="333333"/>
        </w:rPr>
        <w:t>required some kind of intervention</w:t>
      </w:r>
      <w:r>
        <w:rPr>
          <w:rFonts w:asciiTheme="majorHAnsi" w:hAnsiTheme="majorHAnsi" w:cstheme="majorHAnsi"/>
          <w:color w:val="333333"/>
        </w:rPr>
        <w:t xml:space="preserve"> (such as remediation)</w:t>
      </w:r>
      <w:r w:rsidRPr="00BA5E62">
        <w:rPr>
          <w:rFonts w:asciiTheme="majorHAnsi" w:hAnsiTheme="majorHAnsi" w:cstheme="majorHAnsi"/>
          <w:color w:val="333333"/>
        </w:rPr>
        <w:t xml:space="preserve">. </w:t>
      </w:r>
      <w:r>
        <w:rPr>
          <w:rFonts w:asciiTheme="majorHAnsi" w:hAnsiTheme="majorHAnsi" w:cstheme="majorHAnsi"/>
          <w:color w:val="333333"/>
        </w:rPr>
        <w:t>Currently, m</w:t>
      </w:r>
      <w:r w:rsidRPr="00BA5E62">
        <w:rPr>
          <w:rFonts w:asciiTheme="majorHAnsi" w:hAnsiTheme="majorHAnsi" w:cstheme="majorHAnsi"/>
          <w:color w:val="333333"/>
        </w:rPr>
        <w:t xml:space="preserve">ost countries have more advanced procedures based on </w:t>
      </w:r>
      <w:r w:rsidRPr="00BA5E62">
        <w:rPr>
          <w:rStyle w:val="Hervorhebung"/>
          <w:rFonts w:asciiTheme="majorHAnsi" w:hAnsiTheme="majorHAnsi" w:cstheme="majorHAnsi"/>
          <w:color w:val="333333"/>
          <w:szCs w:val="22"/>
        </w:rPr>
        <w:t>frameworks</w:t>
      </w:r>
      <w:r w:rsidRPr="00BA5E62">
        <w:rPr>
          <w:rFonts w:asciiTheme="majorHAnsi" w:hAnsiTheme="majorHAnsi" w:cstheme="majorHAnsi"/>
          <w:color w:val="333333"/>
        </w:rPr>
        <w:t>, in which the thresholds generally act as a trigger for further, more detailed site-specific investigations in one or two additional assessment steps (Swartjes, 2019).</w:t>
      </w:r>
      <w:r w:rsidRPr="00BA5E62">
        <w:rPr>
          <w:rFonts w:asciiTheme="majorHAnsi" w:hAnsiTheme="majorHAnsi" w:cstheme="majorHAnsi"/>
        </w:rPr>
        <w:t xml:space="preserve"> </w:t>
      </w:r>
    </w:p>
    <w:p w14:paraId="74E47FB0" w14:textId="5126C656" w:rsidR="00D35E90" w:rsidRPr="00BA5E62" w:rsidRDefault="00D35E90" w:rsidP="009B7BC4">
      <w:pPr>
        <w:pStyle w:val="EEAbullet0"/>
        <w:rPr>
          <w:rFonts w:asciiTheme="majorHAnsi" w:hAnsiTheme="majorHAnsi" w:cstheme="majorHAnsi"/>
        </w:rPr>
      </w:pPr>
      <w:r w:rsidRPr="00813760">
        <w:rPr>
          <w:rFonts w:asciiTheme="majorHAnsi" w:hAnsiTheme="majorHAnsi" w:cstheme="majorHAnsi"/>
          <w:b/>
        </w:rPr>
        <w:t>Warning value</w:t>
      </w:r>
      <w:r>
        <w:rPr>
          <w:rFonts w:asciiTheme="majorHAnsi" w:hAnsiTheme="majorHAnsi" w:cstheme="majorHAnsi"/>
        </w:rPr>
        <w:t xml:space="preserve">. </w:t>
      </w:r>
      <w:r w:rsidRPr="000A1030">
        <w:rPr>
          <w:rFonts w:asciiTheme="majorHAnsi" w:hAnsiTheme="majorHAnsi" w:cstheme="majorHAnsi"/>
          <w:b/>
        </w:rPr>
        <w:t>Intermediate risk</w:t>
      </w:r>
      <w:r>
        <w:rPr>
          <w:rFonts w:asciiTheme="majorHAnsi" w:hAnsiTheme="majorHAnsi" w:cstheme="majorHAnsi"/>
        </w:rPr>
        <w:t xml:space="preserve"> falls in-between the acceptable value and the action value. These values can indicate when (minor) restrictions is soil use for sensitive land uses are appropriate (e.g., no cropping recommended). In other procedures the value is used as a trigger for further soil or groundwater sampling, with the purpose to increase reliability of the judgement whether or not the </w:t>
      </w:r>
      <w:r w:rsidR="00C867D4">
        <w:rPr>
          <w:rFonts w:asciiTheme="majorHAnsi" w:hAnsiTheme="majorHAnsi" w:cstheme="majorHAnsi"/>
        </w:rPr>
        <w:t>a</w:t>
      </w:r>
      <w:r>
        <w:rPr>
          <w:rFonts w:asciiTheme="majorHAnsi" w:hAnsiTheme="majorHAnsi" w:cstheme="majorHAnsi"/>
        </w:rPr>
        <w:t>ction value is exceeded.</w:t>
      </w:r>
    </w:p>
    <w:p w14:paraId="7D038370" w14:textId="02295677" w:rsidR="00D35E90" w:rsidRDefault="00D35E90" w:rsidP="00D35E90">
      <w:pPr>
        <w:suppressAutoHyphens w:val="0"/>
        <w:jc w:val="left"/>
      </w:pPr>
    </w:p>
    <w:p w14:paraId="2E6BB1BF" w14:textId="694A506E" w:rsidR="0094627F" w:rsidRPr="009D5972" w:rsidRDefault="0094627F" w:rsidP="0094627F">
      <w:pPr>
        <w:pStyle w:val="berschrift2"/>
        <w:numPr>
          <w:ilvl w:val="2"/>
          <w:numId w:val="4"/>
        </w:numPr>
        <w:rPr>
          <w:rStyle w:val="FormatvorlageFormatvorlageberschrift3Zchn1"/>
        </w:rPr>
      </w:pPr>
      <w:bookmarkStart w:id="280" w:name="_Toc83997366"/>
      <w:r w:rsidRPr="0094627F">
        <w:rPr>
          <w:rStyle w:val="FormatvorlageFormatvorlageberschrift3Zchn1"/>
        </w:rPr>
        <w:lastRenderedPageBreak/>
        <w:t>Currently known screening values</w:t>
      </w:r>
      <w:bookmarkEnd w:id="280"/>
    </w:p>
    <w:p w14:paraId="06E6C67C" w14:textId="77777777" w:rsidR="0094627F" w:rsidRDefault="0094627F" w:rsidP="00D35E90">
      <w:pPr>
        <w:suppressAutoHyphens w:val="0"/>
        <w:jc w:val="left"/>
      </w:pPr>
    </w:p>
    <w:p w14:paraId="47D975E0" w14:textId="77777777" w:rsidR="00D35E90" w:rsidRPr="00B26FDA" w:rsidRDefault="00D35E90" w:rsidP="0094627F">
      <w:pPr>
        <w:pStyle w:val="EEAStandardbold"/>
      </w:pPr>
      <w:r w:rsidRPr="00B26FDA">
        <w:t>Heavy metals</w:t>
      </w:r>
    </w:p>
    <w:p w14:paraId="7C8BF2A8" w14:textId="27E44447" w:rsidR="00D35E90" w:rsidRDefault="00D35E90" w:rsidP="00B95AAB">
      <w:pPr>
        <w:spacing w:before="120"/>
      </w:pPr>
      <w:r>
        <w:t xml:space="preserve">In view of the assessment of risks from metals in soil, the concept of the derivation of background, warning and action values has been applied in a large number of EU member states. The </w:t>
      </w:r>
      <w:r w:rsidR="00FA6EA4">
        <w:t xml:space="preserve">screening </w:t>
      </w:r>
      <w:r>
        <w:t xml:space="preserve">values presented in </w:t>
      </w:r>
      <w:r w:rsidR="00720259">
        <w:fldChar w:fldCharType="begin"/>
      </w:r>
      <w:r w:rsidR="00720259">
        <w:instrText xml:space="preserve"> REF _Ref82774245 \h </w:instrText>
      </w:r>
      <w:r w:rsidR="00720259">
        <w:fldChar w:fldCharType="separate"/>
      </w:r>
      <w:r w:rsidR="0067767C" w:rsidRPr="00776F43">
        <w:t xml:space="preserve">Table </w:t>
      </w:r>
      <w:r w:rsidR="0067767C">
        <w:rPr>
          <w:noProof/>
        </w:rPr>
        <w:t>5</w:t>
      </w:r>
      <w:r w:rsidR="0067767C">
        <w:noBreakHyphen/>
      </w:r>
      <w:r w:rsidR="0067767C">
        <w:rPr>
          <w:noProof/>
        </w:rPr>
        <w:t>6</w:t>
      </w:r>
      <w:r w:rsidR="00720259">
        <w:fldChar w:fldCharType="end"/>
      </w:r>
      <w:r>
        <w:t xml:space="preserve"> reveal a </w:t>
      </w:r>
      <w:r w:rsidR="00173BDD">
        <w:t>large</w:t>
      </w:r>
      <w:r>
        <w:t xml:space="preserve"> range</w:t>
      </w:r>
      <w:r w:rsidR="00FA6EA4">
        <w:t xml:space="preserve">s, mostly related to </w:t>
      </w:r>
      <w:r w:rsidR="008C1A48">
        <w:t xml:space="preserve">differences in land uses, the underlying </w:t>
      </w:r>
      <w:r w:rsidRPr="00DB4679">
        <w:t>risk limits in endpoints</w:t>
      </w:r>
      <w:r>
        <w:t>, protection targets,</w:t>
      </w:r>
      <w:r w:rsidRPr="00DB4679">
        <w:t xml:space="preserve"> </w:t>
      </w:r>
      <w:r>
        <w:t xml:space="preserve">as well as </w:t>
      </w:r>
      <w:r w:rsidRPr="00DB4679">
        <w:t>different methodologies to convert those to screening values in soil</w:t>
      </w:r>
      <w:r>
        <w:t xml:space="preserve">. In addition, variation also results from the diverse soil properties (e.g. </w:t>
      </w:r>
      <w:r w:rsidRPr="00DB4679">
        <w:t>acid soil having more strict SV) or land use</w:t>
      </w:r>
      <w:r>
        <w:t xml:space="preserve">. </w:t>
      </w:r>
      <w:r w:rsidR="00720259">
        <w:fldChar w:fldCharType="begin"/>
      </w:r>
      <w:r w:rsidR="00720259">
        <w:instrText xml:space="preserve"> REF _Ref82774245 \h </w:instrText>
      </w:r>
      <w:r w:rsidR="00720259">
        <w:fldChar w:fldCharType="separate"/>
      </w:r>
      <w:r w:rsidR="0067767C" w:rsidRPr="00776F43">
        <w:t xml:space="preserve">Table </w:t>
      </w:r>
      <w:r w:rsidR="0067767C">
        <w:rPr>
          <w:noProof/>
        </w:rPr>
        <w:t>5</w:t>
      </w:r>
      <w:r w:rsidR="0067767C">
        <w:noBreakHyphen/>
      </w:r>
      <w:r w:rsidR="0067767C">
        <w:rPr>
          <w:noProof/>
        </w:rPr>
        <w:t>6</w:t>
      </w:r>
      <w:r w:rsidR="00720259">
        <w:fldChar w:fldCharType="end"/>
      </w:r>
      <w:r>
        <w:t xml:space="preserve"> thus represents the current knowledge.</w:t>
      </w:r>
      <w:r w:rsidR="00766A6C">
        <w:t xml:space="preserve"> </w:t>
      </w:r>
      <w:r w:rsidR="00EC5182">
        <w:t>Until now, f</w:t>
      </w:r>
      <w:r w:rsidR="00766A6C">
        <w:t xml:space="preserve">or the four heavy metals </w:t>
      </w:r>
      <w:r w:rsidR="00646A37">
        <w:t xml:space="preserve">(Cu, Cd, Pb, </w:t>
      </w:r>
      <w:proofErr w:type="gramStart"/>
      <w:r w:rsidR="00646A37">
        <w:t>Zn</w:t>
      </w:r>
      <w:proofErr w:type="gramEnd"/>
      <w:r w:rsidR="00646A37">
        <w:t xml:space="preserve">) </w:t>
      </w:r>
      <w:r w:rsidR="00EC5182">
        <w:t xml:space="preserve">as </w:t>
      </w:r>
      <w:r w:rsidR="00720195">
        <w:t>pr</w:t>
      </w:r>
      <w:r w:rsidR="00766A6C">
        <w:t xml:space="preserve">esented in Table 5-6, a total of </w:t>
      </w:r>
      <w:r w:rsidR="00720195">
        <w:t>444</w:t>
      </w:r>
      <w:r w:rsidR="00766A6C">
        <w:t xml:space="preserve"> screening values were found, roughly 50 – 60 per </w:t>
      </w:r>
      <w:r w:rsidR="00BF493B">
        <w:t>metal</w:t>
      </w:r>
      <w:r w:rsidR="00EC5182">
        <w:t xml:space="preserve"> and </w:t>
      </w:r>
      <w:r w:rsidR="00BF493B">
        <w:t>risk level.</w:t>
      </w:r>
      <w:r w:rsidR="00720195">
        <w:t xml:space="preserve"> The </w:t>
      </w:r>
      <w:r w:rsidR="00646A37">
        <w:t>values, definition criteria and sources are documents in a data base</w:t>
      </w:r>
      <w:r w:rsidR="008B3F38">
        <w:t xml:space="preserve"> by the European Topic Centre on Urban, Land and Soil Systems (ETC/ULS). The data base is currently expanded for As, Hg, Ni and Cr</w:t>
      </w:r>
      <w:r w:rsidR="006D0845">
        <w:t xml:space="preserve">, before is handed back to the Eionet Working Group Soil Contamination for review and updating. In parallel, supplementary information is collected </w:t>
      </w:r>
      <w:r w:rsidR="001B6B55">
        <w:t>in order to</w:t>
      </w:r>
      <w:r w:rsidR="006D0845">
        <w:t xml:space="preserve"> </w:t>
      </w:r>
      <w:r w:rsidR="00CB5CD1">
        <w:t xml:space="preserve">understand </w:t>
      </w:r>
      <w:r w:rsidR="00F76E36">
        <w:t>the</w:t>
      </w:r>
      <w:r w:rsidR="00CB5CD1">
        <w:t xml:space="preserve"> differences</w:t>
      </w:r>
      <w:r w:rsidR="00F76E36">
        <w:t xml:space="preserve"> </w:t>
      </w:r>
      <w:r w:rsidR="001B6B55">
        <w:t>about</w:t>
      </w:r>
      <w:r w:rsidR="00F76E36">
        <w:t xml:space="preserve"> how </w:t>
      </w:r>
      <w:r w:rsidR="001B6B55">
        <w:t>the SV are defined and derived</w:t>
      </w:r>
      <w:r w:rsidR="00CB5CD1">
        <w:t>.</w:t>
      </w:r>
    </w:p>
    <w:p w14:paraId="1FE90088" w14:textId="77777777" w:rsidR="00D35E90" w:rsidRDefault="00D35E90" w:rsidP="00C867D4">
      <w:pPr>
        <w:spacing w:before="120"/>
      </w:pPr>
      <w:r>
        <w:t xml:space="preserve">For example, for cadmium, screening values have been retrieved for 17 European countries and 3 regions. In accordance with the underlying principle of risk assessment, these are specific for a certain land-use and specific texture classes or parent material categories. Incidentally, other soil properties are included like saturated hydraulic conductivity and soil depth, as in case of Poland. This relates not only to differences between countries but equally so for limits inside one country. </w:t>
      </w:r>
    </w:p>
    <w:p w14:paraId="602F0511" w14:textId="77777777" w:rsidR="0094627F" w:rsidRDefault="00D35E90" w:rsidP="00C867D4">
      <w:pPr>
        <w:spacing w:before="120"/>
      </w:pPr>
      <w:r w:rsidRPr="004B2A6C">
        <w:t>At the European level</w:t>
      </w:r>
      <w:r>
        <w:t>,</w:t>
      </w:r>
      <w:r w:rsidRPr="004B2A6C">
        <w:t xml:space="preserve"> thresholds for </w:t>
      </w:r>
      <w:r>
        <w:t>c</w:t>
      </w:r>
      <w:r w:rsidRPr="004B2A6C">
        <w:t>admium range between 0.4 mg kg</w:t>
      </w:r>
      <w:r w:rsidRPr="004B2A6C">
        <w:rPr>
          <w:vertAlign w:val="superscript"/>
        </w:rPr>
        <w:t>-1</w:t>
      </w:r>
      <w:r w:rsidRPr="004B2A6C">
        <w:t xml:space="preserve"> (</w:t>
      </w:r>
      <w:r>
        <w:t>a</w:t>
      </w:r>
      <w:r w:rsidRPr="004B2A6C">
        <w:t xml:space="preserve">gricultural soils, </w:t>
      </w:r>
      <w:r>
        <w:t>Czech Republic</w:t>
      </w:r>
      <w:r w:rsidRPr="004B2A6C">
        <w:t>) and 1400 mg kg</w:t>
      </w:r>
      <w:r w:rsidRPr="004B2A6C">
        <w:rPr>
          <w:vertAlign w:val="superscript"/>
        </w:rPr>
        <w:t>-1</w:t>
      </w:r>
      <w:r w:rsidRPr="004B2A6C">
        <w:t xml:space="preserve"> (</w:t>
      </w:r>
      <w:r>
        <w:t>i</w:t>
      </w:r>
      <w:r w:rsidRPr="004B2A6C">
        <w:t>ndustrial land-use, United Kingdom). The variation for intermediate values is equally high with a factor of 1000 between the lowest and highest values. For Copper, the range of variation is less extreme for both critical risk thresholds (60-1500 mg kg</w:t>
      </w:r>
      <w:r w:rsidRPr="004B2A6C">
        <w:rPr>
          <w:vertAlign w:val="superscript"/>
        </w:rPr>
        <w:t>-1</w:t>
      </w:r>
      <w:r w:rsidRPr="004B2A6C">
        <w:t xml:space="preserve"> within the same country, Czech Republic) and intermediate values (factor 100). A similar degree of variation is reported for thresholds for </w:t>
      </w:r>
      <w:r>
        <w:t>l</w:t>
      </w:r>
      <w:r w:rsidRPr="004B2A6C">
        <w:t>ead (the critical values range between 50 mg kg</w:t>
      </w:r>
      <w:r w:rsidRPr="004B2A6C">
        <w:rPr>
          <w:vertAlign w:val="superscript"/>
        </w:rPr>
        <w:t>-1</w:t>
      </w:r>
      <w:r w:rsidRPr="004B2A6C">
        <w:t>, Poland, and 2500 mg kg</w:t>
      </w:r>
      <w:r w:rsidRPr="004B2A6C">
        <w:rPr>
          <w:vertAlign w:val="superscript"/>
        </w:rPr>
        <w:t>-</w:t>
      </w:r>
      <w:proofErr w:type="gramStart"/>
      <w:r w:rsidRPr="004B2A6C">
        <w:rPr>
          <w:vertAlign w:val="superscript"/>
        </w:rPr>
        <w:t>1</w:t>
      </w:r>
      <w:r w:rsidRPr="004B2A6C">
        <w:t xml:space="preserve"> ,</w:t>
      </w:r>
      <w:proofErr w:type="gramEnd"/>
      <w:r w:rsidRPr="004B2A6C">
        <w:t xml:space="preserve"> Brussels and Flanders).</w:t>
      </w:r>
    </w:p>
    <w:p w14:paraId="509095AD" w14:textId="77777777" w:rsidR="0094627F" w:rsidRDefault="0094627F" w:rsidP="00D24035"/>
    <w:p w14:paraId="1412289D" w14:textId="77777777" w:rsidR="0094627F" w:rsidRDefault="0094627F">
      <w:pPr>
        <w:suppressAutoHyphens w:val="0"/>
        <w:jc w:val="left"/>
        <w:rPr>
          <w:b/>
          <w:color w:val="000000" w:themeColor="text1"/>
        </w:rPr>
      </w:pPr>
      <w:r>
        <w:br w:type="page"/>
      </w:r>
    </w:p>
    <w:p w14:paraId="797D6309" w14:textId="1B9A0FDC" w:rsidR="0094627F" w:rsidRPr="00776F43" w:rsidRDefault="0094627F" w:rsidP="0094627F">
      <w:pPr>
        <w:pStyle w:val="EEALabel"/>
        <w:rPr>
          <w:rFonts w:eastAsia="Calibri"/>
        </w:rPr>
      </w:pPr>
      <w:bookmarkStart w:id="281" w:name="_Ref82774245"/>
      <w:bookmarkStart w:id="282" w:name="_Toc83997520"/>
      <w:r w:rsidRPr="00776F43">
        <w:lastRenderedPageBreak/>
        <w:t xml:space="preserve">Table </w:t>
      </w:r>
      <w:r>
        <w:fldChar w:fldCharType="begin"/>
      </w:r>
      <w:r>
        <w:instrText xml:space="preserve"> STYLEREF 1 \s </w:instrText>
      </w:r>
      <w:r>
        <w:fldChar w:fldCharType="separate"/>
      </w:r>
      <w:r w:rsidR="0067767C">
        <w:rPr>
          <w:noProof/>
        </w:rPr>
        <w:t>5</w:t>
      </w:r>
      <w:r>
        <w:fldChar w:fldCharType="end"/>
      </w:r>
      <w:r>
        <w:noBreakHyphen/>
      </w:r>
      <w:r>
        <w:fldChar w:fldCharType="begin"/>
      </w:r>
      <w:r>
        <w:instrText xml:space="preserve"> SEQ Table \* ARABIC \s 1 </w:instrText>
      </w:r>
      <w:r>
        <w:fldChar w:fldCharType="separate"/>
      </w:r>
      <w:r w:rsidR="0067767C">
        <w:rPr>
          <w:noProof/>
        </w:rPr>
        <w:t>6</w:t>
      </w:r>
      <w:r>
        <w:fldChar w:fldCharType="end"/>
      </w:r>
      <w:bookmarkEnd w:id="281"/>
      <w:r w:rsidRPr="00776F43">
        <w:t>:</w:t>
      </w:r>
      <w:r w:rsidRPr="00776F43">
        <w:rPr>
          <w:rFonts w:eastAsia="Calibri"/>
        </w:rPr>
        <w:tab/>
      </w:r>
      <w:r w:rsidRPr="0094627F">
        <w:rPr>
          <w:rFonts w:eastAsia="Calibri"/>
        </w:rPr>
        <w:t>Current screening values for intermediate and intervention values of selected heavy metals in s</w:t>
      </w:r>
      <w:r>
        <w:rPr>
          <w:rFonts w:eastAsia="Calibri"/>
        </w:rPr>
        <w:t>oil</w:t>
      </w:r>
      <w:bookmarkEnd w:id="282"/>
    </w:p>
    <w:p w14:paraId="141EA33A" w14:textId="1B0A96C3" w:rsidR="004E5E41" w:rsidRDefault="004E5E41" w:rsidP="004E5E41">
      <w:pPr>
        <w:pStyle w:val="EEASource"/>
        <w:ind w:left="1134"/>
        <w:rPr>
          <w:rFonts w:eastAsia="Calibri"/>
        </w:rPr>
      </w:pPr>
      <w:r w:rsidRPr="002B4D00">
        <w:rPr>
          <w:rFonts w:eastAsia="Calibri"/>
        </w:rPr>
        <w:t xml:space="preserve">When the values are stratified </w:t>
      </w:r>
      <w:r>
        <w:rPr>
          <w:rFonts w:eastAsia="Calibri"/>
        </w:rPr>
        <w:t xml:space="preserve">nationally, e.g. </w:t>
      </w:r>
      <w:r w:rsidRPr="002B4D00">
        <w:rPr>
          <w:rFonts w:eastAsia="Calibri"/>
        </w:rPr>
        <w:t>by another parameter</w:t>
      </w:r>
      <w:r>
        <w:rPr>
          <w:rFonts w:eastAsia="Calibri"/>
        </w:rPr>
        <w:t xml:space="preserve"> such as soil type or parent material</w:t>
      </w:r>
      <w:r w:rsidRPr="002B4D00">
        <w:rPr>
          <w:rFonts w:eastAsia="Calibri"/>
        </w:rPr>
        <w:t>, a range of values is provided.</w:t>
      </w:r>
      <w:r>
        <w:rPr>
          <w:rFonts w:eastAsia="Calibri"/>
        </w:rPr>
        <w:t xml:space="preserve"> All SVs provided in [mg/kg].</w:t>
      </w:r>
    </w:p>
    <w:p w14:paraId="431A81F4" w14:textId="77777777" w:rsidR="00D35E90" w:rsidRDefault="00D35E90" w:rsidP="00D35E90">
      <w:pPr>
        <w:pStyle w:val="EEASource"/>
        <w:rPr>
          <w:rFonts w:eastAsia="Calibri"/>
        </w:rPr>
      </w:pPr>
    </w:p>
    <w:p w14:paraId="6AF836C5" w14:textId="77777777" w:rsidR="00D35E90" w:rsidRDefault="00D35E90" w:rsidP="00D35E90">
      <w:pPr>
        <w:pStyle w:val="EEATabcenter"/>
      </w:pPr>
      <w:r>
        <w:rPr>
          <w:noProof/>
          <w:lang w:eastAsia="en-GB"/>
        </w:rPr>
        <w:drawing>
          <wp:anchor distT="0" distB="0" distL="114300" distR="114300" simplePos="0" relativeHeight="251713024" behindDoc="0" locked="0" layoutInCell="1" allowOverlap="1" wp14:anchorId="3E90FD79" wp14:editId="5B58CE8A">
            <wp:simplePos x="0" y="0"/>
            <wp:positionH relativeFrom="column">
              <wp:posOffset>-2631</wp:posOffset>
            </wp:positionH>
            <wp:positionV relativeFrom="paragraph">
              <wp:posOffset>-2540</wp:posOffset>
            </wp:positionV>
            <wp:extent cx="5974715" cy="7364730"/>
            <wp:effectExtent l="0" t="0" r="6985" b="7620"/>
            <wp:wrapTopAndBottom/>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4715" cy="7364730"/>
                    </a:xfrm>
                    <a:prstGeom prst="rect">
                      <a:avLst/>
                    </a:prstGeom>
                    <a:noFill/>
                  </pic:spPr>
                </pic:pic>
              </a:graphicData>
            </a:graphic>
          </wp:anchor>
        </w:drawing>
      </w:r>
    </w:p>
    <w:p w14:paraId="4F5A0832" w14:textId="77777777" w:rsidR="00D35E90" w:rsidRDefault="00D35E90" w:rsidP="00D35E90">
      <w:pPr>
        <w:suppressAutoHyphens w:val="0"/>
        <w:jc w:val="left"/>
      </w:pPr>
      <w:r w:rsidRPr="00393D56">
        <w:t xml:space="preserve">The ranges </w:t>
      </w:r>
      <w:r>
        <w:t>given in this</w:t>
      </w:r>
      <w:r w:rsidRPr="00393D56">
        <w:t xml:space="preserve"> table represent</w:t>
      </w:r>
      <w:r>
        <w:t xml:space="preserve"> </w:t>
      </w:r>
      <w:r w:rsidRPr="00393D56">
        <w:t>different soil (texture class)/land use conditions. This table only provides an overview.</w:t>
      </w:r>
    </w:p>
    <w:p w14:paraId="4BF93DE8" w14:textId="77777777" w:rsidR="00D35E90" w:rsidRDefault="00D35E90" w:rsidP="00D35E90">
      <w:pPr>
        <w:suppressAutoHyphens w:val="0"/>
        <w:jc w:val="left"/>
        <w:rPr>
          <w:i/>
          <w:iCs/>
        </w:rPr>
      </w:pPr>
      <w:r>
        <w:rPr>
          <w:i/>
          <w:iCs/>
        </w:rPr>
        <w:br w:type="page"/>
      </w:r>
    </w:p>
    <w:p w14:paraId="33C8BBA8" w14:textId="77777777" w:rsidR="00D35E90" w:rsidRDefault="00D35E90" w:rsidP="002C488D">
      <w:pPr>
        <w:pStyle w:val="berschrift2"/>
      </w:pPr>
      <w:bookmarkStart w:id="283" w:name="_Toc82720773"/>
      <w:bookmarkStart w:id="284" w:name="_Toc83997367"/>
      <w:r w:rsidRPr="00C845A7">
        <w:lastRenderedPageBreak/>
        <w:t>Development of an EU-wide harmonized approach</w:t>
      </w:r>
      <w:bookmarkEnd w:id="283"/>
      <w:bookmarkEnd w:id="284"/>
      <w:r w:rsidRPr="00C845A7">
        <w:t xml:space="preserve"> </w:t>
      </w:r>
    </w:p>
    <w:p w14:paraId="36D3F5B9" w14:textId="77777777" w:rsidR="00D35E90" w:rsidRDefault="00D35E90" w:rsidP="00D35E90"/>
    <w:p w14:paraId="7C867DF0" w14:textId="65B1DF52" w:rsidR="00D35E90" w:rsidRPr="00885310" w:rsidRDefault="00D35E90" w:rsidP="00D35E90">
      <w:pPr>
        <w:suppressAutoHyphens w:val="0"/>
        <w:autoSpaceDE w:val="0"/>
        <w:autoSpaceDN w:val="0"/>
        <w:adjustRightInd w:val="0"/>
        <w:rPr>
          <w:szCs w:val="22"/>
        </w:rPr>
      </w:pPr>
      <w:r w:rsidRPr="00885310">
        <w:rPr>
          <w:rFonts w:eastAsiaTheme="minorEastAsia"/>
          <w:color w:val="131413"/>
          <w:szCs w:val="22"/>
          <w:lang w:val="en-US" w:eastAsia="en-US"/>
        </w:rPr>
        <w:t>Within the EU, there is a wide diversity of risk assessment tools for the same purpose (Carlon et al., 2007). This diversity is partly due to different geographical</w:t>
      </w:r>
      <w:r>
        <w:rPr>
          <w:rFonts w:eastAsiaTheme="minorEastAsia"/>
          <w:color w:val="131413"/>
          <w:szCs w:val="22"/>
          <w:lang w:val="en-US" w:eastAsia="en-US"/>
        </w:rPr>
        <w:t xml:space="preserve"> and</w:t>
      </w:r>
      <w:r w:rsidRPr="00885310">
        <w:rPr>
          <w:rFonts w:eastAsiaTheme="minorEastAsia"/>
          <w:color w:val="131413"/>
          <w:szCs w:val="22"/>
          <w:lang w:val="en-US" w:eastAsia="en-US"/>
        </w:rPr>
        <w:t xml:space="preserve"> cultural </w:t>
      </w:r>
      <w:r w:rsidRPr="00400188">
        <w:rPr>
          <w:rFonts w:eastAsiaTheme="minorEastAsia"/>
          <w:color w:val="131413"/>
          <w:szCs w:val="22"/>
          <w:lang w:val="en-US" w:eastAsia="en-US"/>
        </w:rPr>
        <w:t>conditions in the EU Member States. However, also the lack of scientific consensus explains part of the differences (Swartjes, 2011). Additionally, different policy positions in different countries contribute to the differences in screening values in the EU. Due to differences in geography</w:t>
      </w:r>
      <w:r>
        <w:rPr>
          <w:rFonts w:eastAsiaTheme="minorEastAsia"/>
          <w:color w:val="131413"/>
          <w:szCs w:val="22"/>
          <w:lang w:val="en-US" w:eastAsia="en-US"/>
        </w:rPr>
        <w:t xml:space="preserve"> and</w:t>
      </w:r>
      <w:r w:rsidRPr="00400188">
        <w:rPr>
          <w:rFonts w:eastAsiaTheme="minorEastAsia"/>
          <w:color w:val="131413"/>
          <w:szCs w:val="22"/>
          <w:lang w:val="en-US" w:eastAsia="en-US"/>
        </w:rPr>
        <w:t xml:space="preserve"> culture</w:t>
      </w:r>
      <w:r>
        <w:rPr>
          <w:rFonts w:eastAsiaTheme="minorEastAsia"/>
          <w:color w:val="131413"/>
          <w:szCs w:val="22"/>
          <w:lang w:val="en-US" w:eastAsia="en-US"/>
        </w:rPr>
        <w:t>,</w:t>
      </w:r>
      <w:r w:rsidRPr="00400188">
        <w:rPr>
          <w:rFonts w:eastAsiaTheme="minorEastAsia"/>
          <w:color w:val="131413"/>
          <w:szCs w:val="22"/>
          <w:lang w:val="en-US" w:eastAsia="en-US"/>
        </w:rPr>
        <w:t xml:space="preserve"> there is no need for identical screening values in all EU Member States. The derivation of screening values, however, would benefit from a more harmonized approach. </w:t>
      </w:r>
      <w:r>
        <w:rPr>
          <w:rFonts w:eastAsiaTheme="minorEastAsia"/>
          <w:color w:val="131413"/>
          <w:szCs w:val="22"/>
          <w:lang w:val="en-US" w:eastAsia="en-US"/>
        </w:rPr>
        <w:t>F</w:t>
      </w:r>
      <w:r w:rsidRPr="00400188">
        <w:rPr>
          <w:rFonts w:eastAsiaTheme="minorEastAsia"/>
          <w:color w:val="131413"/>
          <w:szCs w:val="22"/>
          <w:lang w:val="en-US" w:eastAsia="en-US"/>
        </w:rPr>
        <w:t xml:space="preserve">or the sake of scientific integrity, a stronger convergence of </w:t>
      </w:r>
      <w:r>
        <w:rPr>
          <w:rFonts w:eastAsiaTheme="minorEastAsia"/>
          <w:color w:val="131413"/>
          <w:szCs w:val="22"/>
          <w:lang w:val="en-US" w:eastAsia="en-US"/>
        </w:rPr>
        <w:t>r</w:t>
      </w:r>
      <w:r w:rsidRPr="00400188">
        <w:rPr>
          <w:rFonts w:eastAsiaTheme="minorEastAsia"/>
          <w:color w:val="131413"/>
          <w:szCs w:val="22"/>
          <w:lang w:val="en-US" w:eastAsia="en-US"/>
        </w:rPr>
        <w:t xml:space="preserve">isk </w:t>
      </w:r>
      <w:r>
        <w:rPr>
          <w:rFonts w:eastAsiaTheme="minorEastAsia"/>
          <w:color w:val="131413"/>
          <w:szCs w:val="22"/>
          <w:lang w:val="en-US" w:eastAsia="en-US"/>
        </w:rPr>
        <w:t>a</w:t>
      </w:r>
      <w:r w:rsidRPr="00400188">
        <w:rPr>
          <w:rFonts w:eastAsiaTheme="minorEastAsia"/>
          <w:color w:val="131413"/>
          <w:szCs w:val="22"/>
          <w:lang w:val="en-US" w:eastAsia="en-US"/>
        </w:rPr>
        <w:t>ssessment tools that do not include geographical</w:t>
      </w:r>
      <w:r>
        <w:rPr>
          <w:rFonts w:eastAsiaTheme="minorEastAsia"/>
          <w:color w:val="131413"/>
          <w:szCs w:val="22"/>
          <w:lang w:val="en-US" w:eastAsia="en-US"/>
        </w:rPr>
        <w:t>,</w:t>
      </w:r>
      <w:r w:rsidRPr="00400188">
        <w:rPr>
          <w:rFonts w:eastAsiaTheme="minorEastAsia"/>
          <w:color w:val="131413"/>
          <w:szCs w:val="22"/>
          <w:lang w:val="en-US" w:eastAsia="en-US"/>
        </w:rPr>
        <w:t xml:space="preserve"> cultural, or policy elements would be</w:t>
      </w:r>
      <w:r>
        <w:rPr>
          <w:rFonts w:eastAsiaTheme="minorEastAsia"/>
          <w:color w:val="131413"/>
          <w:szCs w:val="22"/>
          <w:lang w:val="en-US" w:eastAsia="en-US"/>
        </w:rPr>
        <w:t xml:space="preserve"> </w:t>
      </w:r>
      <w:r w:rsidR="00C867D4" w:rsidRPr="00400188">
        <w:rPr>
          <w:rFonts w:eastAsiaTheme="minorEastAsia"/>
          <w:color w:val="131413"/>
          <w:szCs w:val="22"/>
          <w:lang w:val="en-US" w:eastAsia="en-US"/>
        </w:rPr>
        <w:t>favorable</w:t>
      </w:r>
      <w:r w:rsidRPr="00400188">
        <w:rPr>
          <w:rFonts w:eastAsiaTheme="minorEastAsia"/>
          <w:color w:val="131413"/>
          <w:szCs w:val="22"/>
          <w:lang w:val="en-US" w:eastAsia="en-US"/>
        </w:rPr>
        <w:t xml:space="preserve"> (</w:t>
      </w:r>
      <w:r w:rsidR="00C867D4" w:rsidRPr="00C867D4">
        <w:rPr>
          <w:rFonts w:eastAsiaTheme="minorEastAsia"/>
          <w:color w:val="131413"/>
          <w:szCs w:val="22"/>
          <w:lang w:val="en-US" w:eastAsia="en-US"/>
        </w:rPr>
        <w:t>standardized</w:t>
      </w:r>
      <w:r w:rsidRPr="00C867D4">
        <w:rPr>
          <w:rFonts w:eastAsiaTheme="minorEastAsia"/>
          <w:color w:val="131413"/>
          <w:szCs w:val="22"/>
          <w:lang w:val="en-US" w:eastAsia="en-US"/>
        </w:rPr>
        <w:t xml:space="preserve"> ri</w:t>
      </w:r>
      <w:r w:rsidRPr="00400188">
        <w:rPr>
          <w:rFonts w:eastAsiaTheme="minorEastAsia"/>
          <w:color w:val="131413"/>
          <w:szCs w:val="22"/>
          <w:lang w:val="en-US" w:eastAsia="en-US"/>
        </w:rPr>
        <w:t xml:space="preserve">sk assessment tools). Risk </w:t>
      </w:r>
      <w:r>
        <w:rPr>
          <w:rFonts w:eastAsiaTheme="minorEastAsia"/>
          <w:color w:val="131413"/>
          <w:szCs w:val="22"/>
          <w:lang w:val="en-US" w:eastAsia="en-US"/>
        </w:rPr>
        <w:t>a</w:t>
      </w:r>
      <w:r w:rsidRPr="00400188">
        <w:rPr>
          <w:rFonts w:eastAsiaTheme="minorEastAsia"/>
          <w:color w:val="131413"/>
          <w:szCs w:val="22"/>
          <w:lang w:val="en-US" w:eastAsia="en-US"/>
        </w:rPr>
        <w:t xml:space="preserve">ssessment tools that do include geographical, cultural or social elements must be applied with a certain level of flexibility so as to account for these geographical, cultural or social elements </w:t>
      </w:r>
      <w:r w:rsidRPr="00C867D4">
        <w:rPr>
          <w:rFonts w:eastAsiaTheme="minorEastAsia"/>
          <w:color w:val="131413"/>
          <w:szCs w:val="22"/>
          <w:lang w:val="en-US" w:eastAsia="en-US"/>
        </w:rPr>
        <w:t>(flexible risk assessment tools). Within the Heracles network, the development of a toolbox was therefore proposed</w:t>
      </w:r>
      <w:r w:rsidRPr="00400188">
        <w:rPr>
          <w:rFonts w:eastAsiaTheme="minorEastAsia"/>
          <w:color w:val="131413"/>
          <w:szCs w:val="22"/>
          <w:lang w:val="en-US" w:eastAsia="en-US"/>
        </w:rPr>
        <w:t xml:space="preserve">, including standardized and flexible risk </w:t>
      </w:r>
      <w:r>
        <w:rPr>
          <w:rFonts w:eastAsiaTheme="minorEastAsia"/>
          <w:color w:val="131413"/>
          <w:szCs w:val="22"/>
          <w:lang w:val="en-US" w:eastAsia="en-US"/>
        </w:rPr>
        <w:t xml:space="preserve">assessment </w:t>
      </w:r>
      <w:r w:rsidRPr="00400188">
        <w:rPr>
          <w:rFonts w:eastAsiaTheme="minorEastAsia"/>
          <w:color w:val="131413"/>
          <w:szCs w:val="22"/>
          <w:lang w:val="en-US" w:eastAsia="en-US"/>
        </w:rPr>
        <w:t>tools</w:t>
      </w:r>
      <w:r>
        <w:rPr>
          <w:rFonts w:eastAsiaTheme="minorEastAsia"/>
          <w:color w:val="131413"/>
          <w:szCs w:val="22"/>
          <w:lang w:val="en-US" w:eastAsia="en-US"/>
        </w:rPr>
        <w:t xml:space="preserve"> (Swartjes et al., 2009)</w:t>
      </w:r>
      <w:r w:rsidRPr="00400188">
        <w:rPr>
          <w:rFonts w:eastAsiaTheme="minorEastAsia"/>
          <w:color w:val="131413"/>
          <w:szCs w:val="22"/>
          <w:lang w:val="en-US" w:eastAsia="en-US"/>
        </w:rPr>
        <w:t xml:space="preserve">. </w:t>
      </w:r>
    </w:p>
    <w:p w14:paraId="4E9A682F" w14:textId="77777777" w:rsidR="00D35E90" w:rsidRDefault="00D35E90" w:rsidP="00D35E90"/>
    <w:p w14:paraId="149BA0A1" w14:textId="26546507" w:rsidR="00D35E90" w:rsidRDefault="00D35E90" w:rsidP="00D35E90">
      <w:r>
        <w:t>In the case of the Water Framework Directive (</w:t>
      </w:r>
      <w:r w:rsidRPr="00EF5D96">
        <w:t>2000/60/EC</w:t>
      </w:r>
      <w:r>
        <w:t xml:space="preserve">), </w:t>
      </w:r>
      <w:r w:rsidRPr="00EF5D96">
        <w:t xml:space="preserve">critical limits in endpoints </w:t>
      </w:r>
      <w:r>
        <w:t xml:space="preserve">are agreed upon at EU-level; the </w:t>
      </w:r>
      <w:r w:rsidRPr="00EF5D96">
        <w:t>Regulation (EC) No 2006/1881</w:t>
      </w:r>
      <w:r>
        <w:t xml:space="preserve"> on s</w:t>
      </w:r>
      <w:r w:rsidRPr="000E0084">
        <w:t xml:space="preserve">etting maximum levels for certain contaminants </w:t>
      </w:r>
      <w:r>
        <w:t>(</w:t>
      </w:r>
      <w:r w:rsidRPr="00EF5D96">
        <w:t>cadmium, lead and arsenic</w:t>
      </w:r>
      <w:r>
        <w:t>)</w:t>
      </w:r>
      <w:r w:rsidRPr="000E0084">
        <w:t xml:space="preserve"> in foodstuffs</w:t>
      </w:r>
      <w:r>
        <w:t xml:space="preserve">; and </w:t>
      </w:r>
      <w:r w:rsidR="00C867D4">
        <w:t>also,</w:t>
      </w:r>
      <w:r>
        <w:t xml:space="preserve"> the </w:t>
      </w:r>
      <w:r w:rsidRPr="00EF5D96">
        <w:t>Drinking Water Directive 98/83/EC</w:t>
      </w:r>
      <w:r>
        <w:t xml:space="preserve"> sets </w:t>
      </w:r>
      <w:r w:rsidRPr="00EF5D96">
        <w:t xml:space="preserve">quality </w:t>
      </w:r>
      <w:r>
        <w:t xml:space="preserve">standards </w:t>
      </w:r>
      <w:r w:rsidRPr="00EF5D96">
        <w:t>of drinking water</w:t>
      </w:r>
      <w:r>
        <w:t>.</w:t>
      </w:r>
    </w:p>
    <w:p w14:paraId="316DF3E4" w14:textId="77777777" w:rsidR="00D35E90" w:rsidRDefault="00D35E90" w:rsidP="00C66E1D">
      <w:pPr>
        <w:spacing w:before="120"/>
      </w:pPr>
    </w:p>
    <w:p w14:paraId="62323C88" w14:textId="77777777" w:rsidR="00D35E90" w:rsidRPr="00D60BB8" w:rsidRDefault="00D35E90" w:rsidP="00D35E90">
      <w:pPr>
        <w:jc w:val="left"/>
        <w:rPr>
          <w:b/>
          <w:bCs/>
          <w:i/>
          <w:iCs/>
          <w:szCs w:val="22"/>
        </w:rPr>
      </w:pPr>
      <w:r w:rsidRPr="00D60BB8">
        <w:rPr>
          <w:b/>
          <w:bCs/>
          <w:i/>
          <w:iCs/>
          <w:szCs w:val="22"/>
        </w:rPr>
        <w:t>Development of critical limits in endpoints and transfer models for emerging contaminants</w:t>
      </w:r>
    </w:p>
    <w:p w14:paraId="3C490AEB" w14:textId="77777777" w:rsidR="00D35E90" w:rsidRDefault="00D35E90" w:rsidP="00C867D4">
      <w:pPr>
        <w:spacing w:before="120"/>
      </w:pPr>
      <w:r>
        <w:t>Currently, thresholds can only be compiled for a limited number of contaminants. For an array of relevant emerging contaminants, no such critical thresholds in food or water exists due to the lack of TDIs for human or animal health. The difficulty there is the huge variation in biogeochemical properties even within one group of compounds like nanoparticles. Aside from the lack of relevant thresholds in endpoints, also the models to link such endpoints to corresponding levels in soil is only at its infant stage. For PFAS for example, experimental data on the transfer of PFOS, PFOA or other PFAS-compounds are still scarce or have been derived at concentrations unlikely to be found under normal conditions in soils.</w:t>
      </w:r>
    </w:p>
    <w:p w14:paraId="5934A738" w14:textId="77777777" w:rsidR="00D35E90" w:rsidRDefault="00D35E90" w:rsidP="00C66E1D">
      <w:pPr>
        <w:spacing w:before="120"/>
      </w:pPr>
    </w:p>
    <w:p w14:paraId="540004FB" w14:textId="77777777" w:rsidR="00D35E90" w:rsidRPr="00D60BB8" w:rsidRDefault="00D35E90" w:rsidP="00616A32">
      <w:pPr>
        <w:pStyle w:val="EEAStandardbold"/>
      </w:pPr>
      <w:r w:rsidRPr="00D60BB8">
        <w:t xml:space="preserve">Revision of current </w:t>
      </w:r>
      <w:r>
        <w:t>thresholds in view of actual risk to humans or the environment</w:t>
      </w:r>
    </w:p>
    <w:p w14:paraId="7318B8B9" w14:textId="77777777" w:rsidR="00616A32" w:rsidRDefault="00616A32" w:rsidP="00D35E90"/>
    <w:p w14:paraId="1FCBF1C5" w14:textId="4926DDD3" w:rsidR="00D35E90" w:rsidRDefault="00D35E90" w:rsidP="00D35E90">
      <w:r>
        <w:t xml:space="preserve">Even for an intensively studied element like lead or arsenic, there are ongoing discussions on how to define an ‘acceptable’ level in human bodies related to effects. For example, the lowering of the TDI for lead would immediately lead to even </w:t>
      </w:r>
      <w:proofErr w:type="gramStart"/>
      <w:r>
        <w:t>more strict</w:t>
      </w:r>
      <w:proofErr w:type="gramEnd"/>
      <w:r>
        <w:t xml:space="preserve"> acceptable levels in soils in for example city soils. </w:t>
      </w:r>
    </w:p>
    <w:p w14:paraId="6E06CB36" w14:textId="77777777" w:rsidR="00D35E90" w:rsidRDefault="00D35E90" w:rsidP="00D35E90"/>
    <w:p w14:paraId="15AEBCBF" w14:textId="43BC8330" w:rsidR="00D35E90" w:rsidRDefault="00D35E90" w:rsidP="00D35E90">
      <w:r w:rsidRPr="00E6561A">
        <w:t xml:space="preserve">In </w:t>
      </w:r>
      <w:r w:rsidR="00616A32">
        <w:fldChar w:fldCharType="begin"/>
      </w:r>
      <w:r w:rsidR="00616A32">
        <w:instrText xml:space="preserve"> REF _Ref82784847 \h </w:instrText>
      </w:r>
      <w:r w:rsidR="00616A32">
        <w:fldChar w:fldCharType="separate"/>
      </w:r>
      <w:r w:rsidR="0067767C" w:rsidRPr="00105C55">
        <w:t xml:space="preserve">Table </w:t>
      </w:r>
      <w:r w:rsidR="0067767C">
        <w:rPr>
          <w:noProof/>
        </w:rPr>
        <w:t>5</w:t>
      </w:r>
      <w:r w:rsidR="0067767C" w:rsidRPr="00105C55">
        <w:noBreakHyphen/>
      </w:r>
      <w:r w:rsidR="0067767C">
        <w:rPr>
          <w:noProof/>
        </w:rPr>
        <w:t>7</w:t>
      </w:r>
      <w:r w:rsidR="00616A32">
        <w:fldChar w:fldCharType="end"/>
      </w:r>
      <w:r w:rsidRPr="00E6561A">
        <w:t xml:space="preserve"> a</w:t>
      </w:r>
      <w:r>
        <w:t xml:space="preserve"> summary is given of the </w:t>
      </w:r>
      <w:r w:rsidR="00C66E1D">
        <w:t>current status</w:t>
      </w:r>
      <w:r>
        <w:t xml:space="preserve"> of several groups of relevant contaminants, their sources, and relevant limits in both endpoints as well as, if available, in soil.</w:t>
      </w:r>
    </w:p>
    <w:p w14:paraId="6B8BB50A" w14:textId="757F2DBF" w:rsidR="00D35E90" w:rsidRDefault="00D35E90" w:rsidP="00D35E90"/>
    <w:p w14:paraId="4E2DF82A" w14:textId="77777777" w:rsidR="00023D0E" w:rsidRDefault="00023D0E">
      <w:pPr>
        <w:suppressAutoHyphens w:val="0"/>
        <w:jc w:val="left"/>
        <w:rPr>
          <w:rFonts w:cs="Times New Roman"/>
          <w:b/>
          <w:bCs/>
          <w:color w:val="000000" w:themeColor="text1"/>
        </w:rPr>
      </w:pPr>
      <w:r>
        <w:br w:type="page"/>
      </w:r>
    </w:p>
    <w:p w14:paraId="3BB713D1" w14:textId="60FA1F03" w:rsidR="00023D0E" w:rsidRPr="00105C55" w:rsidRDefault="00023D0E" w:rsidP="00762FD6">
      <w:pPr>
        <w:pStyle w:val="FormatvorlageBeschriftung"/>
        <w:spacing w:after="0"/>
      </w:pPr>
      <w:bookmarkStart w:id="285" w:name="_Ref82784847"/>
      <w:bookmarkStart w:id="286" w:name="_Toc83997521"/>
      <w:r w:rsidRPr="00105C55">
        <w:lastRenderedPageBreak/>
        <w:t xml:space="preserve">Table </w:t>
      </w:r>
      <w:r w:rsidRPr="00105C55">
        <w:fldChar w:fldCharType="begin"/>
      </w:r>
      <w:r w:rsidRPr="00105C55">
        <w:instrText xml:space="preserve"> STYLEREF 1 \s </w:instrText>
      </w:r>
      <w:r w:rsidRPr="00105C55">
        <w:fldChar w:fldCharType="separate"/>
      </w:r>
      <w:r w:rsidR="0067767C">
        <w:rPr>
          <w:noProof/>
        </w:rPr>
        <w:t>5</w:t>
      </w:r>
      <w:r w:rsidRPr="00105C55">
        <w:fldChar w:fldCharType="end"/>
      </w:r>
      <w:r w:rsidRPr="00105C55">
        <w:noBreakHyphen/>
      </w:r>
      <w:r w:rsidRPr="00105C55">
        <w:fldChar w:fldCharType="begin"/>
      </w:r>
      <w:r w:rsidRPr="00105C55">
        <w:instrText xml:space="preserve"> SEQ Table \* ARABIC \s 1 </w:instrText>
      </w:r>
      <w:r w:rsidRPr="00105C55">
        <w:fldChar w:fldCharType="separate"/>
      </w:r>
      <w:r w:rsidR="0067767C">
        <w:rPr>
          <w:noProof/>
        </w:rPr>
        <w:t>7</w:t>
      </w:r>
      <w:r w:rsidRPr="00105C55">
        <w:fldChar w:fldCharType="end"/>
      </w:r>
      <w:bookmarkEnd w:id="285"/>
      <w:r>
        <w:t>:</w:t>
      </w:r>
      <w:r>
        <w:tab/>
      </w:r>
      <w:r w:rsidRPr="00105C55">
        <w:t>Status of knowledge about different groups of contaminants in soil</w:t>
      </w:r>
      <w:bookmarkEnd w:id="286"/>
    </w:p>
    <w:p w14:paraId="4D176A33" w14:textId="1F5CB8F6" w:rsidR="00023D0E" w:rsidRDefault="00023D0E" w:rsidP="00023D0E">
      <w:pPr>
        <w:pStyle w:val="EEATabcenter"/>
      </w:pPr>
      <w:r>
        <w:rPr>
          <w:noProof/>
          <w:lang w:eastAsia="en-GB"/>
        </w:rPr>
        <w:drawing>
          <wp:anchor distT="0" distB="0" distL="114300" distR="114300" simplePos="0" relativeHeight="251751936" behindDoc="0" locked="0" layoutInCell="1" allowOverlap="1" wp14:anchorId="01655D9D" wp14:editId="288E918F">
            <wp:simplePos x="0" y="0"/>
            <wp:positionH relativeFrom="column">
              <wp:posOffset>-1382395</wp:posOffset>
            </wp:positionH>
            <wp:positionV relativeFrom="paragraph">
              <wp:posOffset>2305685</wp:posOffset>
            </wp:positionV>
            <wp:extent cx="8733790" cy="4123690"/>
            <wp:effectExtent l="0" t="0" r="0" b="0"/>
            <wp:wrapTopAndBottom/>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8733790" cy="4123690"/>
                    </a:xfrm>
                    <a:prstGeom prst="rect">
                      <a:avLst/>
                    </a:prstGeom>
                  </pic:spPr>
                </pic:pic>
              </a:graphicData>
            </a:graphic>
            <wp14:sizeRelH relativeFrom="page">
              <wp14:pctWidth>0</wp14:pctWidth>
            </wp14:sizeRelH>
            <wp14:sizeRelV relativeFrom="page">
              <wp14:pctHeight>0</wp14:pctHeight>
            </wp14:sizeRelV>
          </wp:anchor>
        </w:drawing>
      </w:r>
    </w:p>
    <w:p w14:paraId="3F982C3E" w14:textId="320A44CC" w:rsidR="004E5E41" w:rsidRPr="004E5E41" w:rsidRDefault="004E5E41" w:rsidP="0048743B">
      <w:pPr>
        <w:pStyle w:val="berschrift1"/>
        <w:tabs>
          <w:tab w:val="clear" w:pos="567"/>
        </w:tabs>
        <w:ind w:left="426" w:hanging="426"/>
      </w:pPr>
      <w:bookmarkStart w:id="287" w:name="_Toc55214448"/>
      <w:bookmarkStart w:id="288" w:name="_Toc55216266"/>
      <w:bookmarkStart w:id="289" w:name="_Ref64620410"/>
      <w:bookmarkStart w:id="290" w:name="_Toc83997368"/>
      <w:bookmarkEnd w:id="287"/>
      <w:bookmarkEnd w:id="288"/>
      <w:r w:rsidRPr="00F73B24">
        <w:lastRenderedPageBreak/>
        <w:t xml:space="preserve">Soil </w:t>
      </w:r>
      <w:r>
        <w:t>biodiversity</w:t>
      </w:r>
      <w:bookmarkEnd w:id="289"/>
      <w:bookmarkEnd w:id="290"/>
    </w:p>
    <w:bookmarkEnd w:id="179"/>
    <w:p w14:paraId="3185AFA0" w14:textId="77777777" w:rsidR="00E262BA" w:rsidRDefault="00E262BA">
      <w:pPr>
        <w:suppressAutoHyphens w:val="0"/>
        <w:jc w:val="left"/>
      </w:pPr>
    </w:p>
    <w:tbl>
      <w:tblPr>
        <w:tblW w:w="0" w:type="auto"/>
        <w:shd w:val="clear" w:color="auto" w:fill="D9D9D9" w:themeFill="background1" w:themeFillShade="D9"/>
        <w:tblLook w:val="04A0" w:firstRow="1" w:lastRow="0" w:firstColumn="1" w:lastColumn="0" w:noHBand="0" w:noVBand="1"/>
      </w:tblPr>
      <w:tblGrid>
        <w:gridCol w:w="9406"/>
      </w:tblGrid>
      <w:tr w:rsidR="00400E47" w14:paraId="165D536E" w14:textId="77777777" w:rsidTr="00677B0A">
        <w:tc>
          <w:tcPr>
            <w:tcW w:w="9546" w:type="dxa"/>
            <w:shd w:val="clear" w:color="auto" w:fill="D9D9D9" w:themeFill="background1" w:themeFillShade="D9"/>
          </w:tcPr>
          <w:p w14:paraId="691081F7" w14:textId="77777777" w:rsidR="00400E47" w:rsidRDefault="00400E47" w:rsidP="00677B0A">
            <w:pPr>
              <w:pStyle w:val="EEAspacesm"/>
            </w:pPr>
          </w:p>
          <w:p w14:paraId="3956D34C" w14:textId="77777777" w:rsidR="00400E47" w:rsidRDefault="00400E47" w:rsidP="00677B0A">
            <w:pPr>
              <w:pStyle w:val="EEAspacesm"/>
              <w:rPr>
                <w:sz w:val="22"/>
              </w:rPr>
            </w:pPr>
            <w:r w:rsidRPr="00B963D3">
              <w:rPr>
                <w:sz w:val="22"/>
              </w:rPr>
              <w:t>Soil organisms are the “biological engine of the earth”</w:t>
            </w:r>
            <w:r>
              <w:rPr>
                <w:sz w:val="22"/>
              </w:rPr>
              <w:t xml:space="preserve"> and are</w:t>
            </w:r>
            <w:r w:rsidRPr="00B963D3">
              <w:rPr>
                <w:sz w:val="22"/>
              </w:rPr>
              <w:t xml:space="preserve"> crucial for </w:t>
            </w:r>
            <w:r>
              <w:rPr>
                <w:sz w:val="22"/>
              </w:rPr>
              <w:t>the</w:t>
            </w:r>
            <w:r w:rsidRPr="00B963D3">
              <w:rPr>
                <w:sz w:val="22"/>
              </w:rPr>
              <w:t xml:space="preserve"> functioning</w:t>
            </w:r>
            <w:r>
              <w:rPr>
                <w:sz w:val="22"/>
              </w:rPr>
              <w:t xml:space="preserve"> of soils. An active microbiome and below-ground food web controls </w:t>
            </w:r>
            <w:r w:rsidRPr="00887C6B">
              <w:rPr>
                <w:sz w:val="22"/>
              </w:rPr>
              <w:t>energy transformations and nutrient turnover</w:t>
            </w:r>
            <w:r>
              <w:rPr>
                <w:sz w:val="22"/>
              </w:rPr>
              <w:t xml:space="preserve"> of ecosystems. </w:t>
            </w:r>
            <w:r w:rsidRPr="00E87B0C">
              <w:rPr>
                <w:sz w:val="22"/>
              </w:rPr>
              <w:t>The aim of this chapter is to compile the current approaches for defining the loss of soil biodiversity at European level</w:t>
            </w:r>
            <w:r>
              <w:rPr>
                <w:sz w:val="22"/>
              </w:rPr>
              <w:t>.</w:t>
            </w:r>
            <w:r w:rsidRPr="00E87B0C">
              <w:rPr>
                <w:sz w:val="22"/>
              </w:rPr>
              <w:t xml:space="preserve"> </w:t>
            </w:r>
            <w:r>
              <w:rPr>
                <w:sz w:val="22"/>
              </w:rPr>
              <w:t>S</w:t>
            </w:r>
            <w:r w:rsidRPr="00BA39A1">
              <w:rPr>
                <w:sz w:val="22"/>
              </w:rPr>
              <w:t xml:space="preserve">pecies-diversity </w:t>
            </w:r>
            <w:r>
              <w:rPr>
                <w:sz w:val="22"/>
              </w:rPr>
              <w:t>may seem, by definition, a</w:t>
            </w:r>
            <w:r w:rsidRPr="00BA39A1">
              <w:rPr>
                <w:sz w:val="22"/>
              </w:rPr>
              <w:t xml:space="preserve"> robust</w:t>
            </w:r>
            <w:r>
              <w:rPr>
                <w:sz w:val="22"/>
              </w:rPr>
              <w:t xml:space="preserve"> indicator of</w:t>
            </w:r>
            <w:r w:rsidRPr="00BA39A1">
              <w:rPr>
                <w:sz w:val="22"/>
              </w:rPr>
              <w:t xml:space="preserve"> healthy soil communities</w:t>
            </w:r>
            <w:r>
              <w:rPr>
                <w:sz w:val="22"/>
              </w:rPr>
              <w:t>. However, t</w:t>
            </w:r>
            <w:r w:rsidRPr="00E87B0C">
              <w:rPr>
                <w:sz w:val="22"/>
              </w:rPr>
              <w:t>here is a general lack of knowledge about the good status of soil biodiversity</w:t>
            </w:r>
            <w:r>
              <w:rPr>
                <w:sz w:val="22"/>
              </w:rPr>
              <w:t xml:space="preserve"> and</w:t>
            </w:r>
            <w:r w:rsidRPr="00E87B0C">
              <w:rPr>
                <w:sz w:val="22"/>
              </w:rPr>
              <w:t xml:space="preserve"> its baselines</w:t>
            </w:r>
            <w:r>
              <w:rPr>
                <w:sz w:val="22"/>
              </w:rPr>
              <w:t xml:space="preserve">. While an </w:t>
            </w:r>
            <w:r w:rsidRPr="00C4405C">
              <w:rPr>
                <w:sz w:val="22"/>
              </w:rPr>
              <w:t>enormous</w:t>
            </w:r>
            <w:r>
              <w:rPr>
                <w:sz w:val="22"/>
              </w:rPr>
              <w:t xml:space="preserve"> </w:t>
            </w:r>
            <w:r w:rsidRPr="00C4405C">
              <w:rPr>
                <w:sz w:val="22"/>
              </w:rPr>
              <w:t>number of soil-dwelling species</w:t>
            </w:r>
            <w:r>
              <w:rPr>
                <w:sz w:val="22"/>
              </w:rPr>
              <w:t xml:space="preserve"> is still </w:t>
            </w:r>
            <w:r w:rsidRPr="00C4405C">
              <w:rPr>
                <w:sz w:val="22"/>
              </w:rPr>
              <w:t>undescribed</w:t>
            </w:r>
            <w:r>
              <w:rPr>
                <w:sz w:val="22"/>
              </w:rPr>
              <w:t xml:space="preserve">, experimental evidence is lacking about the </w:t>
            </w:r>
            <w:r w:rsidRPr="00E87B0C">
              <w:rPr>
                <w:sz w:val="22"/>
              </w:rPr>
              <w:t xml:space="preserve">critical </w:t>
            </w:r>
            <w:r>
              <w:rPr>
                <w:sz w:val="22"/>
              </w:rPr>
              <w:t xml:space="preserve">role </w:t>
            </w:r>
            <w:r w:rsidRPr="00E87B0C">
              <w:rPr>
                <w:sz w:val="22"/>
              </w:rPr>
              <w:t>of functional</w:t>
            </w:r>
            <w:r>
              <w:rPr>
                <w:sz w:val="22"/>
              </w:rPr>
              <w:t>ly</w:t>
            </w:r>
            <w:r w:rsidRPr="00E87B0C">
              <w:rPr>
                <w:sz w:val="22"/>
              </w:rPr>
              <w:t xml:space="preserve"> relevant </w:t>
            </w:r>
            <w:r>
              <w:rPr>
                <w:sz w:val="22"/>
              </w:rPr>
              <w:t xml:space="preserve">(flagship) </w:t>
            </w:r>
            <w:r w:rsidRPr="00E87B0C">
              <w:rPr>
                <w:sz w:val="22"/>
              </w:rPr>
              <w:t>species</w:t>
            </w:r>
            <w:r>
              <w:rPr>
                <w:sz w:val="22"/>
              </w:rPr>
              <w:t>, and the effects of its loss.</w:t>
            </w:r>
            <w:r w:rsidRPr="00E87B0C">
              <w:rPr>
                <w:sz w:val="22"/>
              </w:rPr>
              <w:t xml:space="preserve"> </w:t>
            </w:r>
            <w:r>
              <w:rPr>
                <w:sz w:val="22"/>
              </w:rPr>
              <w:t>Rather than net species numbers, research focus is currently steered on</w:t>
            </w:r>
            <w:r w:rsidRPr="00BA39A1">
              <w:rPr>
                <w:sz w:val="22"/>
              </w:rPr>
              <w:t xml:space="preserve"> </w:t>
            </w:r>
            <w:r>
              <w:rPr>
                <w:sz w:val="22"/>
              </w:rPr>
              <w:t xml:space="preserve">the </w:t>
            </w:r>
            <w:r w:rsidRPr="00BA39A1">
              <w:rPr>
                <w:sz w:val="22"/>
              </w:rPr>
              <w:t xml:space="preserve">interactions between </w:t>
            </w:r>
            <w:r>
              <w:rPr>
                <w:sz w:val="22"/>
              </w:rPr>
              <w:t xml:space="preserve">functional groups of </w:t>
            </w:r>
            <w:r w:rsidRPr="00BA39A1">
              <w:rPr>
                <w:sz w:val="22"/>
              </w:rPr>
              <w:t xml:space="preserve">organisms and their abiotic environment. </w:t>
            </w:r>
            <w:r>
              <w:rPr>
                <w:sz w:val="22"/>
              </w:rPr>
              <w:t xml:space="preserve">Although it is currently impossible to quantitatively and accurately measure </w:t>
            </w:r>
            <w:r w:rsidRPr="00E87B0C">
              <w:rPr>
                <w:sz w:val="22"/>
              </w:rPr>
              <w:t>soil biodiversity</w:t>
            </w:r>
            <w:r>
              <w:rPr>
                <w:sz w:val="22"/>
              </w:rPr>
              <w:t xml:space="preserve"> as a whole, and to assess its health or level of </w:t>
            </w:r>
            <w:r w:rsidRPr="00E87B0C">
              <w:rPr>
                <w:sz w:val="22"/>
              </w:rPr>
              <w:t>degrad</w:t>
            </w:r>
            <w:r>
              <w:rPr>
                <w:sz w:val="22"/>
              </w:rPr>
              <w:t>ation,</w:t>
            </w:r>
            <w:r w:rsidRPr="00E87B0C">
              <w:rPr>
                <w:sz w:val="22"/>
              </w:rPr>
              <w:t xml:space="preserve"> </w:t>
            </w:r>
            <w:r>
              <w:rPr>
                <w:sz w:val="22"/>
              </w:rPr>
              <w:t>it can be approximated using combinations of subindicators.</w:t>
            </w:r>
          </w:p>
          <w:p w14:paraId="52F4DA08" w14:textId="77777777" w:rsidR="00400E47" w:rsidRDefault="00400E47" w:rsidP="00677B0A">
            <w:pPr>
              <w:pStyle w:val="EEAspacesm"/>
            </w:pPr>
          </w:p>
        </w:tc>
      </w:tr>
    </w:tbl>
    <w:p w14:paraId="1556535E" w14:textId="77777777" w:rsidR="00400E47" w:rsidRDefault="00400E47" w:rsidP="00400E47"/>
    <w:p w14:paraId="2BC8FDAA" w14:textId="77777777" w:rsidR="00400E47" w:rsidRDefault="00400E47" w:rsidP="00400E47">
      <w:r>
        <w:t xml:space="preserve">Increase of soil biodiversity has positive impacts on almost all soil related societal needs and soil functions, </w:t>
      </w:r>
      <w:proofErr w:type="gramStart"/>
      <w:r>
        <w:t>The</w:t>
      </w:r>
      <w:proofErr w:type="gramEnd"/>
      <w:r>
        <w:t xml:space="preserve"> need for infrastructure is not dependant on soil biodiversity.</w:t>
      </w:r>
    </w:p>
    <w:p w14:paraId="58B8254B" w14:textId="77777777" w:rsidR="00400E47" w:rsidRDefault="00400E47" w:rsidP="00400E47"/>
    <w:p w14:paraId="2B7B937A" w14:textId="574A8EF0" w:rsidR="00400E47" w:rsidRDefault="00400E47" w:rsidP="00400E47">
      <w:pPr>
        <w:pStyle w:val="EEALabel"/>
        <w:spacing w:after="120"/>
        <w:rPr>
          <w:rFonts w:eastAsia="Calibri"/>
        </w:rPr>
      </w:pPr>
      <w:bookmarkStart w:id="291" w:name="_Toc83997522"/>
      <w:r>
        <w:t xml:space="preserve">Table </w:t>
      </w:r>
      <w:r>
        <w:fldChar w:fldCharType="begin"/>
      </w:r>
      <w:r>
        <w:instrText xml:space="preserve"> STYLEREF 1 \s </w:instrText>
      </w:r>
      <w:r>
        <w:fldChar w:fldCharType="separate"/>
      </w:r>
      <w:r w:rsidR="0067767C">
        <w:rPr>
          <w:noProof/>
        </w:rPr>
        <w:t>6</w:t>
      </w:r>
      <w:r>
        <w:fldChar w:fldCharType="end"/>
      </w:r>
      <w:r>
        <w:noBreakHyphen/>
      </w:r>
      <w:r>
        <w:fldChar w:fldCharType="begin"/>
      </w:r>
      <w:r>
        <w:instrText xml:space="preserve"> SEQ Table \* ARABIC \s 1 </w:instrText>
      </w:r>
      <w:r>
        <w:fldChar w:fldCharType="separate"/>
      </w:r>
      <w:r w:rsidR="0067767C">
        <w:rPr>
          <w:noProof/>
        </w:rPr>
        <w:t>1</w:t>
      </w:r>
      <w:r>
        <w:fldChar w:fldCharType="end"/>
      </w:r>
      <w:r>
        <w:t>:</w:t>
      </w:r>
      <w:r>
        <w:rPr>
          <w:rFonts w:eastAsia="Calibri"/>
        </w:rPr>
        <w:tab/>
        <w:t>Relationship of Soil biodiversity to key societal needs and soil functions</w:t>
      </w:r>
      <w:bookmarkEnd w:id="291"/>
    </w:p>
    <w:tbl>
      <w:tblPr>
        <w:tblW w:w="6960" w:type="dxa"/>
        <w:tblCellMar>
          <w:left w:w="70" w:type="dxa"/>
          <w:right w:w="70" w:type="dxa"/>
        </w:tblCellMar>
        <w:tblLook w:val="04A0" w:firstRow="1" w:lastRow="0" w:firstColumn="1" w:lastColumn="0" w:noHBand="0" w:noVBand="1"/>
      </w:tblPr>
      <w:tblGrid>
        <w:gridCol w:w="1600"/>
        <w:gridCol w:w="4160"/>
        <w:gridCol w:w="1200"/>
      </w:tblGrid>
      <w:tr w:rsidR="00400E47" w:rsidRPr="0054089A" w14:paraId="612F22BF" w14:textId="77777777" w:rsidTr="00677B0A">
        <w:trPr>
          <w:trHeight w:val="300"/>
        </w:trPr>
        <w:tc>
          <w:tcPr>
            <w:tcW w:w="1600" w:type="dxa"/>
            <w:tcBorders>
              <w:top w:val="nil"/>
              <w:left w:val="nil"/>
              <w:bottom w:val="nil"/>
              <w:right w:val="nil"/>
            </w:tcBorders>
            <w:shd w:val="clear" w:color="auto" w:fill="auto"/>
            <w:noWrap/>
            <w:vAlign w:val="bottom"/>
            <w:hideMark/>
          </w:tcPr>
          <w:p w14:paraId="3ED57202" w14:textId="77777777" w:rsidR="00400E47" w:rsidRPr="0054089A" w:rsidRDefault="00400E47" w:rsidP="00677B0A">
            <w:pPr>
              <w:suppressAutoHyphens w:val="0"/>
              <w:jc w:val="left"/>
              <w:rPr>
                <w:b/>
                <w:bCs/>
                <w:color w:val="000000"/>
                <w:szCs w:val="22"/>
                <w:lang w:eastAsia="de-AT"/>
              </w:rPr>
            </w:pPr>
            <w:r w:rsidRPr="0054089A">
              <w:rPr>
                <w:b/>
                <w:bCs/>
                <w:color w:val="000000"/>
                <w:szCs w:val="22"/>
                <w:lang w:eastAsia="de-AT"/>
              </w:rPr>
              <w:t>Soil biodiversity</w:t>
            </w:r>
          </w:p>
        </w:tc>
        <w:tc>
          <w:tcPr>
            <w:tcW w:w="4160" w:type="dxa"/>
            <w:tcBorders>
              <w:top w:val="nil"/>
              <w:left w:val="nil"/>
              <w:bottom w:val="nil"/>
              <w:right w:val="nil"/>
            </w:tcBorders>
            <w:shd w:val="clear" w:color="auto" w:fill="auto"/>
            <w:noWrap/>
            <w:vAlign w:val="bottom"/>
            <w:hideMark/>
          </w:tcPr>
          <w:p w14:paraId="1D838388" w14:textId="77777777" w:rsidR="00400E47" w:rsidRPr="0054089A" w:rsidRDefault="00400E47" w:rsidP="00677B0A">
            <w:pPr>
              <w:suppressAutoHyphens w:val="0"/>
              <w:jc w:val="left"/>
              <w:rPr>
                <w:b/>
                <w:bCs/>
                <w:color w:val="000000"/>
                <w:szCs w:val="22"/>
                <w:lang w:eastAsia="de-AT"/>
              </w:rPr>
            </w:pPr>
          </w:p>
        </w:tc>
        <w:tc>
          <w:tcPr>
            <w:tcW w:w="1200" w:type="dxa"/>
            <w:tcBorders>
              <w:top w:val="nil"/>
              <w:left w:val="nil"/>
              <w:bottom w:val="nil"/>
              <w:right w:val="nil"/>
            </w:tcBorders>
            <w:shd w:val="clear" w:color="auto" w:fill="auto"/>
            <w:noWrap/>
            <w:vAlign w:val="bottom"/>
            <w:hideMark/>
          </w:tcPr>
          <w:p w14:paraId="5959B2D9" w14:textId="77777777" w:rsidR="00400E47" w:rsidRPr="0054089A" w:rsidRDefault="00400E47" w:rsidP="00677B0A">
            <w:pPr>
              <w:suppressAutoHyphens w:val="0"/>
              <w:jc w:val="left"/>
              <w:rPr>
                <w:rFonts w:ascii="Times New Roman" w:hAnsi="Times New Roman" w:cs="Times New Roman"/>
                <w:sz w:val="20"/>
                <w:lang w:eastAsia="de-AT"/>
              </w:rPr>
            </w:pPr>
          </w:p>
        </w:tc>
      </w:tr>
      <w:tr w:rsidR="00400E47" w:rsidRPr="0054089A" w14:paraId="725C5B87" w14:textId="77777777" w:rsidTr="00677B0A">
        <w:trPr>
          <w:trHeight w:val="105"/>
        </w:trPr>
        <w:tc>
          <w:tcPr>
            <w:tcW w:w="1600" w:type="dxa"/>
            <w:tcBorders>
              <w:top w:val="nil"/>
              <w:left w:val="nil"/>
              <w:right w:val="nil"/>
            </w:tcBorders>
            <w:shd w:val="clear" w:color="auto" w:fill="auto"/>
            <w:noWrap/>
            <w:vAlign w:val="bottom"/>
            <w:hideMark/>
          </w:tcPr>
          <w:p w14:paraId="6854D326" w14:textId="77777777" w:rsidR="00400E47" w:rsidRPr="0054089A" w:rsidRDefault="00400E47" w:rsidP="00677B0A">
            <w:pPr>
              <w:suppressAutoHyphens w:val="0"/>
              <w:jc w:val="left"/>
              <w:rPr>
                <w:rFonts w:ascii="Times New Roman" w:hAnsi="Times New Roman" w:cs="Times New Roman"/>
                <w:sz w:val="20"/>
                <w:lang w:eastAsia="de-AT"/>
              </w:rPr>
            </w:pPr>
          </w:p>
        </w:tc>
        <w:tc>
          <w:tcPr>
            <w:tcW w:w="4160" w:type="dxa"/>
            <w:tcBorders>
              <w:top w:val="nil"/>
              <w:left w:val="nil"/>
              <w:right w:val="nil"/>
            </w:tcBorders>
            <w:shd w:val="clear" w:color="auto" w:fill="auto"/>
            <w:noWrap/>
            <w:vAlign w:val="bottom"/>
            <w:hideMark/>
          </w:tcPr>
          <w:p w14:paraId="193549E0" w14:textId="77777777" w:rsidR="00400E47" w:rsidRPr="0054089A" w:rsidRDefault="00400E47" w:rsidP="00677B0A">
            <w:pPr>
              <w:suppressAutoHyphens w:val="0"/>
              <w:jc w:val="left"/>
              <w:rPr>
                <w:rFonts w:ascii="Times New Roman" w:hAnsi="Times New Roman" w:cs="Times New Roman"/>
                <w:sz w:val="20"/>
                <w:lang w:eastAsia="de-AT"/>
              </w:rPr>
            </w:pPr>
          </w:p>
        </w:tc>
        <w:tc>
          <w:tcPr>
            <w:tcW w:w="1200" w:type="dxa"/>
            <w:tcBorders>
              <w:top w:val="nil"/>
              <w:left w:val="nil"/>
              <w:right w:val="nil"/>
            </w:tcBorders>
            <w:shd w:val="clear" w:color="auto" w:fill="auto"/>
            <w:noWrap/>
            <w:vAlign w:val="bottom"/>
            <w:hideMark/>
          </w:tcPr>
          <w:p w14:paraId="2C5FCD86" w14:textId="77777777" w:rsidR="00400E47" w:rsidRPr="0054089A" w:rsidRDefault="00400E47" w:rsidP="00677B0A">
            <w:pPr>
              <w:suppressAutoHyphens w:val="0"/>
              <w:jc w:val="left"/>
              <w:rPr>
                <w:rFonts w:ascii="Times New Roman" w:hAnsi="Times New Roman" w:cs="Times New Roman"/>
                <w:sz w:val="20"/>
                <w:lang w:eastAsia="de-AT"/>
              </w:rPr>
            </w:pPr>
          </w:p>
        </w:tc>
      </w:tr>
      <w:tr w:rsidR="00400E47" w:rsidRPr="0054089A" w14:paraId="0E918E06" w14:textId="77777777" w:rsidTr="00677B0A">
        <w:trPr>
          <w:trHeight w:val="300"/>
        </w:trPr>
        <w:tc>
          <w:tcPr>
            <w:tcW w:w="1600" w:type="dxa"/>
            <w:tcBorders>
              <w:bottom w:val="single" w:sz="4" w:space="0" w:color="auto"/>
            </w:tcBorders>
            <w:shd w:val="clear" w:color="auto" w:fill="auto"/>
            <w:noWrap/>
            <w:vAlign w:val="bottom"/>
            <w:hideMark/>
          </w:tcPr>
          <w:p w14:paraId="5C303FAE" w14:textId="77777777" w:rsidR="00400E47" w:rsidRPr="0054089A" w:rsidRDefault="00400E47" w:rsidP="00677B0A">
            <w:pPr>
              <w:suppressAutoHyphens w:val="0"/>
              <w:jc w:val="left"/>
              <w:rPr>
                <w:b/>
                <w:bCs/>
                <w:color w:val="000000"/>
                <w:sz w:val="20"/>
                <w:lang w:eastAsia="de-AT"/>
              </w:rPr>
            </w:pPr>
            <w:r w:rsidRPr="0054089A">
              <w:rPr>
                <w:b/>
                <w:bCs/>
                <w:color w:val="000000"/>
                <w:sz w:val="20"/>
                <w:lang w:eastAsia="de-AT"/>
              </w:rPr>
              <w:t>Societal need</w:t>
            </w:r>
          </w:p>
        </w:tc>
        <w:tc>
          <w:tcPr>
            <w:tcW w:w="4160" w:type="dxa"/>
            <w:tcBorders>
              <w:bottom w:val="single" w:sz="4" w:space="0" w:color="auto"/>
            </w:tcBorders>
            <w:shd w:val="clear" w:color="auto" w:fill="auto"/>
            <w:noWrap/>
            <w:vAlign w:val="bottom"/>
            <w:hideMark/>
          </w:tcPr>
          <w:p w14:paraId="4207D6F2" w14:textId="77777777" w:rsidR="00400E47" w:rsidRPr="0054089A" w:rsidRDefault="00400E47" w:rsidP="00677B0A">
            <w:pPr>
              <w:suppressAutoHyphens w:val="0"/>
              <w:jc w:val="left"/>
              <w:rPr>
                <w:b/>
                <w:bCs/>
                <w:color w:val="000000"/>
                <w:sz w:val="20"/>
                <w:lang w:eastAsia="de-AT"/>
              </w:rPr>
            </w:pPr>
            <w:r w:rsidRPr="0054089A">
              <w:rPr>
                <w:b/>
                <w:bCs/>
                <w:color w:val="000000"/>
                <w:sz w:val="20"/>
                <w:lang w:eastAsia="de-AT"/>
              </w:rPr>
              <w:t>Soil service</w:t>
            </w:r>
          </w:p>
        </w:tc>
        <w:tc>
          <w:tcPr>
            <w:tcW w:w="1200" w:type="dxa"/>
            <w:tcBorders>
              <w:bottom w:val="single" w:sz="4" w:space="0" w:color="auto"/>
            </w:tcBorders>
            <w:shd w:val="clear" w:color="auto" w:fill="auto"/>
            <w:noWrap/>
            <w:vAlign w:val="bottom"/>
            <w:hideMark/>
          </w:tcPr>
          <w:p w14:paraId="41CDC87F" w14:textId="77777777" w:rsidR="00400E47" w:rsidRPr="0054089A" w:rsidRDefault="00400E47" w:rsidP="00677B0A">
            <w:pPr>
              <w:suppressAutoHyphens w:val="0"/>
              <w:jc w:val="center"/>
              <w:rPr>
                <w:b/>
                <w:bCs/>
                <w:color w:val="000000"/>
                <w:sz w:val="20"/>
                <w:lang w:eastAsia="de-AT"/>
              </w:rPr>
            </w:pPr>
            <w:r>
              <w:rPr>
                <w:b/>
                <w:bCs/>
                <w:color w:val="000000"/>
                <w:sz w:val="20"/>
                <w:lang w:eastAsia="de-AT"/>
              </w:rPr>
              <w:t>I</w:t>
            </w:r>
            <w:r w:rsidRPr="0054089A">
              <w:rPr>
                <w:b/>
                <w:bCs/>
                <w:color w:val="000000"/>
                <w:sz w:val="20"/>
                <w:lang w:eastAsia="de-AT"/>
              </w:rPr>
              <w:t>mpact</w:t>
            </w:r>
          </w:p>
        </w:tc>
      </w:tr>
      <w:tr w:rsidR="00400E47" w:rsidRPr="0054089A" w14:paraId="25D70331" w14:textId="77777777" w:rsidTr="00677B0A">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01024683" w14:textId="77777777" w:rsidR="00400E47" w:rsidRPr="0054089A" w:rsidRDefault="00400E47" w:rsidP="00677B0A">
            <w:pPr>
              <w:suppressAutoHyphens w:val="0"/>
              <w:jc w:val="left"/>
              <w:rPr>
                <w:b/>
                <w:bCs/>
                <w:sz w:val="20"/>
                <w:lang w:eastAsia="de-AT"/>
              </w:rPr>
            </w:pPr>
            <w:r w:rsidRPr="0054089A">
              <w:rPr>
                <w:b/>
                <w:bCs/>
                <w:sz w:val="20"/>
                <w:lang w:eastAsia="de-AT"/>
              </w:rPr>
              <w:t>Biomass</w:t>
            </w:r>
          </w:p>
        </w:tc>
        <w:tc>
          <w:tcPr>
            <w:tcW w:w="4160" w:type="dxa"/>
            <w:tcBorders>
              <w:top w:val="single" w:sz="4" w:space="0" w:color="auto"/>
              <w:bottom w:val="single" w:sz="4" w:space="0" w:color="auto"/>
              <w:right w:val="single" w:sz="4" w:space="0" w:color="auto"/>
            </w:tcBorders>
            <w:shd w:val="clear" w:color="auto" w:fill="auto"/>
            <w:vAlign w:val="center"/>
            <w:hideMark/>
          </w:tcPr>
          <w:p w14:paraId="4F57CA42" w14:textId="77777777" w:rsidR="00400E47" w:rsidRPr="0054089A" w:rsidRDefault="00400E47" w:rsidP="00677B0A">
            <w:pPr>
              <w:suppressAutoHyphens w:val="0"/>
              <w:jc w:val="left"/>
              <w:rPr>
                <w:color w:val="000000"/>
                <w:sz w:val="20"/>
                <w:lang w:eastAsia="de-AT"/>
              </w:rPr>
            </w:pPr>
            <w:r w:rsidRPr="0054089A">
              <w:rPr>
                <w:color w:val="000000"/>
                <w:sz w:val="20"/>
                <w:lang w:eastAsia="de-AT"/>
              </w:rPr>
              <w:t>Wood &amp; fibre production</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5F7286E"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42394B98" w14:textId="77777777" w:rsidTr="00677B0A">
        <w:trPr>
          <w:trHeight w:val="300"/>
        </w:trPr>
        <w:tc>
          <w:tcPr>
            <w:tcW w:w="1600" w:type="dxa"/>
            <w:vMerge/>
            <w:tcBorders>
              <w:top w:val="single" w:sz="4" w:space="0" w:color="auto"/>
              <w:bottom w:val="single" w:sz="4" w:space="0" w:color="auto"/>
            </w:tcBorders>
            <w:vAlign w:val="center"/>
            <w:hideMark/>
          </w:tcPr>
          <w:p w14:paraId="44A232C3" w14:textId="77777777" w:rsidR="00400E47" w:rsidRPr="0054089A" w:rsidRDefault="00400E47" w:rsidP="00677B0A">
            <w:pPr>
              <w:suppressAutoHyphens w:val="0"/>
              <w:jc w:val="left"/>
              <w:rPr>
                <w:b/>
                <w:bCs/>
                <w:sz w:val="20"/>
                <w:lang w:eastAsia="de-AT"/>
              </w:rPr>
            </w:pPr>
          </w:p>
        </w:tc>
        <w:tc>
          <w:tcPr>
            <w:tcW w:w="4160" w:type="dxa"/>
            <w:tcBorders>
              <w:top w:val="single" w:sz="4" w:space="0" w:color="auto"/>
              <w:bottom w:val="single" w:sz="4" w:space="0" w:color="auto"/>
              <w:right w:val="single" w:sz="4" w:space="0" w:color="auto"/>
            </w:tcBorders>
            <w:shd w:val="clear" w:color="auto" w:fill="auto"/>
            <w:vAlign w:val="center"/>
            <w:hideMark/>
          </w:tcPr>
          <w:p w14:paraId="1D823304" w14:textId="77777777" w:rsidR="00400E47" w:rsidRPr="0054089A" w:rsidRDefault="00400E47" w:rsidP="00677B0A">
            <w:pPr>
              <w:suppressAutoHyphens w:val="0"/>
              <w:jc w:val="left"/>
              <w:rPr>
                <w:color w:val="000000"/>
                <w:sz w:val="20"/>
                <w:lang w:eastAsia="de-AT"/>
              </w:rPr>
            </w:pPr>
            <w:r w:rsidRPr="0054089A">
              <w:rPr>
                <w:color w:val="000000"/>
                <w:sz w:val="20"/>
                <w:lang w:eastAsia="de-AT"/>
              </w:rPr>
              <w:t>Growth of crops</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26EBE191"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07C98151" w14:textId="77777777" w:rsidTr="00677B0A">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2B15F0D8" w14:textId="77777777" w:rsidR="00400E47" w:rsidRPr="0054089A" w:rsidRDefault="00400E47" w:rsidP="00677B0A">
            <w:pPr>
              <w:suppressAutoHyphens w:val="0"/>
              <w:jc w:val="left"/>
              <w:rPr>
                <w:b/>
                <w:bCs/>
                <w:sz w:val="20"/>
                <w:lang w:eastAsia="de-AT"/>
              </w:rPr>
            </w:pPr>
            <w:r w:rsidRPr="0054089A">
              <w:rPr>
                <w:b/>
                <w:bCs/>
                <w:sz w:val="20"/>
                <w:lang w:eastAsia="de-AT"/>
              </w:rPr>
              <w:t>Water</w:t>
            </w:r>
          </w:p>
        </w:tc>
        <w:tc>
          <w:tcPr>
            <w:tcW w:w="4160" w:type="dxa"/>
            <w:tcBorders>
              <w:top w:val="single" w:sz="4" w:space="0" w:color="auto"/>
              <w:bottom w:val="single" w:sz="4" w:space="0" w:color="auto"/>
              <w:right w:val="single" w:sz="4" w:space="0" w:color="auto"/>
            </w:tcBorders>
            <w:shd w:val="clear" w:color="auto" w:fill="auto"/>
            <w:vAlign w:val="center"/>
            <w:hideMark/>
          </w:tcPr>
          <w:p w14:paraId="03C55428" w14:textId="77777777" w:rsidR="00400E47" w:rsidRPr="0054089A" w:rsidRDefault="00400E47" w:rsidP="00677B0A">
            <w:pPr>
              <w:suppressAutoHyphens w:val="0"/>
              <w:jc w:val="left"/>
              <w:rPr>
                <w:color w:val="000000"/>
                <w:sz w:val="20"/>
                <w:lang w:eastAsia="de-AT"/>
              </w:rPr>
            </w:pPr>
            <w:r w:rsidRPr="0054089A">
              <w:rPr>
                <w:color w:val="000000"/>
                <w:sz w:val="20"/>
                <w:lang w:eastAsia="de-AT"/>
              </w:rPr>
              <w:t>Filtering of contaminants</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443A3329"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3F177E69" w14:textId="77777777" w:rsidTr="00677B0A">
        <w:trPr>
          <w:trHeight w:val="300"/>
        </w:trPr>
        <w:tc>
          <w:tcPr>
            <w:tcW w:w="1600" w:type="dxa"/>
            <w:vMerge/>
            <w:tcBorders>
              <w:top w:val="single" w:sz="4" w:space="0" w:color="auto"/>
              <w:bottom w:val="single" w:sz="4" w:space="0" w:color="auto"/>
            </w:tcBorders>
            <w:vAlign w:val="center"/>
            <w:hideMark/>
          </w:tcPr>
          <w:p w14:paraId="5872B699" w14:textId="77777777" w:rsidR="00400E47" w:rsidRPr="0054089A" w:rsidRDefault="00400E47" w:rsidP="00677B0A">
            <w:pPr>
              <w:suppressAutoHyphens w:val="0"/>
              <w:jc w:val="left"/>
              <w:rPr>
                <w:b/>
                <w:bCs/>
                <w:sz w:val="20"/>
                <w:lang w:eastAsia="de-AT"/>
              </w:rPr>
            </w:pPr>
          </w:p>
        </w:tc>
        <w:tc>
          <w:tcPr>
            <w:tcW w:w="4160" w:type="dxa"/>
            <w:tcBorders>
              <w:top w:val="single" w:sz="4" w:space="0" w:color="auto"/>
              <w:bottom w:val="single" w:sz="4" w:space="0" w:color="auto"/>
              <w:right w:val="single" w:sz="4" w:space="0" w:color="auto"/>
            </w:tcBorders>
            <w:shd w:val="clear" w:color="auto" w:fill="auto"/>
            <w:vAlign w:val="center"/>
            <w:hideMark/>
          </w:tcPr>
          <w:p w14:paraId="43D3F1EF" w14:textId="77777777" w:rsidR="00400E47" w:rsidRPr="0054089A" w:rsidRDefault="00400E47" w:rsidP="00677B0A">
            <w:pPr>
              <w:suppressAutoHyphens w:val="0"/>
              <w:jc w:val="left"/>
              <w:rPr>
                <w:color w:val="000000"/>
                <w:sz w:val="20"/>
                <w:lang w:eastAsia="de-AT"/>
              </w:rPr>
            </w:pPr>
            <w:r w:rsidRPr="0054089A">
              <w:rPr>
                <w:color w:val="000000"/>
                <w:sz w:val="20"/>
                <w:lang w:eastAsia="de-AT"/>
              </w:rPr>
              <w:t>Water storage</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34F53C4F"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01918997" w14:textId="77777777" w:rsidTr="00677B0A">
        <w:trPr>
          <w:trHeight w:val="300"/>
        </w:trPr>
        <w:tc>
          <w:tcPr>
            <w:tcW w:w="1600" w:type="dxa"/>
            <w:tcBorders>
              <w:top w:val="single" w:sz="4" w:space="0" w:color="auto"/>
              <w:bottom w:val="single" w:sz="4" w:space="0" w:color="auto"/>
            </w:tcBorders>
            <w:shd w:val="clear" w:color="000000" w:fill="FFFFFF"/>
            <w:noWrap/>
            <w:vAlign w:val="center"/>
            <w:hideMark/>
          </w:tcPr>
          <w:p w14:paraId="03596893" w14:textId="77777777" w:rsidR="00400E47" w:rsidRPr="0054089A" w:rsidRDefault="00400E47" w:rsidP="00677B0A">
            <w:pPr>
              <w:suppressAutoHyphens w:val="0"/>
              <w:jc w:val="left"/>
              <w:rPr>
                <w:b/>
                <w:bCs/>
                <w:sz w:val="20"/>
                <w:lang w:eastAsia="de-AT"/>
              </w:rPr>
            </w:pPr>
            <w:r w:rsidRPr="0054089A">
              <w:rPr>
                <w:b/>
                <w:bCs/>
                <w:sz w:val="20"/>
                <w:lang w:eastAsia="de-AT"/>
              </w:rPr>
              <w:t>Climate</w:t>
            </w:r>
          </w:p>
        </w:tc>
        <w:tc>
          <w:tcPr>
            <w:tcW w:w="4160" w:type="dxa"/>
            <w:tcBorders>
              <w:top w:val="single" w:sz="4" w:space="0" w:color="auto"/>
              <w:bottom w:val="single" w:sz="4" w:space="0" w:color="auto"/>
              <w:right w:val="single" w:sz="4" w:space="0" w:color="auto"/>
            </w:tcBorders>
            <w:shd w:val="clear" w:color="auto" w:fill="auto"/>
            <w:vAlign w:val="center"/>
            <w:hideMark/>
          </w:tcPr>
          <w:p w14:paraId="180D8E7F" w14:textId="77777777" w:rsidR="00400E47" w:rsidRPr="0054089A" w:rsidRDefault="00400E47" w:rsidP="00677B0A">
            <w:pPr>
              <w:suppressAutoHyphens w:val="0"/>
              <w:jc w:val="left"/>
              <w:rPr>
                <w:color w:val="000000"/>
                <w:sz w:val="20"/>
                <w:lang w:eastAsia="de-AT"/>
              </w:rPr>
            </w:pPr>
            <w:r w:rsidRPr="0054089A">
              <w:rPr>
                <w:color w:val="000000"/>
                <w:sz w:val="20"/>
                <w:lang w:eastAsia="de-AT"/>
              </w:rPr>
              <w:t>Carbon storage</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5B204F5D"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51A8C45F" w14:textId="77777777" w:rsidTr="00677B0A">
        <w:trPr>
          <w:trHeight w:val="300"/>
        </w:trPr>
        <w:tc>
          <w:tcPr>
            <w:tcW w:w="1600" w:type="dxa"/>
            <w:tcBorders>
              <w:top w:val="single" w:sz="4" w:space="0" w:color="auto"/>
              <w:bottom w:val="single" w:sz="4" w:space="0" w:color="auto"/>
            </w:tcBorders>
            <w:shd w:val="clear" w:color="000000" w:fill="FFFFFF"/>
            <w:noWrap/>
            <w:vAlign w:val="center"/>
            <w:hideMark/>
          </w:tcPr>
          <w:p w14:paraId="4758216C" w14:textId="77777777" w:rsidR="00400E47" w:rsidRPr="0054089A" w:rsidRDefault="00400E47" w:rsidP="00677B0A">
            <w:pPr>
              <w:suppressAutoHyphens w:val="0"/>
              <w:jc w:val="left"/>
              <w:rPr>
                <w:b/>
                <w:bCs/>
                <w:sz w:val="20"/>
                <w:lang w:eastAsia="de-AT"/>
              </w:rPr>
            </w:pPr>
            <w:r w:rsidRPr="0054089A">
              <w:rPr>
                <w:b/>
                <w:bCs/>
                <w:sz w:val="20"/>
                <w:lang w:eastAsia="de-AT"/>
              </w:rPr>
              <w:t>Biodiversity</w:t>
            </w:r>
          </w:p>
        </w:tc>
        <w:tc>
          <w:tcPr>
            <w:tcW w:w="4160" w:type="dxa"/>
            <w:tcBorders>
              <w:top w:val="single" w:sz="4" w:space="0" w:color="auto"/>
              <w:bottom w:val="single" w:sz="4" w:space="0" w:color="auto"/>
              <w:right w:val="single" w:sz="4" w:space="0" w:color="auto"/>
            </w:tcBorders>
            <w:shd w:val="clear" w:color="auto" w:fill="auto"/>
            <w:vAlign w:val="center"/>
            <w:hideMark/>
          </w:tcPr>
          <w:p w14:paraId="1B071596" w14:textId="77777777" w:rsidR="00400E47" w:rsidRPr="0054089A" w:rsidRDefault="00400E47" w:rsidP="00677B0A">
            <w:pPr>
              <w:suppressAutoHyphens w:val="0"/>
              <w:jc w:val="left"/>
              <w:rPr>
                <w:color w:val="000000"/>
                <w:sz w:val="20"/>
                <w:lang w:eastAsia="de-AT"/>
              </w:rPr>
            </w:pPr>
            <w:r w:rsidRPr="0054089A">
              <w:rPr>
                <w:color w:val="000000"/>
                <w:sz w:val="20"/>
                <w:lang w:eastAsia="de-AT"/>
              </w:rPr>
              <w:t>Habitat for plants</w:t>
            </w:r>
            <w:r>
              <w:rPr>
                <w:color w:val="000000"/>
                <w:sz w:val="20"/>
                <w:lang w:eastAsia="de-AT"/>
              </w:rPr>
              <w:t>.</w:t>
            </w:r>
            <w:r w:rsidRPr="0054089A">
              <w:rPr>
                <w:color w:val="000000"/>
                <w:sz w:val="20"/>
                <w:lang w:eastAsia="de-AT"/>
              </w:rPr>
              <w:t xml:space="preserve"> </w:t>
            </w:r>
            <w:proofErr w:type="gramStart"/>
            <w:r w:rsidRPr="0054089A">
              <w:rPr>
                <w:color w:val="000000"/>
                <w:sz w:val="20"/>
                <w:lang w:eastAsia="de-AT"/>
              </w:rPr>
              <w:t>insects</w:t>
            </w:r>
            <w:proofErr w:type="gramEnd"/>
            <w:r>
              <w:rPr>
                <w:color w:val="000000"/>
                <w:sz w:val="20"/>
                <w:lang w:eastAsia="de-AT"/>
              </w:rPr>
              <w:t>.</w:t>
            </w:r>
            <w:r w:rsidRPr="0054089A">
              <w:rPr>
                <w:color w:val="000000"/>
                <w:sz w:val="20"/>
                <w:lang w:eastAsia="de-AT"/>
              </w:rPr>
              <w:t xml:space="preserve"> </w:t>
            </w:r>
            <w:proofErr w:type="gramStart"/>
            <w:r w:rsidRPr="0054089A">
              <w:rPr>
                <w:color w:val="000000"/>
                <w:sz w:val="20"/>
                <w:lang w:eastAsia="de-AT"/>
              </w:rPr>
              <w:t>microbes</w:t>
            </w:r>
            <w:proofErr w:type="gramEnd"/>
            <w:r>
              <w:rPr>
                <w:color w:val="000000"/>
                <w:sz w:val="20"/>
                <w:lang w:eastAsia="de-AT"/>
              </w:rPr>
              <w:t>.</w:t>
            </w:r>
            <w:r w:rsidRPr="0054089A">
              <w:rPr>
                <w:color w:val="000000"/>
                <w:sz w:val="20"/>
                <w:lang w:eastAsia="de-AT"/>
              </w:rPr>
              <w:t xml:space="preserve"> fungi</w:t>
            </w:r>
          </w:p>
        </w:tc>
        <w:tc>
          <w:tcPr>
            <w:tcW w:w="12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9D3E944" w14:textId="77777777" w:rsidR="00400E47" w:rsidRPr="0054089A" w:rsidRDefault="00400E47" w:rsidP="00677B0A">
            <w:pPr>
              <w:suppressAutoHyphens w:val="0"/>
              <w:jc w:val="center"/>
              <w:rPr>
                <w:b/>
                <w:bCs/>
                <w:color w:val="000000"/>
                <w:szCs w:val="22"/>
                <w:lang w:eastAsia="de-AT"/>
              </w:rPr>
            </w:pPr>
            <w:r w:rsidRPr="0054089A">
              <w:rPr>
                <w:b/>
                <w:bCs/>
                <w:color w:val="000000"/>
                <w:szCs w:val="22"/>
                <w:lang w:eastAsia="de-AT"/>
              </w:rPr>
              <w:t>+</w:t>
            </w:r>
          </w:p>
        </w:tc>
      </w:tr>
      <w:tr w:rsidR="00400E47" w:rsidRPr="0054089A" w14:paraId="1E82BD0A" w14:textId="77777777" w:rsidTr="00677B0A">
        <w:trPr>
          <w:trHeight w:val="300"/>
        </w:trPr>
        <w:tc>
          <w:tcPr>
            <w:tcW w:w="1600" w:type="dxa"/>
            <w:vMerge w:val="restart"/>
            <w:tcBorders>
              <w:top w:val="single" w:sz="4" w:space="0" w:color="auto"/>
              <w:bottom w:val="single" w:sz="4" w:space="0" w:color="auto"/>
            </w:tcBorders>
            <w:shd w:val="clear" w:color="auto" w:fill="auto"/>
            <w:noWrap/>
            <w:vAlign w:val="center"/>
            <w:hideMark/>
          </w:tcPr>
          <w:p w14:paraId="5282554A" w14:textId="77777777" w:rsidR="00400E47" w:rsidRPr="0054089A" w:rsidRDefault="00400E47" w:rsidP="00677B0A">
            <w:pPr>
              <w:suppressAutoHyphens w:val="0"/>
              <w:jc w:val="left"/>
              <w:rPr>
                <w:b/>
                <w:bCs/>
                <w:sz w:val="20"/>
                <w:lang w:eastAsia="de-AT"/>
              </w:rPr>
            </w:pPr>
            <w:r w:rsidRPr="0054089A">
              <w:rPr>
                <w:b/>
                <w:bCs/>
                <w:sz w:val="20"/>
                <w:lang w:eastAsia="de-AT"/>
              </w:rPr>
              <w:t>Infrastructure</w:t>
            </w:r>
          </w:p>
        </w:tc>
        <w:tc>
          <w:tcPr>
            <w:tcW w:w="4160" w:type="dxa"/>
            <w:tcBorders>
              <w:top w:val="single" w:sz="4" w:space="0" w:color="auto"/>
              <w:bottom w:val="single" w:sz="4" w:space="0" w:color="auto"/>
              <w:right w:val="single" w:sz="4" w:space="0" w:color="auto"/>
            </w:tcBorders>
            <w:shd w:val="clear" w:color="auto" w:fill="auto"/>
            <w:vAlign w:val="center"/>
            <w:hideMark/>
          </w:tcPr>
          <w:p w14:paraId="6D0EDD7C" w14:textId="77777777" w:rsidR="00400E47" w:rsidRPr="0054089A" w:rsidRDefault="00400E47" w:rsidP="00677B0A">
            <w:pPr>
              <w:suppressAutoHyphens w:val="0"/>
              <w:jc w:val="left"/>
              <w:rPr>
                <w:color w:val="000000"/>
                <w:sz w:val="20"/>
                <w:lang w:eastAsia="de-AT"/>
              </w:rPr>
            </w:pPr>
            <w:r w:rsidRPr="0054089A">
              <w:rPr>
                <w:color w:val="000000"/>
                <w:sz w:val="20"/>
                <w:lang w:eastAsia="de-AT"/>
              </w:rPr>
              <w:t>Platform for infrastructure</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53C392" w14:textId="77777777" w:rsidR="00400E47" w:rsidRPr="0054089A" w:rsidRDefault="00400E47" w:rsidP="00677B0A">
            <w:pPr>
              <w:suppressAutoHyphens w:val="0"/>
              <w:jc w:val="center"/>
              <w:rPr>
                <w:color w:val="000000"/>
                <w:sz w:val="20"/>
                <w:lang w:eastAsia="de-AT"/>
              </w:rPr>
            </w:pPr>
            <w:proofErr w:type="gramStart"/>
            <w:r w:rsidRPr="0054089A">
              <w:rPr>
                <w:color w:val="000000"/>
                <w:sz w:val="20"/>
                <w:lang w:eastAsia="de-AT"/>
              </w:rPr>
              <w:t>indiff</w:t>
            </w:r>
            <w:proofErr w:type="gramEnd"/>
            <w:r>
              <w:rPr>
                <w:color w:val="000000"/>
                <w:sz w:val="20"/>
                <w:lang w:eastAsia="de-AT"/>
              </w:rPr>
              <w:t>.</w:t>
            </w:r>
          </w:p>
        </w:tc>
      </w:tr>
      <w:tr w:rsidR="00400E47" w:rsidRPr="0054089A" w14:paraId="436FD322" w14:textId="77777777" w:rsidTr="00677B0A">
        <w:trPr>
          <w:trHeight w:val="300"/>
        </w:trPr>
        <w:tc>
          <w:tcPr>
            <w:tcW w:w="1600" w:type="dxa"/>
            <w:vMerge/>
            <w:tcBorders>
              <w:top w:val="single" w:sz="4" w:space="0" w:color="auto"/>
            </w:tcBorders>
            <w:vAlign w:val="center"/>
            <w:hideMark/>
          </w:tcPr>
          <w:p w14:paraId="189AEBFF" w14:textId="77777777" w:rsidR="00400E47" w:rsidRPr="0054089A" w:rsidRDefault="00400E47" w:rsidP="00677B0A">
            <w:pPr>
              <w:suppressAutoHyphens w:val="0"/>
              <w:jc w:val="left"/>
              <w:rPr>
                <w:b/>
                <w:bCs/>
                <w:sz w:val="20"/>
                <w:lang w:eastAsia="de-AT"/>
              </w:rPr>
            </w:pPr>
          </w:p>
        </w:tc>
        <w:tc>
          <w:tcPr>
            <w:tcW w:w="4160" w:type="dxa"/>
            <w:tcBorders>
              <w:top w:val="single" w:sz="4" w:space="0" w:color="auto"/>
              <w:right w:val="single" w:sz="4" w:space="0" w:color="auto"/>
            </w:tcBorders>
            <w:shd w:val="clear" w:color="auto" w:fill="auto"/>
            <w:vAlign w:val="center"/>
            <w:hideMark/>
          </w:tcPr>
          <w:p w14:paraId="0A5C546E" w14:textId="77777777" w:rsidR="00400E47" w:rsidRPr="0054089A" w:rsidRDefault="00400E47" w:rsidP="00677B0A">
            <w:pPr>
              <w:suppressAutoHyphens w:val="0"/>
              <w:jc w:val="left"/>
              <w:rPr>
                <w:color w:val="000000"/>
                <w:sz w:val="20"/>
                <w:lang w:eastAsia="de-AT"/>
              </w:rPr>
            </w:pPr>
            <w:r w:rsidRPr="0054089A">
              <w:rPr>
                <w:color w:val="000000"/>
                <w:sz w:val="20"/>
                <w:lang w:eastAsia="de-AT"/>
              </w:rPr>
              <w:t>Storage of geological material</w:t>
            </w:r>
          </w:p>
        </w:tc>
        <w:tc>
          <w:tcPr>
            <w:tcW w:w="12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1FBBAF" w14:textId="77777777" w:rsidR="00400E47" w:rsidRPr="0054089A" w:rsidRDefault="00400E47" w:rsidP="00677B0A">
            <w:pPr>
              <w:suppressAutoHyphens w:val="0"/>
              <w:jc w:val="center"/>
              <w:rPr>
                <w:color w:val="000000"/>
                <w:sz w:val="20"/>
                <w:lang w:eastAsia="de-AT"/>
              </w:rPr>
            </w:pPr>
            <w:proofErr w:type="gramStart"/>
            <w:r w:rsidRPr="0054089A">
              <w:rPr>
                <w:color w:val="000000"/>
                <w:sz w:val="20"/>
                <w:lang w:eastAsia="de-AT"/>
              </w:rPr>
              <w:t>indiff</w:t>
            </w:r>
            <w:proofErr w:type="gramEnd"/>
            <w:r>
              <w:rPr>
                <w:color w:val="000000"/>
                <w:sz w:val="20"/>
                <w:lang w:eastAsia="de-AT"/>
              </w:rPr>
              <w:t>.</w:t>
            </w:r>
          </w:p>
        </w:tc>
      </w:tr>
    </w:tbl>
    <w:p w14:paraId="34039FC9" w14:textId="77777777" w:rsidR="00400E47" w:rsidRDefault="00400E47" w:rsidP="00400E47"/>
    <w:p w14:paraId="0A15B318" w14:textId="77777777" w:rsidR="00400E47" w:rsidRDefault="00400E47" w:rsidP="0048743B">
      <w:pPr>
        <w:pStyle w:val="berschrift2"/>
        <w:numPr>
          <w:ilvl w:val="1"/>
          <w:numId w:val="22"/>
        </w:numPr>
        <w:tabs>
          <w:tab w:val="clear" w:pos="567"/>
        </w:tabs>
      </w:pPr>
      <w:bookmarkStart w:id="292" w:name="_Toc66352213"/>
      <w:bookmarkStart w:id="293" w:name="_Toc83997369"/>
      <w:r w:rsidRPr="00CF520A">
        <w:t>Rationale “Loss of Soil Biodiversity”</w:t>
      </w:r>
      <w:bookmarkEnd w:id="292"/>
      <w:bookmarkEnd w:id="293"/>
    </w:p>
    <w:p w14:paraId="5B8C1366" w14:textId="77777777" w:rsidR="00400E47" w:rsidRDefault="00400E47" w:rsidP="00400E47">
      <w:pPr>
        <w:spacing w:before="120"/>
      </w:pPr>
      <w:r w:rsidRPr="00D8358F">
        <w:t>The majority of soil processes are driven by the soil biota (i</w:t>
      </w:r>
      <w:r>
        <w:t>.</w:t>
      </w:r>
      <w:r w:rsidRPr="00D8358F">
        <w:t>e</w:t>
      </w:r>
      <w:r>
        <w:t>.</w:t>
      </w:r>
      <w:r w:rsidRPr="00D8358F">
        <w:t xml:space="preserve"> communities of many different microbial and invertebrate species) - thus its important role for many soil functions (Ritz et </w:t>
      </w:r>
      <w:r>
        <w:t>al.</w:t>
      </w:r>
      <w:r w:rsidRPr="00D8358F">
        <w:t xml:space="preserve"> 2009)</w:t>
      </w:r>
      <w:r>
        <w:t>.</w:t>
      </w:r>
      <w:r w:rsidRPr="00D8358F">
        <w:t xml:space="preserve"> Loss of soil biodiversity directly affects soil ecosystem services (Breure 2004)</w:t>
      </w:r>
      <w:r>
        <w:t>.</w:t>
      </w:r>
      <w:r w:rsidRPr="00D8358F">
        <w:t xml:space="preserve"> Field research has shown that altered levels of soil biodiversity impact ecosystem services</w:t>
      </w:r>
      <w:r>
        <w:t>.</w:t>
      </w:r>
      <w:r w:rsidRPr="00D8358F">
        <w:t xml:space="preserve"> For instance</w:t>
      </w:r>
      <w:r>
        <w:t>,</w:t>
      </w:r>
      <w:r w:rsidRPr="00D8358F">
        <w:t xml:space="preserve"> De Vries et </w:t>
      </w:r>
      <w:r>
        <w:t>al.</w:t>
      </w:r>
      <w:r w:rsidRPr="00D8358F">
        <w:t xml:space="preserve"> (2013) demonstrated that adequate C and N cycling processes require a certain level of biodiversity</w:t>
      </w:r>
      <w:r>
        <w:t>,</w:t>
      </w:r>
      <w:r w:rsidRPr="00D8358F">
        <w:t xml:space="preserve"> i</w:t>
      </w:r>
      <w:r>
        <w:t>.</w:t>
      </w:r>
      <w:r w:rsidRPr="00D8358F">
        <w:t>e</w:t>
      </w:r>
      <w:r>
        <w:t>.</w:t>
      </w:r>
      <w:r w:rsidRPr="00D8358F">
        <w:t xml:space="preserve"> a minimum number of specific feeding groups (e</w:t>
      </w:r>
      <w:r>
        <w:t>.</w:t>
      </w:r>
      <w:r w:rsidRPr="00D8358F">
        <w:t>g</w:t>
      </w:r>
      <w:r>
        <w:t>.</w:t>
      </w:r>
      <w:r w:rsidRPr="00D8358F">
        <w:t xml:space="preserve"> microbes and invertebrates)</w:t>
      </w:r>
      <w:r>
        <w:t>,</w:t>
      </w:r>
      <w:r w:rsidRPr="00D8358F">
        <w:t xml:space="preserve"> total biomass of the soil food web</w:t>
      </w:r>
      <w:r>
        <w:t>,</w:t>
      </w:r>
      <w:r w:rsidRPr="00D8358F">
        <w:t xml:space="preserve"> and biomass of the fungal</w:t>
      </w:r>
      <w:r>
        <w:t>,</w:t>
      </w:r>
      <w:r w:rsidRPr="00D8358F">
        <w:t xml:space="preserve"> bacterial</w:t>
      </w:r>
      <w:r>
        <w:t>,</w:t>
      </w:r>
      <w:r w:rsidRPr="00D8358F">
        <w:t xml:space="preserve"> and root energy channel</w:t>
      </w:r>
      <w:r>
        <w:t>.</w:t>
      </w:r>
      <w:r w:rsidRPr="00D8358F">
        <w:t xml:space="preserve"> According to Orgiazzi at al</w:t>
      </w:r>
      <w:r>
        <w:t>.</w:t>
      </w:r>
      <w:r w:rsidRPr="00D8358F">
        <w:t xml:space="preserve"> (2016)</w:t>
      </w:r>
      <w:r>
        <w:t>,</w:t>
      </w:r>
      <w:r w:rsidRPr="00D8358F">
        <w:t xml:space="preserve"> in 14 out of the 27 investigated EU countries</w:t>
      </w:r>
      <w:r>
        <w:t xml:space="preserve"> covering </w:t>
      </w:r>
      <w:r w:rsidRPr="00D8358F">
        <w:t>more than 40% of the</w:t>
      </w:r>
      <w:r>
        <w:t xml:space="preserve"> EU’s </w:t>
      </w:r>
      <w:r w:rsidRPr="00D8358F">
        <w:t>soils</w:t>
      </w:r>
      <w:r>
        <w:t>,</w:t>
      </w:r>
      <w:r w:rsidRPr="00D8358F">
        <w:t xml:space="preserve"> moderate-high to high potential risks for soil biodiversity do exist</w:t>
      </w:r>
      <w:r>
        <w:t>.</w:t>
      </w:r>
    </w:p>
    <w:p w14:paraId="27D11F2D" w14:textId="77777777" w:rsidR="00400E47" w:rsidRDefault="00400E47" w:rsidP="00400E47"/>
    <w:p w14:paraId="1CA5C323" w14:textId="77777777" w:rsidR="00400E47" w:rsidRDefault="00400E47" w:rsidP="00400E47">
      <w:r w:rsidRPr="00D8358F">
        <w:t>Soil biodiversity commonly includes all organisms living in the soil (including the soil surface</w:t>
      </w:r>
      <w:r>
        <w:t>,</w:t>
      </w:r>
      <w:r w:rsidRPr="00D8358F">
        <w:t xml:space="preserve"> e</w:t>
      </w:r>
      <w:r>
        <w:t>.</w:t>
      </w:r>
      <w:r w:rsidRPr="00D8358F">
        <w:t>g</w:t>
      </w:r>
      <w:r>
        <w:t>.</w:t>
      </w:r>
      <w:r w:rsidRPr="00D8358F">
        <w:t xml:space="preserve"> the litter layer): macro</w:t>
      </w:r>
      <w:r>
        <w:t>,</w:t>
      </w:r>
      <w:r w:rsidRPr="00D8358F">
        <w:t xml:space="preserve"> meso and microfauna</w:t>
      </w:r>
      <w:r>
        <w:t>,</w:t>
      </w:r>
      <w:r w:rsidRPr="00D8358F">
        <w:t xml:space="preserve"> and microorganisms (bacteria</w:t>
      </w:r>
      <w:r>
        <w:t>,</w:t>
      </w:r>
      <w:r w:rsidRPr="00D8358F">
        <w:t xml:space="preserve"> fungi</w:t>
      </w:r>
      <w:r>
        <w:t>,</w:t>
      </w:r>
      <w:r w:rsidRPr="00D8358F">
        <w:t xml:space="preserve"> prot</w:t>
      </w:r>
      <w:r>
        <w:t>ists, archaea</w:t>
      </w:r>
      <w:r w:rsidRPr="00D8358F">
        <w:t xml:space="preserve"> and algae)</w:t>
      </w:r>
      <w:r>
        <w:t>.</w:t>
      </w:r>
      <w:r w:rsidRPr="00D8358F">
        <w:t xml:space="preserve"> </w:t>
      </w:r>
      <w:r>
        <w:t xml:space="preserve">According to Bloem et al. (2006), the main functional groups of the soil food web are: </w:t>
      </w:r>
    </w:p>
    <w:p w14:paraId="1E3BDBA0" w14:textId="77777777" w:rsidR="00400E47" w:rsidRDefault="00400E47" w:rsidP="00400E47">
      <w:pPr>
        <w:ind w:left="284" w:hanging="284"/>
      </w:pPr>
      <w:r>
        <w:t>•</w:t>
      </w:r>
      <w:r>
        <w:tab/>
        <w:t>Earthworms consume plant residues and soil including (micro</w:t>
      </w:r>
      <w:proofErr w:type="gramStart"/>
      <w:r>
        <w:t>)organisms</w:t>
      </w:r>
      <w:proofErr w:type="gramEnd"/>
      <w:r>
        <w:t xml:space="preserve">. Often they form the major part of the soil fauna biomass with maximally 1000 individuals per m2, 3000 kg fresh biomass per hectare, or a few hundred kg of carbon (C) per hectare. </w:t>
      </w:r>
    </w:p>
    <w:p w14:paraId="79654EA8" w14:textId="77777777" w:rsidR="00400E47" w:rsidRDefault="00400E47" w:rsidP="00400E47">
      <w:pPr>
        <w:ind w:left="284" w:hanging="284"/>
      </w:pPr>
      <w:r>
        <w:t>•</w:t>
      </w:r>
      <w:r>
        <w:tab/>
        <w:t>Enchytraeids (potworms) are relatives of earthworms with a much smaller size and a similar diet. Their densities are between 102 and 106 per m2, with a biomass up to 1 kg C ha</w:t>
      </w:r>
      <w:r w:rsidRPr="006410DE">
        <w:rPr>
          <w:vertAlign w:val="superscript"/>
        </w:rPr>
        <w:t>-1</w:t>
      </w:r>
      <w:r>
        <w:t xml:space="preserve">. </w:t>
      </w:r>
    </w:p>
    <w:p w14:paraId="3E877273" w14:textId="77777777" w:rsidR="00400E47" w:rsidRDefault="00400E47" w:rsidP="00400E47">
      <w:pPr>
        <w:ind w:left="284" w:hanging="284"/>
      </w:pPr>
      <w:r>
        <w:lastRenderedPageBreak/>
        <w:t>•</w:t>
      </w:r>
      <w:r>
        <w:tab/>
        <w:t xml:space="preserve">Mites (fungivores, bacterivores, </w:t>
      </w:r>
      <w:proofErr w:type="gramStart"/>
      <w:r>
        <w:t>predators</w:t>
      </w:r>
      <w:proofErr w:type="gramEnd"/>
      <w:r>
        <w:t>) have a size of about 1 mm, densities of 104-105 per m2, and a biomass up to 0.1 kg C ha</w:t>
      </w:r>
      <w:r w:rsidRPr="006410DE">
        <w:rPr>
          <w:vertAlign w:val="superscript"/>
        </w:rPr>
        <w:t>-1</w:t>
      </w:r>
      <w:r>
        <w:t xml:space="preserve">. </w:t>
      </w:r>
    </w:p>
    <w:p w14:paraId="6D3E8383" w14:textId="77777777" w:rsidR="00400E47" w:rsidRDefault="00400E47" w:rsidP="00400E47">
      <w:pPr>
        <w:ind w:left="284" w:hanging="284"/>
      </w:pPr>
      <w:r>
        <w:t>•</w:t>
      </w:r>
      <w:r>
        <w:tab/>
        <w:t>Springtails or Collembola (fungivores, omnivores) also have a size of about 1 mm. They reach densities of 103-105 per m2 and a biomass up to 1 kg C ha</w:t>
      </w:r>
      <w:r w:rsidRPr="006410DE">
        <w:rPr>
          <w:vertAlign w:val="superscript"/>
        </w:rPr>
        <w:t>-1</w:t>
      </w:r>
      <w:r>
        <w:t xml:space="preserve">. </w:t>
      </w:r>
    </w:p>
    <w:p w14:paraId="12481B59" w14:textId="77777777" w:rsidR="00400E47" w:rsidRDefault="00400E47" w:rsidP="00400E47">
      <w:pPr>
        <w:ind w:left="284" w:hanging="284"/>
      </w:pPr>
      <w:r>
        <w:t>•</w:t>
      </w:r>
      <w:r>
        <w:tab/>
        <w:t xml:space="preserve">Nematodes (bacterivores, herbivores, fungivores, </w:t>
      </w:r>
      <w:proofErr w:type="gramStart"/>
      <w:r>
        <w:t>predators</w:t>
      </w:r>
      <w:proofErr w:type="gramEnd"/>
      <w:r>
        <w:t>/omnivores) have a size of about 500 µm, densities of 10-50 per g soil, and a biomass up to 1 kg C ha</w:t>
      </w:r>
      <w:r w:rsidRPr="006410DE">
        <w:rPr>
          <w:vertAlign w:val="superscript"/>
        </w:rPr>
        <w:t>-1</w:t>
      </w:r>
      <w:r>
        <w:t xml:space="preserve">. </w:t>
      </w:r>
    </w:p>
    <w:p w14:paraId="734DE864" w14:textId="77777777" w:rsidR="00400E47" w:rsidRDefault="00400E47" w:rsidP="00400E47">
      <w:pPr>
        <w:ind w:left="284" w:hanging="284"/>
      </w:pPr>
      <w:r>
        <w:t>•</w:t>
      </w:r>
      <w:r>
        <w:tab/>
        <w:t>Protists (amoebae, flagellates, ciliates) are unicellular animals with a size of 2-200 µm, densities of about 106 cells per g soil, and a biomass of about 10 kg C ha</w:t>
      </w:r>
      <w:r w:rsidRPr="006410DE">
        <w:rPr>
          <w:vertAlign w:val="superscript"/>
        </w:rPr>
        <w:t>-1</w:t>
      </w:r>
      <w:r>
        <w:t>.</w:t>
      </w:r>
    </w:p>
    <w:p w14:paraId="0ED933FA" w14:textId="77777777" w:rsidR="00400E47" w:rsidRDefault="00400E47" w:rsidP="00400E47">
      <w:pPr>
        <w:ind w:left="284" w:hanging="284"/>
      </w:pPr>
      <w:r>
        <w:t>•</w:t>
      </w:r>
      <w:r>
        <w:tab/>
        <w:t>Bacteria are usually smaller than 2 µm, with densities of about 109 cells per g soil, and a biomass of 50-500 kg C ha</w:t>
      </w:r>
      <w:r w:rsidRPr="006410DE">
        <w:rPr>
          <w:vertAlign w:val="superscript"/>
        </w:rPr>
        <w:t>-1</w:t>
      </w:r>
      <w:r>
        <w:t>.</w:t>
      </w:r>
    </w:p>
    <w:p w14:paraId="3DABA3CF" w14:textId="77777777" w:rsidR="00400E47" w:rsidRDefault="00400E47" w:rsidP="00400E47">
      <w:pPr>
        <w:ind w:left="284" w:hanging="284"/>
      </w:pPr>
      <w:r>
        <w:t>•</w:t>
      </w:r>
      <w:r>
        <w:tab/>
        <w:t>Fungi grow as networks of threads (hyphae) which usually have diameters from 2 to 10 µm, and reach total lengths of 10 to 1000 meter g-1 soil, and a biomass of 1 to 500 kg C ha</w:t>
      </w:r>
      <w:r w:rsidRPr="006410DE">
        <w:rPr>
          <w:vertAlign w:val="superscript"/>
        </w:rPr>
        <w:t>-1</w:t>
      </w:r>
      <w:r>
        <w:t>.</w:t>
      </w:r>
    </w:p>
    <w:p w14:paraId="7CB8198E" w14:textId="77777777" w:rsidR="00400E47" w:rsidRDefault="00400E47" w:rsidP="00400E47"/>
    <w:p w14:paraId="3DB9693A" w14:textId="77777777" w:rsidR="00400E47" w:rsidRPr="00D8358F" w:rsidRDefault="00400E47" w:rsidP="00400E47">
      <w:r w:rsidRPr="00D8358F">
        <w:t>Without anthropogenic impacts the occurrence and diversity of these groups is mainly determined by the site-specific soil properties</w:t>
      </w:r>
      <w:r>
        <w:t>;</w:t>
      </w:r>
      <w:r w:rsidRPr="00D8358F">
        <w:t xml:space="preserve"> </w:t>
      </w:r>
      <w:r w:rsidRPr="00A55FF0">
        <w:t>Rutgers et al. (2009)</w:t>
      </w:r>
      <w:r>
        <w:t xml:space="preserve"> found that b</w:t>
      </w:r>
      <w:r w:rsidRPr="00A55FF0">
        <w:t xml:space="preserve">iomass or numbers (abundance) of major groups of soil organisms varied among groups of land use and soil type. </w:t>
      </w:r>
      <w:r w:rsidRPr="00D8358F">
        <w:t>In order to assess the level of biodiversity below which soil functioning would be hampered</w:t>
      </w:r>
      <w:r>
        <w:t>,</w:t>
      </w:r>
      <w:r w:rsidRPr="00D8358F">
        <w:t xml:space="preserve"> FAO and ITPS (2015) suggest the development of thresholds (see also Van der Heijden et </w:t>
      </w:r>
      <w:r>
        <w:t>al.,</w:t>
      </w:r>
      <w:r w:rsidRPr="00D8358F">
        <w:t xml:space="preserve"> 1998; Liiri et </w:t>
      </w:r>
      <w:r>
        <w:t>al.,</w:t>
      </w:r>
      <w:r w:rsidRPr="00D8358F">
        <w:t xml:space="preserve"> 2002; Setälä and McLean</w:t>
      </w:r>
      <w:r>
        <w:t>,</w:t>
      </w:r>
      <w:r w:rsidRPr="00D8358F">
        <w:t xml:space="preserve"> 2004)</w:t>
      </w:r>
      <w:r>
        <w:t>.</w:t>
      </w:r>
      <w:r w:rsidRPr="00D8358F">
        <w:t xml:space="preserve"> However</w:t>
      </w:r>
      <w:r>
        <w:t>,</w:t>
      </w:r>
      <w:r w:rsidRPr="00D8358F">
        <w:t xml:space="preserve"> at first</w:t>
      </w:r>
      <w:r>
        <w:t>,</w:t>
      </w:r>
      <w:r w:rsidRPr="00D8358F">
        <w:t xml:space="preserve"> a clear relationship between biodiversity parameters and indicators for specific soil functions must be established (see Van Leuween et </w:t>
      </w:r>
      <w:r>
        <w:t>al.</w:t>
      </w:r>
      <w:r w:rsidRPr="00D8358F">
        <w:t xml:space="preserve"> 2017)</w:t>
      </w:r>
      <w:r>
        <w:t>.</w:t>
      </w:r>
      <w:r w:rsidRPr="00D8358F">
        <w:t xml:space="preserve"> This begins with clear objectives for quality criteria of individual ecosystem services for specific ecosystems</w:t>
      </w:r>
      <w:r>
        <w:t>,</w:t>
      </w:r>
      <w:r w:rsidRPr="00D8358F">
        <w:t xml:space="preserve"> and ends with the selection of the most appropriate indicator organism group(s)/species</w:t>
      </w:r>
      <w:r>
        <w:t>.</w:t>
      </w:r>
      <w:r w:rsidRPr="00D8358F">
        <w:t xml:space="preserve">  </w:t>
      </w:r>
    </w:p>
    <w:p w14:paraId="0D06ADAA" w14:textId="77777777" w:rsidR="00400E47" w:rsidRPr="00D8358F" w:rsidRDefault="00400E47" w:rsidP="00400E47"/>
    <w:p w14:paraId="54411332" w14:textId="77777777" w:rsidR="00400E47" w:rsidRPr="00D8358F" w:rsidRDefault="00400E47" w:rsidP="00400E47">
      <w:r w:rsidRPr="00D8358F">
        <w:t>Although there have been many initiatives approaching soil biodiversity mapping across Europe in the past</w:t>
      </w:r>
      <w:r>
        <w:t>,</w:t>
      </w:r>
      <w:r w:rsidRPr="00D8358F">
        <w:t xml:space="preserve"> currently there is a lack of knowledge for establishing (site or biotope specific) soil biodiversity baselines (EEA</w:t>
      </w:r>
      <w:r>
        <w:t>,</w:t>
      </w:r>
      <w:r w:rsidRPr="00D8358F">
        <w:t xml:space="preserve"> 2019)</w:t>
      </w:r>
      <w:r>
        <w:t>.</w:t>
      </w:r>
      <w:r w:rsidRPr="00D8358F">
        <w:t xml:space="preserve"> Recently</w:t>
      </w:r>
      <w:r>
        <w:t>.</w:t>
      </w:r>
      <w:r w:rsidRPr="00D8358F">
        <w:t xml:space="preserve"> Rutgers et </w:t>
      </w:r>
      <w:r>
        <w:t>al.</w:t>
      </w:r>
      <w:r w:rsidRPr="00D8358F">
        <w:t xml:space="preserve"> (2019) highlighted two main constraints: the lack of consensus on the way to quantify the soil biodiversity provisioning function</w:t>
      </w:r>
      <w:r>
        <w:t>,</w:t>
      </w:r>
      <w:r w:rsidRPr="00D8358F">
        <w:t xml:space="preserve"> and the scarcity of data necessary to map it at the European scale</w:t>
      </w:r>
      <w:r>
        <w:t>, but recently progress has been made by mapping nematode community composition on a global scale (van der Hoogen et al. 2019)</w:t>
      </w:r>
    </w:p>
    <w:p w14:paraId="5F8A4718" w14:textId="77777777" w:rsidR="00400E47" w:rsidRPr="00D8358F" w:rsidRDefault="00400E47" w:rsidP="00400E47"/>
    <w:p w14:paraId="56D64D11" w14:textId="77777777" w:rsidR="00400E47" w:rsidRDefault="00400E47" w:rsidP="00400E47">
      <w:r w:rsidRPr="00D8358F">
        <w:t>Soil biota is primarily impacted by land use (which determines the degree of physical disturbance</w:t>
      </w:r>
      <w:r>
        <w:t>,</w:t>
      </w:r>
      <w:r w:rsidRPr="00D8358F">
        <w:t xml:space="preserve"> input of chemicals</w:t>
      </w:r>
      <w:r>
        <w:t>,</w:t>
      </w:r>
      <w:r w:rsidRPr="00D8358F">
        <w:t xml:space="preserve"> and amount and quality of organic material such as litter)</w:t>
      </w:r>
      <w:r>
        <w:t>.</w:t>
      </w:r>
      <w:r w:rsidRPr="00D8358F">
        <w:t xml:space="preserve"> </w:t>
      </w:r>
      <w:r w:rsidRPr="00C11DCC">
        <w:t xml:space="preserve">Agricultural intensification </w:t>
      </w:r>
      <w:r>
        <w:t xml:space="preserve">not only changes </w:t>
      </w:r>
      <w:r w:rsidRPr="00C11DCC">
        <w:t>the diversity of individual groups of soil biota</w:t>
      </w:r>
      <w:r>
        <w:t>, it also r</w:t>
      </w:r>
      <w:r w:rsidRPr="005E3456">
        <w:t>educe</w:t>
      </w:r>
      <w:r>
        <w:t>s</w:t>
      </w:r>
      <w:r w:rsidRPr="005E3456">
        <w:t xml:space="preserve"> the complexity in the soil food webs, as well as the community-</w:t>
      </w:r>
      <w:r>
        <w:t>related</w:t>
      </w:r>
      <w:r w:rsidRPr="005E3456">
        <w:t xml:space="preserve"> mass of soil fauna</w:t>
      </w:r>
      <w:r w:rsidRPr="00A55FF0">
        <w:t xml:space="preserve"> </w:t>
      </w:r>
      <w:r>
        <w:t>(</w:t>
      </w:r>
      <w:r w:rsidRPr="00907604">
        <w:t>Tsiafouli et al. 2015)</w:t>
      </w:r>
      <w:r>
        <w:t xml:space="preserve">. </w:t>
      </w:r>
      <w:r w:rsidRPr="00190950">
        <w:t xml:space="preserve"> Furthermore, soil faunal communities had fewer and taxonomically more closely related species</w:t>
      </w:r>
      <w:r>
        <w:t>.</w:t>
      </w:r>
      <w:r w:rsidRPr="00190950">
        <w:t xml:space="preserve"> </w:t>
      </w:r>
      <w:r w:rsidRPr="00D8358F">
        <w:t xml:space="preserve">Bloem et </w:t>
      </w:r>
      <w:r>
        <w:t>al.</w:t>
      </w:r>
      <w:r w:rsidRPr="00D8358F">
        <w:t xml:space="preserve"> (2006) found</w:t>
      </w:r>
      <w:r>
        <w:t xml:space="preserve"> that </w:t>
      </w:r>
      <w:r w:rsidRPr="00D8358F">
        <w:t>microbial biomass</w:t>
      </w:r>
      <w:r>
        <w:t>,</w:t>
      </w:r>
      <w:r w:rsidRPr="00D8358F">
        <w:t xml:space="preserve"> microbial activity (respiration) and soil fauna functional groups tend to be more abundant at organic and extensively managed farms</w:t>
      </w:r>
      <w:r>
        <w:t>.</w:t>
      </w:r>
      <w:r w:rsidRPr="00D8358F">
        <w:t xml:space="preserve"> Similarly</w:t>
      </w:r>
      <w:r>
        <w:t>,</w:t>
      </w:r>
      <w:r w:rsidRPr="00D8358F">
        <w:t xml:space="preserve"> the number and diversity of species of the soil food web</w:t>
      </w:r>
      <w:r>
        <w:t xml:space="preserve"> components,</w:t>
      </w:r>
      <w:r w:rsidRPr="00D8358F">
        <w:t xml:space="preserve"> e</w:t>
      </w:r>
      <w:r>
        <w:t>.</w:t>
      </w:r>
      <w:r w:rsidRPr="00D8358F">
        <w:t>g</w:t>
      </w:r>
      <w:r>
        <w:t>.</w:t>
      </w:r>
      <w:r w:rsidRPr="00D8358F">
        <w:t xml:space="preserve"> nematodes</w:t>
      </w:r>
      <w:r>
        <w:t>,</w:t>
      </w:r>
      <w:r w:rsidRPr="00D8358F">
        <w:t xml:space="preserve"> in general decreases with increased land use and management intensity</w:t>
      </w:r>
      <w:r>
        <w:t>,</w:t>
      </w:r>
      <w:r w:rsidRPr="00D8358F">
        <w:t xml:space="preserve"> i</w:t>
      </w:r>
      <w:r>
        <w:t xml:space="preserve">n some cases intentional for example by applying an </w:t>
      </w:r>
      <w:r w:rsidRPr="00D8358F">
        <w:t>intensive rotation</w:t>
      </w:r>
      <w:r>
        <w:t xml:space="preserve"> will decrease the abundance of potentially harmful organisms such as phytophagous nematoden. But on overall intensive land use is thought to make</w:t>
      </w:r>
      <w:r w:rsidRPr="00D8358F">
        <w:t xml:space="preserve"> soil food webs less diverse and composed of smaller bodied organisms (Tsiafouli et </w:t>
      </w:r>
      <w:r>
        <w:t>al.,</w:t>
      </w:r>
      <w:r w:rsidRPr="00D8358F">
        <w:t xml:space="preserve"> 2015)</w:t>
      </w:r>
      <w:r>
        <w:t>.</w:t>
      </w:r>
      <w:r w:rsidRPr="00D8358F">
        <w:t xml:space="preserve"> In the medium term (up to 4 years)</w:t>
      </w:r>
      <w:r>
        <w:t>,</w:t>
      </w:r>
      <w:r w:rsidRPr="00D8358F">
        <w:t xml:space="preserve"> earthworms under organic management are two or three times the level of those found in conventionally managed fields (Blakemore</w:t>
      </w:r>
      <w:r>
        <w:t>,</w:t>
      </w:r>
      <w:r w:rsidRPr="00D8358F">
        <w:t xml:space="preserve"> 2018)</w:t>
      </w:r>
      <w:proofErr w:type="gramStart"/>
      <w:r>
        <w:t>.</w:t>
      </w:r>
      <w:proofErr w:type="gramEnd"/>
      <w:r>
        <w:t xml:space="preserve"> Because the findings about</w:t>
      </w:r>
      <w:r w:rsidRPr="00C26C1F">
        <w:t xml:space="preserve"> the relationship between management regimes and soil biota is fairly stable across regions</w:t>
      </w:r>
      <w:r>
        <w:t xml:space="preserve">, </w:t>
      </w:r>
      <w:r w:rsidRPr="00A51641">
        <w:t xml:space="preserve">agricultural policies </w:t>
      </w:r>
      <w:r>
        <w:t xml:space="preserve">may be steered </w:t>
      </w:r>
      <w:r w:rsidRPr="00A51641">
        <w:t>to halt and/or reverse this loss of soil biodiversity</w:t>
      </w:r>
      <w:r>
        <w:t xml:space="preserve"> (</w:t>
      </w:r>
      <w:r w:rsidRPr="00D8358F">
        <w:t xml:space="preserve">Tsiafouli et </w:t>
      </w:r>
      <w:r>
        <w:t>al.</w:t>
      </w:r>
      <w:r w:rsidRPr="00D8358F">
        <w:t xml:space="preserve"> 2015</w:t>
      </w:r>
      <w:r>
        <w:t>).</w:t>
      </w:r>
    </w:p>
    <w:p w14:paraId="76576DD9" w14:textId="77777777" w:rsidR="00400E47" w:rsidRDefault="00400E47" w:rsidP="00400E47"/>
    <w:p w14:paraId="131E1486" w14:textId="77777777" w:rsidR="00400E47" w:rsidRDefault="00400E47" w:rsidP="00400E47">
      <w:pPr>
        <w:pStyle w:val="berschrift2"/>
      </w:pPr>
      <w:bookmarkStart w:id="294" w:name="_Toc66352214"/>
      <w:bookmarkStart w:id="295" w:name="_Ref83995666"/>
      <w:bookmarkStart w:id="296" w:name="_Toc83997370"/>
      <w:r w:rsidRPr="00E87B0C">
        <w:t>Soil biological indicators: state of the art</w:t>
      </w:r>
      <w:bookmarkEnd w:id="294"/>
      <w:bookmarkEnd w:id="295"/>
      <w:bookmarkEnd w:id="296"/>
      <w:r w:rsidRPr="00CF520A">
        <w:t xml:space="preserve"> </w:t>
      </w:r>
    </w:p>
    <w:p w14:paraId="0406015F" w14:textId="77777777" w:rsidR="00400E47" w:rsidRDefault="00400E47" w:rsidP="00400E47"/>
    <w:p w14:paraId="756F3ED3" w14:textId="77777777" w:rsidR="00400E47" w:rsidRDefault="00400E47" w:rsidP="00400E47">
      <w:r w:rsidRPr="00D8358F">
        <w:t xml:space="preserve">“Loss of soil biodiversity” means that species richness </w:t>
      </w:r>
      <w:r>
        <w:t xml:space="preserve">(presence and abundance) </w:t>
      </w:r>
      <w:r w:rsidRPr="00D8358F">
        <w:t>as well as its activity level is reduced so that soil processes (e</w:t>
      </w:r>
      <w:r>
        <w:t>.</w:t>
      </w:r>
      <w:r w:rsidRPr="00D8358F">
        <w:t>g</w:t>
      </w:r>
      <w:r>
        <w:t>.</w:t>
      </w:r>
      <w:r w:rsidRPr="00D8358F">
        <w:t xml:space="preserve"> organic matter decomposition)</w:t>
      </w:r>
      <w:r>
        <w:t xml:space="preserve"> and consequently </w:t>
      </w:r>
      <w:r w:rsidRPr="00D8358F">
        <w:t>soil functions (e</w:t>
      </w:r>
      <w:r>
        <w:t>.</w:t>
      </w:r>
      <w:r w:rsidRPr="00D8358F">
        <w:t>g</w:t>
      </w:r>
      <w:r>
        <w:t>.</w:t>
      </w:r>
      <w:r w:rsidRPr="00D8358F">
        <w:t xml:space="preserve"> nutrient provision) are hampered</w:t>
      </w:r>
      <w:r>
        <w:t>.</w:t>
      </w:r>
      <w:r w:rsidRPr="00D8358F">
        <w:t xml:space="preserve"> This requires an indicator which would monitor the </w:t>
      </w:r>
      <w:r w:rsidRPr="00D8358F">
        <w:rPr>
          <w:b/>
        </w:rPr>
        <w:t xml:space="preserve">presence </w:t>
      </w:r>
      <w:r>
        <w:rPr>
          <w:b/>
        </w:rPr>
        <w:t xml:space="preserve">(diversity) </w:t>
      </w:r>
      <w:r w:rsidRPr="00D8358F">
        <w:rPr>
          <w:b/>
        </w:rPr>
        <w:lastRenderedPageBreak/>
        <w:t xml:space="preserve">and amount </w:t>
      </w:r>
      <w:r>
        <w:rPr>
          <w:b/>
        </w:rPr>
        <w:t xml:space="preserve">(abundance) </w:t>
      </w:r>
      <w:r w:rsidRPr="00D8358F">
        <w:rPr>
          <w:b/>
        </w:rPr>
        <w:t xml:space="preserve">of key species and/or functional groups in the soil </w:t>
      </w:r>
      <w:r w:rsidRPr="00D8358F">
        <w:t>(based on Rutgers et al</w:t>
      </w:r>
      <w:r>
        <w:t>.</w:t>
      </w:r>
      <w:r w:rsidRPr="00D8358F">
        <w:t xml:space="preserve"> 2009</w:t>
      </w:r>
      <w:r>
        <w:t>,</w:t>
      </w:r>
      <w:r w:rsidRPr="00D8358F">
        <w:t xml:space="preserve"> Bispo et </w:t>
      </w:r>
      <w:r>
        <w:t>al.</w:t>
      </w:r>
      <w:r w:rsidRPr="00D8358F">
        <w:t xml:space="preserve"> 2009)</w:t>
      </w:r>
      <w:r>
        <w:t>.</w:t>
      </w:r>
      <w:r w:rsidRPr="00D8358F">
        <w:t xml:space="preserve"> </w:t>
      </w:r>
      <w:r>
        <w:t>Accordingly, h</w:t>
      </w:r>
      <w:r w:rsidRPr="005506A6">
        <w:t xml:space="preserve">igh species diversity combined with high species abundance within functional groups </w:t>
      </w:r>
      <w:r>
        <w:t>would then provide a</w:t>
      </w:r>
      <w:r w:rsidRPr="005506A6">
        <w:t xml:space="preserve"> greater contribution of organisms to ecosystem services, in a spatially diverse habitat.</w:t>
      </w:r>
      <w:r w:rsidRPr="00ED7F64">
        <w:t xml:space="preserve"> </w:t>
      </w:r>
    </w:p>
    <w:p w14:paraId="47CA1006" w14:textId="77777777" w:rsidR="00400E47" w:rsidRDefault="00400E47" w:rsidP="00400E47"/>
    <w:p w14:paraId="2DD59B42" w14:textId="77777777" w:rsidR="00400E47" w:rsidRDefault="00400E47" w:rsidP="00400E47">
      <w:r>
        <w:t>Over the recent years, several proposals on possible soil biodiversity indicators have been presented. The following section summarizes these efforts in order to draw a clear picture about the feasibility of current solutions. The overview also helps to identify gaps for further research and the steering of further monitoring efforts.</w:t>
      </w:r>
    </w:p>
    <w:p w14:paraId="76B20E16" w14:textId="77777777" w:rsidR="00400E47" w:rsidRDefault="00400E47" w:rsidP="00400E47"/>
    <w:p w14:paraId="27D35D67" w14:textId="77777777" w:rsidR="00400E47" w:rsidRDefault="00400E47" w:rsidP="00400E47"/>
    <w:p w14:paraId="72B2F22F" w14:textId="77777777" w:rsidR="00400E47" w:rsidRPr="00B94B62" w:rsidRDefault="00400E47" w:rsidP="0048743B">
      <w:pPr>
        <w:pStyle w:val="berschrift2"/>
        <w:numPr>
          <w:ilvl w:val="2"/>
          <w:numId w:val="3"/>
        </w:numPr>
        <w:tabs>
          <w:tab w:val="clear" w:pos="567"/>
        </w:tabs>
        <w:ind w:left="709" w:hanging="709"/>
        <w:rPr>
          <w:rStyle w:val="Formatvorlageberschrift3Zchn1"/>
          <w:b/>
          <w:bCs w:val="0"/>
          <w:iCs/>
        </w:rPr>
      </w:pPr>
      <w:bookmarkStart w:id="297" w:name="_Toc66352215"/>
      <w:bookmarkStart w:id="298" w:name="_Toc83997371"/>
      <w:r w:rsidRPr="00146456">
        <w:rPr>
          <w:rStyle w:val="Formatvorlageberschrift3Zchn1"/>
          <w:bCs w:val="0"/>
          <w:iCs/>
        </w:rPr>
        <w:t xml:space="preserve">Concepts for identifying </w:t>
      </w:r>
      <w:r>
        <w:rPr>
          <w:rStyle w:val="Formatvorlageberschrift3Zchn1"/>
          <w:bCs w:val="0"/>
          <w:iCs/>
        </w:rPr>
        <w:t>soil</w:t>
      </w:r>
      <w:r w:rsidRPr="00146456">
        <w:rPr>
          <w:rStyle w:val="Formatvorlageberschrift3Zchn1"/>
          <w:bCs w:val="0"/>
          <w:iCs/>
        </w:rPr>
        <w:t xml:space="preserve"> biodiversity indicators</w:t>
      </w:r>
      <w:bookmarkEnd w:id="297"/>
      <w:bookmarkEnd w:id="298"/>
    </w:p>
    <w:p w14:paraId="5601F700" w14:textId="77777777" w:rsidR="00400E47" w:rsidRDefault="00400E47" w:rsidP="00400E47"/>
    <w:p w14:paraId="246D93A4" w14:textId="77777777" w:rsidR="00400E47" w:rsidRDefault="00400E47" w:rsidP="00400E47">
      <w:r w:rsidRPr="00D8358F">
        <w:t xml:space="preserve">Huber et </w:t>
      </w:r>
      <w:r>
        <w:t>al.</w:t>
      </w:r>
      <w:r w:rsidRPr="00D8358F">
        <w:t xml:space="preserve"> (2008</w:t>
      </w:r>
      <w:r>
        <w:t xml:space="preserve">; </w:t>
      </w:r>
      <w:r w:rsidRPr="00D8358F">
        <w:t xml:space="preserve">based on Bispo et </w:t>
      </w:r>
      <w:r>
        <w:t>al.</w:t>
      </w:r>
      <w:r w:rsidRPr="00D8358F">
        <w:t xml:space="preserve"> (2007); EU FP6 ENVASSO project) proposed the use of three key indicators to assess the threat of potential loss of soil biodiversity and associated ecosystem functions: i) diversity of earthworms</w:t>
      </w:r>
      <w:r>
        <w:t>.</w:t>
      </w:r>
      <w:r w:rsidRPr="00D8358F">
        <w:t xml:space="preserve"> ii) </w:t>
      </w:r>
      <w:proofErr w:type="gramStart"/>
      <w:r w:rsidRPr="00D8358F">
        <w:t>diversity</w:t>
      </w:r>
      <w:proofErr w:type="gramEnd"/>
      <w:r w:rsidRPr="00D8358F">
        <w:t xml:space="preserve"> of </w:t>
      </w:r>
      <w:r>
        <w:t>c</w:t>
      </w:r>
      <w:r w:rsidRPr="00D8358F">
        <w:t>ollembola</w:t>
      </w:r>
      <w:r>
        <w:t>ns</w:t>
      </w:r>
      <w:r w:rsidRPr="00D8358F">
        <w:t xml:space="preserve"> and iii) soil microbial respiration</w:t>
      </w:r>
      <w:r>
        <w:t>.</w:t>
      </w:r>
      <w:r w:rsidRPr="00D8358F">
        <w:t xml:space="preserve"> </w:t>
      </w:r>
      <w:r>
        <w:t xml:space="preserve">The results are presented in </w:t>
      </w:r>
      <w:r w:rsidRPr="00D60DA9">
        <w:t>Bispo et al. (2009</w:t>
      </w:r>
      <w:r>
        <w:t>; see below 6.2.2)</w:t>
      </w:r>
    </w:p>
    <w:p w14:paraId="1AC5CFD9" w14:textId="77777777" w:rsidR="00400E47" w:rsidRDefault="00400E47" w:rsidP="00400E47"/>
    <w:p w14:paraId="31C3866F" w14:textId="77777777" w:rsidR="00400E47" w:rsidRPr="00D8358F" w:rsidRDefault="00400E47" w:rsidP="00400E47">
      <w:r w:rsidRPr="00D8358F">
        <w:t>Breure (20</w:t>
      </w:r>
      <w:r>
        <w:t>0</w:t>
      </w:r>
      <w:r w:rsidRPr="00D8358F">
        <w:t>4) proposed i) microbial biomass (</w:t>
      </w:r>
      <w:r>
        <w:t>b</w:t>
      </w:r>
      <w:r w:rsidRPr="00D8358F">
        <w:t xml:space="preserve">acteria and </w:t>
      </w:r>
      <w:r>
        <w:t>f</w:t>
      </w:r>
      <w:r w:rsidRPr="00D8358F">
        <w:t>ungi</w:t>
      </w:r>
      <w:r>
        <w:t>,</w:t>
      </w:r>
      <w:r w:rsidRPr="00D8358F">
        <w:t xml:space="preserve"> which represent the highest amount of ecological soil capital); ii) nematodes (family level and feeding types)</w:t>
      </w:r>
      <w:r>
        <w:t>,</w:t>
      </w:r>
      <w:r w:rsidRPr="00D8358F">
        <w:t xml:space="preserve"> the relative and absolute abundance of which provides good information of the diversity and stability of the ecosystem; iii) earthworms: due to their influence on soil properties and since they are (relatively) easy to determine taxonomically and to characterize ecologically</w:t>
      </w:r>
      <w:r>
        <w:t>.</w:t>
      </w:r>
    </w:p>
    <w:p w14:paraId="3509188E" w14:textId="5E1D22B8" w:rsidR="00400E47" w:rsidRPr="00D8358F" w:rsidRDefault="00400E47" w:rsidP="00400E47">
      <w:pPr>
        <w:spacing w:before="120"/>
      </w:pPr>
      <w:r w:rsidRPr="00D8358F">
        <w:t xml:space="preserve">Ritz et </w:t>
      </w:r>
      <w:r>
        <w:t>al.</w:t>
      </w:r>
      <w:r w:rsidRPr="00D8358F">
        <w:t xml:space="preserve"> (2009) reviewed 183 biological </w:t>
      </w:r>
      <w:r>
        <w:t xml:space="preserve">so-called candidate </w:t>
      </w:r>
      <w:r w:rsidRPr="00D8358F">
        <w:t>indicators</w:t>
      </w:r>
      <w:r>
        <w:t>,</w:t>
      </w:r>
      <w:r w:rsidRPr="00D8358F">
        <w:t xml:space="preserve"> of which they selected 21 genotypic-</w:t>
      </w:r>
      <w:r>
        <w:t>,</w:t>
      </w:r>
      <w:r w:rsidRPr="00D8358F">
        <w:t xml:space="preserve"> phenotypic- and functional-based indicators for different trophic groups; of that</w:t>
      </w:r>
      <w:r>
        <w:t>,</w:t>
      </w:r>
      <w:r w:rsidRPr="00D8358F">
        <w:t xml:space="preserve"> 13 indicators would be currently fully deployable in monitoring activities (see also Black </w:t>
      </w:r>
      <w:proofErr w:type="gramStart"/>
      <w:r w:rsidRPr="00D8358F">
        <w:t>et</w:t>
      </w:r>
      <w:proofErr w:type="gramEnd"/>
      <w:r w:rsidRPr="00D8358F">
        <w:t xml:space="preserve"> al</w:t>
      </w:r>
      <w:r>
        <w:t>.</w:t>
      </w:r>
      <w:r w:rsidRPr="00D8358F">
        <w:t>2011)</w:t>
      </w:r>
      <w:r>
        <w:t xml:space="preserve">. The indicator selection process has been quite complex because the authors ranked </w:t>
      </w:r>
      <w:r w:rsidRPr="00D27C1D">
        <w:t xml:space="preserve">biological indicators against ecological processes and </w:t>
      </w:r>
      <w:r>
        <w:t xml:space="preserve">soil </w:t>
      </w:r>
      <w:r w:rsidRPr="00D27C1D">
        <w:t xml:space="preserve">properties associated with </w:t>
      </w:r>
      <w:r>
        <w:t>its</w:t>
      </w:r>
      <w:r w:rsidRPr="00D27C1D">
        <w:t xml:space="preserve"> function</w:t>
      </w:r>
      <w:r>
        <w:t xml:space="preserve">s. In addition, they considered the applicability in large-scale monitoring schemes. The following list presents </w:t>
      </w:r>
      <w:r w:rsidR="00FD68F8">
        <w:t>the most commonly discussed</w:t>
      </w:r>
      <w:r>
        <w:t xml:space="preserve"> indicators</w:t>
      </w:r>
      <w:r w:rsidRPr="00D8358F">
        <w:t>:</w:t>
      </w:r>
    </w:p>
    <w:p w14:paraId="38FFDD52" w14:textId="77777777" w:rsidR="00400E47" w:rsidRDefault="00400E47" w:rsidP="00400E47">
      <w:pPr>
        <w:pStyle w:val="EEAbullet0"/>
        <w:spacing w:before="120"/>
      </w:pPr>
      <w:r>
        <w:t>Indicators based on g</w:t>
      </w:r>
      <w:r w:rsidRPr="00D8358F">
        <w:t>enotypic methods (most common among the selected indicators due to recent advances in molecular (sequencing) techniques): presence and amount of actinomycetes</w:t>
      </w:r>
      <w:r>
        <w:t xml:space="preserve">; ammonia oxidisers; archaea; de-nitrifiers; eubacteria; fungi. Indicators related to the </w:t>
      </w:r>
      <w:r w:rsidRPr="00D8358F">
        <w:t>structure of the microbial community</w:t>
      </w:r>
      <w:r>
        <w:t xml:space="preserve">, and are determined using </w:t>
      </w:r>
      <w:r w:rsidRPr="00D8358F">
        <w:t>DNA yield</w:t>
      </w:r>
      <w:r>
        <w:t>.</w:t>
      </w:r>
    </w:p>
    <w:p w14:paraId="4ADA758B" w14:textId="77777777" w:rsidR="00400E47" w:rsidRDefault="00400E47" w:rsidP="00400E47">
      <w:pPr>
        <w:pStyle w:val="EEAbullet0"/>
        <w:spacing w:before="120"/>
      </w:pPr>
      <w:r>
        <w:t xml:space="preserve">Indicators based on phenotypic methods, such as extractions, visual recordings or catchings (pitfall traps): total abundance and functional groups involved with N cycling; presence and amount of microarthropods and nematodes; all </w:t>
      </w:r>
      <w:r w:rsidRPr="00931744">
        <w:t>soil fauna and flora</w:t>
      </w:r>
      <w:r>
        <w:t xml:space="preserve">, in particular </w:t>
      </w:r>
      <w:r w:rsidRPr="00931744">
        <w:t xml:space="preserve">ground-dwelling </w:t>
      </w:r>
      <w:r>
        <w:t xml:space="preserve">organisms </w:t>
      </w:r>
      <w:r w:rsidRPr="00931744">
        <w:t>a</w:t>
      </w:r>
      <w:r>
        <w:t>s well as</w:t>
      </w:r>
      <w:r w:rsidRPr="00931744">
        <w:t xml:space="preserve"> </w:t>
      </w:r>
      <w:r>
        <w:t xml:space="preserve">macro </w:t>
      </w:r>
      <w:r w:rsidRPr="00931744">
        <w:t>soil invertebrates</w:t>
      </w:r>
      <w:r>
        <w:t>.</w:t>
      </w:r>
    </w:p>
    <w:p w14:paraId="39DC3EC5" w14:textId="47D8528C" w:rsidR="00400E47" w:rsidRDefault="00400E47" w:rsidP="00400E47">
      <w:pPr>
        <w:pStyle w:val="EEAbullet0"/>
        <w:spacing w:before="120"/>
      </w:pPr>
      <w:r>
        <w:t>Indicators based on “</w:t>
      </w:r>
      <w:r w:rsidRPr="00A6332B">
        <w:rPr>
          <w:i/>
          <w:iCs/>
        </w:rPr>
        <w:t>functional</w:t>
      </w:r>
      <w:r>
        <w:t xml:space="preserve">” methods: substrate-induced respiration; potential </w:t>
      </w:r>
      <w:r w:rsidR="004A2F27">
        <w:t>enzyme</w:t>
      </w:r>
      <w:r>
        <w:t xml:space="preserve"> activity (microbial biomass and total community activity).</w:t>
      </w:r>
    </w:p>
    <w:p w14:paraId="5160ED46" w14:textId="77777777" w:rsidR="00400E47" w:rsidRDefault="00400E47" w:rsidP="00400E47">
      <w:pPr>
        <w:pStyle w:val="EEAbullet0"/>
        <w:numPr>
          <w:ilvl w:val="0"/>
          <w:numId w:val="0"/>
        </w:numPr>
      </w:pPr>
    </w:p>
    <w:p w14:paraId="0E7B6AE1" w14:textId="08B33F23" w:rsidR="00400E47" w:rsidRDefault="00400E47" w:rsidP="00400E47">
      <w:r w:rsidRPr="00146456">
        <w:t>These methods are often not species-based (in particular almost never for microbes) because of the extremely high species diversity and the lack of simple relationships between taxonomic status and functional traits in most soil microbial communities</w:t>
      </w:r>
      <w:r>
        <w:t>.</w:t>
      </w:r>
      <w:r w:rsidRPr="00146456">
        <w:t xml:space="preserve"> </w:t>
      </w:r>
      <w:r>
        <w:t xml:space="preserve">Nevertheless, the authors stress the importance of knowledge about </w:t>
      </w:r>
      <w:r w:rsidR="004A2F27">
        <w:t>observation</w:t>
      </w:r>
      <w:r>
        <w:t xml:space="preserve"> methods in combination with indicators in order to ensure comparability of results from different monitoring networks. </w:t>
      </w:r>
      <w:r w:rsidRPr="00146456">
        <w:t xml:space="preserve">Ritz et </w:t>
      </w:r>
      <w:r>
        <w:t>al.</w:t>
      </w:r>
      <w:r w:rsidRPr="00146456">
        <w:t xml:space="preserve"> (2009) also note that a substantial amount of research and testing is </w:t>
      </w:r>
      <w:r>
        <w:t xml:space="preserve">still </w:t>
      </w:r>
      <w:r w:rsidRPr="00146456">
        <w:t>needed</w:t>
      </w:r>
      <w:r>
        <w:t>,</w:t>
      </w:r>
      <w:r w:rsidRPr="00146456">
        <w:t xml:space="preserve"> in order to understand </w:t>
      </w:r>
      <w:r>
        <w:t xml:space="preserve">the </w:t>
      </w:r>
      <w:r w:rsidRPr="00146456">
        <w:t>sensitivity of these indicators for soil management</w:t>
      </w:r>
      <w:r>
        <w:t>, and how they</w:t>
      </w:r>
      <w:r w:rsidRPr="00146456">
        <w:t xml:space="preserve"> correlate with soil functions</w:t>
      </w:r>
      <w:r>
        <w:t>,</w:t>
      </w:r>
      <w:r w:rsidRPr="00146456">
        <w:t xml:space="preserve"> and their variability </w:t>
      </w:r>
      <w:r>
        <w:t>across spatial (</w:t>
      </w:r>
      <w:r w:rsidRPr="00146456">
        <w:t>landscape</w:t>
      </w:r>
      <w:r>
        <w:t>)</w:t>
      </w:r>
      <w:r w:rsidRPr="00146456">
        <w:t xml:space="preserve"> scales (soil types</w:t>
      </w:r>
      <w:r>
        <w:t>,</w:t>
      </w:r>
      <w:r w:rsidRPr="00146456">
        <w:t xml:space="preserve"> etc</w:t>
      </w:r>
      <w:r>
        <w:t>.</w:t>
      </w:r>
      <w:r w:rsidRPr="00146456">
        <w:t xml:space="preserve">) </w:t>
      </w:r>
      <w:r>
        <w:t>as well as</w:t>
      </w:r>
      <w:r w:rsidRPr="00146456">
        <w:t xml:space="preserve"> seasonality</w:t>
      </w:r>
      <w:r>
        <w:t xml:space="preserve"> effects.</w:t>
      </w:r>
      <w:r w:rsidRPr="00146456">
        <w:t xml:space="preserve"> </w:t>
      </w:r>
    </w:p>
    <w:p w14:paraId="2FBFE20D" w14:textId="77777777" w:rsidR="00400E47" w:rsidRDefault="00400E47" w:rsidP="00400E47"/>
    <w:p w14:paraId="6F4FDBEB" w14:textId="5182DDC7" w:rsidR="00400E47" w:rsidRDefault="00400E47" w:rsidP="00400E47">
      <w:r w:rsidRPr="00146456">
        <w:lastRenderedPageBreak/>
        <w:t xml:space="preserve">The approaches by Ritz et </w:t>
      </w:r>
      <w:r>
        <w:t>al.</w:t>
      </w:r>
      <w:r w:rsidRPr="00146456">
        <w:t xml:space="preserve"> (2009) were further developed by Stone et al</w:t>
      </w:r>
      <w:r>
        <w:t>.</w:t>
      </w:r>
      <w:r w:rsidRPr="00146456">
        <w:t xml:space="preserve"> (</w:t>
      </w:r>
      <w:r w:rsidRPr="00A6332B">
        <w:t>2016</w:t>
      </w:r>
      <w:r w:rsidRPr="00146456">
        <w:t>): genetics-based indicators related to microbial and nematode diversity ranked highest</w:t>
      </w:r>
      <w:r>
        <w:t>,</w:t>
      </w:r>
      <w:r w:rsidRPr="00146456">
        <w:t xml:space="preserve"> considering that indicators must be practical and sensitive to soil and management types</w:t>
      </w:r>
      <w:r>
        <w:t>.</w:t>
      </w:r>
      <w:r w:rsidRPr="00146456">
        <w:t xml:space="preserve"> Griffiths et al</w:t>
      </w:r>
      <w:r>
        <w:t>.</w:t>
      </w:r>
      <w:r w:rsidRPr="00146456">
        <w:t xml:space="preserve"> (2016) selected 18 soil biological indicators from literature and tested them at 6 experimental sites in different European regions</w:t>
      </w:r>
      <w:r>
        <w:t>.</w:t>
      </w:r>
      <w:r w:rsidRPr="00146456">
        <w:t xml:space="preserve"> Besides methods</w:t>
      </w:r>
      <w:r>
        <w:t>, which</w:t>
      </w:r>
      <w:r w:rsidRPr="00146456">
        <w:t xml:space="preserve"> address the diversity of individual groups (invertebrates</w:t>
      </w:r>
      <w:r>
        <w:t xml:space="preserve"> </w:t>
      </w:r>
      <w:r w:rsidRPr="00146456">
        <w:t>and microbes)</w:t>
      </w:r>
      <w:r>
        <w:t>,</w:t>
      </w:r>
      <w:r w:rsidRPr="00146456">
        <w:t xml:space="preserve"> functional methods </w:t>
      </w:r>
      <w:r>
        <w:t xml:space="preserve">were </w:t>
      </w:r>
      <w:r w:rsidR="004A2F27">
        <w:t>identified</w:t>
      </w:r>
      <w:r>
        <w:t xml:space="preserve"> which relate to </w:t>
      </w:r>
      <w:r w:rsidRPr="00146456">
        <w:t>different ecosystem services</w:t>
      </w:r>
      <w:r>
        <w:t>.</w:t>
      </w:r>
      <w:r w:rsidRPr="00146456">
        <w:t xml:space="preserve"> </w:t>
      </w:r>
      <w:r>
        <w:t>However, f</w:t>
      </w:r>
      <w:r w:rsidRPr="00146456">
        <w:t>urther development and standardization of methods (sampling as well as analysis) as well as inter-laboratory comparisons are necessary to accompany the indicator measurements in monitoring</w:t>
      </w:r>
      <w:r>
        <w:t>.</w:t>
      </w:r>
      <w:r w:rsidRPr="00146456">
        <w:t xml:space="preserve"> Actually</w:t>
      </w:r>
      <w:r>
        <w:t>,</w:t>
      </w:r>
      <w:r w:rsidRPr="00146456">
        <w:t xml:space="preserve"> so far there was only one Europe-wide sampling program covering almost 100 sites in which at the same time and place both structural as well as functional endpoints have been measured (Stone et </w:t>
      </w:r>
      <w:r>
        <w:t>al.</w:t>
      </w:r>
      <w:r w:rsidRPr="00146456">
        <w:t xml:space="preserve"> 2016b)</w:t>
      </w:r>
      <w:r>
        <w:t xml:space="preserve">. Starting 2018, a subsample of LUCAS-Soil plots will be analysed for soil biodiversity using DNA-based methods (see Box 1, see also </w:t>
      </w:r>
      <w:r w:rsidRPr="0038769F">
        <w:t>Orgiazzi et al. 2018)</w:t>
      </w:r>
      <w:r>
        <w:t>.</w:t>
      </w:r>
    </w:p>
    <w:p w14:paraId="65B4C659" w14:textId="77777777" w:rsidR="00400E47" w:rsidRDefault="00400E47" w:rsidP="00400E47"/>
    <w:p w14:paraId="632A2776" w14:textId="77777777" w:rsidR="00400E47" w:rsidRDefault="00400E47" w:rsidP="00400E47">
      <w:r>
        <w:t xml:space="preserve">Recently, Guerra et al. (2021) have proposed essential biodiversity variables (EBVs), which they closely relate to policy needs (UNCBD, SDG, Paris Agreement). The authors represent the global Soil Biodiversity Observation Network (SoilBON; </w:t>
      </w:r>
      <w:hyperlink r:id="rId48" w:history="1">
        <w:r w:rsidRPr="00D01B9E">
          <w:rPr>
            <w:rStyle w:val="Hyperlink"/>
          </w:rPr>
          <w:t>https://geobon.org/bons/thematic-bon/soil-bon</w:t>
        </w:r>
      </w:hyperlink>
      <w:r>
        <w:t xml:space="preserve">), which operates under the Group on Earth Observations Biodiversity Observation Network (GEOBON), and which invites researchers globally to systematically collect and sample observational data on the condition of soil biodiversity and functions. While the suggested EBVs have been discussed in previous frameworks including the ones cited above, Guerra at al. (2021) recommend specific analytical methodologies for each indicator: </w:t>
      </w:r>
    </w:p>
    <w:p w14:paraId="6338BF9E" w14:textId="77777777" w:rsidR="00400E47" w:rsidRDefault="00400E47" w:rsidP="00714D8B">
      <w:pPr>
        <w:pStyle w:val="EEAbullet0"/>
      </w:pPr>
      <w:r>
        <w:t>Intraspecific genetic diversity (DNA extraction)</w:t>
      </w:r>
    </w:p>
    <w:p w14:paraId="131C03DE" w14:textId="77777777" w:rsidR="00400E47" w:rsidRDefault="00400E47" w:rsidP="00714D8B">
      <w:pPr>
        <w:pStyle w:val="EEAbullet0"/>
      </w:pPr>
      <w:r>
        <w:t>Abundance of species populations (DBA-based bacteria and fungi, nematode extraction)</w:t>
      </w:r>
    </w:p>
    <w:p w14:paraId="34CD0B9B" w14:textId="77777777" w:rsidR="00400E47" w:rsidRDefault="00400E47" w:rsidP="00714D8B">
      <w:pPr>
        <w:pStyle w:val="EEAbullet0"/>
      </w:pPr>
      <w:r>
        <w:t>Community traits of roots (fine root weight, length and diameter distributions)</w:t>
      </w:r>
    </w:p>
    <w:p w14:paraId="3942F660" w14:textId="6C35DFD7" w:rsidR="00400E47" w:rsidRDefault="00400E47" w:rsidP="00714D8B">
      <w:pPr>
        <w:pStyle w:val="EEAbullet0"/>
      </w:pPr>
      <w:r>
        <w:t xml:space="preserve">Taxonomic community composition (DNA-based soil archaea, bacteria, fungi, </w:t>
      </w:r>
      <w:r w:rsidR="00FD68F8">
        <w:t>protists,</w:t>
      </w:r>
      <w:r>
        <w:t xml:space="preserve"> and invertebrates)</w:t>
      </w:r>
    </w:p>
    <w:p w14:paraId="58F29C23" w14:textId="77777777" w:rsidR="00400E47" w:rsidRDefault="00400E47" w:rsidP="00714D8B">
      <w:pPr>
        <w:pStyle w:val="EEAbullet0"/>
      </w:pPr>
      <w:r>
        <w:t>Functional diversity (microscopic analysis of functional groups nematodes; functional diversity of bacteria, Archaea and fungi)</w:t>
      </w:r>
    </w:p>
    <w:p w14:paraId="6E5CCDB1" w14:textId="77777777" w:rsidR="00400E47" w:rsidRDefault="00400E47" w:rsidP="00714D8B">
      <w:pPr>
        <w:pStyle w:val="EEAbullet0"/>
      </w:pPr>
      <w:r>
        <w:t>Soil biomass (</w:t>
      </w:r>
      <w:r w:rsidRPr="00EA5081">
        <w:t>substrate-induced respiration</w:t>
      </w:r>
      <w:r>
        <w:t xml:space="preserve"> method)</w:t>
      </w:r>
    </w:p>
    <w:p w14:paraId="794BFD7A" w14:textId="77777777" w:rsidR="00400E47" w:rsidRDefault="00400E47" w:rsidP="00714D8B">
      <w:pPr>
        <w:pStyle w:val="EEAbullet0"/>
      </w:pPr>
      <w:r>
        <w:t>Litter decomposition (litter bags, followed by incubation)</w:t>
      </w:r>
    </w:p>
    <w:p w14:paraId="73482D06" w14:textId="77777777" w:rsidR="00400E47" w:rsidRDefault="00400E47" w:rsidP="00714D8B">
      <w:pPr>
        <w:pStyle w:val="EEAbullet0"/>
      </w:pPr>
      <w:r>
        <w:t>Soil respiration (</w:t>
      </w:r>
      <w:r w:rsidRPr="009F72F5">
        <w:t>O</w:t>
      </w:r>
      <w:r w:rsidRPr="00A6332B">
        <w:rPr>
          <w:vertAlign w:val="subscript"/>
        </w:rPr>
        <w:t>2</w:t>
      </w:r>
      <w:r w:rsidRPr="009F72F5">
        <w:t xml:space="preserve"> consumption</w:t>
      </w:r>
      <w:r>
        <w:t xml:space="preserve"> from microbial respiration)</w:t>
      </w:r>
    </w:p>
    <w:p w14:paraId="32F43B30" w14:textId="77777777" w:rsidR="00400E47" w:rsidRDefault="00400E47" w:rsidP="00714D8B">
      <w:pPr>
        <w:pStyle w:val="EEAbullet0"/>
      </w:pPr>
      <w:r w:rsidRPr="00BF69BE">
        <w:t>Enzymatic activity</w:t>
      </w:r>
      <w:r>
        <w:t xml:space="preserve"> (incubation followed by f</w:t>
      </w:r>
      <w:r w:rsidRPr="00DE121C">
        <w:t>luorescence</w:t>
      </w:r>
      <w:r>
        <w:t xml:space="preserve"> measurements)</w:t>
      </w:r>
    </w:p>
    <w:p w14:paraId="5E8F6B97" w14:textId="77777777" w:rsidR="00400E47" w:rsidRDefault="00400E47" w:rsidP="00714D8B">
      <w:pPr>
        <w:pStyle w:val="EEAbullet0"/>
      </w:pPr>
      <w:r>
        <w:t>Soil aggregation (soil aggregate resistance index)</w:t>
      </w:r>
    </w:p>
    <w:p w14:paraId="3F1F60D0" w14:textId="77777777" w:rsidR="00400E47" w:rsidRDefault="00400E47" w:rsidP="00714D8B">
      <w:pPr>
        <w:pStyle w:val="EEAbullet0"/>
      </w:pPr>
      <w:r>
        <w:t xml:space="preserve">Nutrient cycling (amount and availability of </w:t>
      </w:r>
      <w:r w:rsidRPr="009F586D">
        <w:t>nitrogen, carbon and phosphorus</w:t>
      </w:r>
      <w:r>
        <w:t>)</w:t>
      </w:r>
    </w:p>
    <w:p w14:paraId="31D1E70D" w14:textId="77777777" w:rsidR="00400E47" w:rsidRDefault="00400E47" w:rsidP="00714D8B">
      <w:pPr>
        <w:pStyle w:val="EEAbullet0"/>
      </w:pPr>
      <w:r>
        <w:t>Habitat extend (bulk density and soil structure)</w:t>
      </w:r>
    </w:p>
    <w:p w14:paraId="5C99AF3E" w14:textId="77777777" w:rsidR="00400E47" w:rsidRDefault="00400E47" w:rsidP="00400E47">
      <w:pPr>
        <w:spacing w:before="120"/>
      </w:pPr>
      <w:r>
        <w:t xml:space="preserve">Following the </w:t>
      </w:r>
      <w:r w:rsidRPr="0054011B">
        <w:t xml:space="preserve">vision of </w:t>
      </w:r>
      <w:r>
        <w:t xml:space="preserve">one or several </w:t>
      </w:r>
      <w:r w:rsidRPr="00A6332B">
        <w:rPr>
          <w:u w:val="single"/>
        </w:rPr>
        <w:t>holistic</w:t>
      </w:r>
      <w:r w:rsidRPr="0054011B">
        <w:t xml:space="preserve"> indicators for soil biodiv</w:t>
      </w:r>
      <w:r>
        <w:t>e</w:t>
      </w:r>
      <w:r w:rsidRPr="0054011B">
        <w:t xml:space="preserve">rsity, </w:t>
      </w:r>
      <w:r>
        <w:t xml:space="preserve">it becomes clear from Guerra et al. (2021) and its </w:t>
      </w:r>
      <w:proofErr w:type="gramStart"/>
      <w:r>
        <w:t>predecessors, that</w:t>
      </w:r>
      <w:proofErr w:type="gramEnd"/>
      <w:r>
        <w:t xml:space="preserve"> a</w:t>
      </w:r>
      <w:r w:rsidRPr="0054011B">
        <w:t xml:space="preserve"> large amount of </w:t>
      </w:r>
      <w:r>
        <w:t xml:space="preserve">observation and </w:t>
      </w:r>
      <w:r w:rsidRPr="0054011B">
        <w:t xml:space="preserve">research </w:t>
      </w:r>
      <w:r>
        <w:t xml:space="preserve">is </w:t>
      </w:r>
      <w:r w:rsidRPr="0054011B">
        <w:t xml:space="preserve">still necessary </w:t>
      </w:r>
      <w:r>
        <w:t>in order to properly build and interpret monitoring of soil biological diversity and its functioning</w:t>
      </w:r>
      <w:r w:rsidRPr="0054011B">
        <w:t xml:space="preserve">. </w:t>
      </w:r>
    </w:p>
    <w:p w14:paraId="0EE4CF58" w14:textId="77777777" w:rsidR="00400E47" w:rsidRDefault="00400E47" w:rsidP="00400E47"/>
    <w:p w14:paraId="7AF31312" w14:textId="77777777" w:rsidR="00400E47" w:rsidRDefault="00400E47" w:rsidP="00400E47">
      <w:r>
        <w:rPr>
          <w:noProof/>
          <w:lang w:eastAsia="en-GB"/>
        </w:rPr>
        <w:lastRenderedPageBreak/>
        <mc:AlternateContent>
          <mc:Choice Requires="wps">
            <w:drawing>
              <wp:anchor distT="45720" distB="45720" distL="114300" distR="114300" simplePos="0" relativeHeight="251753984" behindDoc="0" locked="0" layoutInCell="1" allowOverlap="1" wp14:anchorId="216B111C" wp14:editId="237C241C">
                <wp:simplePos x="0" y="0"/>
                <wp:positionH relativeFrom="column">
                  <wp:posOffset>26670</wp:posOffset>
                </wp:positionH>
                <wp:positionV relativeFrom="paragraph">
                  <wp:posOffset>354330</wp:posOffset>
                </wp:positionV>
                <wp:extent cx="6010275" cy="2620010"/>
                <wp:effectExtent l="0" t="0" r="28575" b="2794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620010"/>
                        </a:xfrm>
                        <a:prstGeom prst="rect">
                          <a:avLst/>
                        </a:prstGeom>
                        <a:solidFill>
                          <a:schemeClr val="bg1">
                            <a:lumMod val="95000"/>
                          </a:schemeClr>
                        </a:solidFill>
                        <a:ln w="9525">
                          <a:solidFill>
                            <a:srgbClr val="000000"/>
                          </a:solidFill>
                          <a:miter lim="800000"/>
                          <a:headEnd/>
                          <a:tailEnd/>
                        </a:ln>
                      </wps:spPr>
                      <wps:txbx>
                        <w:txbxContent>
                          <w:p w14:paraId="1D8F4678" w14:textId="0C6C9D85" w:rsidR="0067767C" w:rsidRPr="005A1BDB" w:rsidRDefault="0067767C" w:rsidP="00400E47">
                            <w:pPr>
                              <w:pStyle w:val="EEALabel"/>
                              <w:rPr>
                                <w:rFonts w:eastAsiaTheme="minorEastAsia"/>
                                <w:bCs/>
                                <w:szCs w:val="22"/>
                                <w:lang w:val="en-US" w:eastAsia="en-US"/>
                              </w:rPr>
                            </w:pPr>
                            <w:bookmarkStart w:id="299" w:name="_Toc83997427"/>
                            <w:r>
                              <w:t xml:space="preserve">Box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Box \* ARABIC \s 1 </w:instrText>
                            </w:r>
                            <w:r>
                              <w:fldChar w:fldCharType="separate"/>
                            </w:r>
                            <w:r>
                              <w:rPr>
                                <w:noProof/>
                              </w:rPr>
                              <w:t>1</w:t>
                            </w:r>
                            <w:r>
                              <w:fldChar w:fldCharType="end"/>
                            </w:r>
                            <w:r w:rsidRPr="005A1BDB">
                              <w:rPr>
                                <w:bCs/>
                              </w:rPr>
                              <w:tab/>
                            </w:r>
                            <w:r>
                              <w:t>DNA-based methods</w:t>
                            </w:r>
                            <w:bookmarkEnd w:id="299"/>
                          </w:p>
                          <w:tbl>
                            <w:tblPr>
                              <w:tblStyle w:val="Tabellenraster"/>
                              <w:tblW w:w="0" w:type="auto"/>
                              <w:tblBorders>
                                <w:top w:val="none" w:sz="0" w:space="0" w:color="auto"/>
                                <w:left w:val="none" w:sz="0" w:space="0" w:color="auto"/>
                                <w:bottom w:val="none" w:sz="0" w:space="0" w:color="auto"/>
                                <w:right w:val="none" w:sz="0" w:space="0" w:color="auto"/>
                              </w:tblBorders>
                              <w:shd w:val="clear" w:color="auto" w:fill="F2F2F2" w:themeFill="background1" w:themeFillShade="F2"/>
                              <w:tblLook w:val="04A0" w:firstRow="1" w:lastRow="0" w:firstColumn="1" w:lastColumn="0" w:noHBand="0" w:noVBand="1"/>
                            </w:tblPr>
                            <w:tblGrid>
                              <w:gridCol w:w="9163"/>
                            </w:tblGrid>
                            <w:tr w:rsidR="0067767C" w14:paraId="57390CDF" w14:textId="77777777" w:rsidTr="00677B0A">
                              <w:tc>
                                <w:tcPr>
                                  <w:tcW w:w="9163" w:type="dxa"/>
                                  <w:shd w:val="clear" w:color="auto" w:fill="F2F2F2" w:themeFill="background1" w:themeFillShade="F2"/>
                                </w:tcPr>
                                <w:p w14:paraId="1C8F2A2F" w14:textId="77777777" w:rsidR="0067767C" w:rsidRDefault="0067767C" w:rsidP="00677B0A">
                                  <w:pPr>
                                    <w:spacing w:before="120" w:after="120"/>
                                  </w:pPr>
                                  <w:r>
                                    <w:t xml:space="preserve">Currently, several institutions are developing DNA-based methods to investigate soil-living communities. The recording and evaluation of the diversity of soil organism communities through DNA was hampered considerably by the lack of trained taxonomists and by using morphological features alone. In this context, considerable progress has been made within the last decade, but only recently some of these methods were standardized through ISO </w:t>
                                  </w:r>
                                  <w:r w:rsidRPr="00E924A9">
                                    <w:t xml:space="preserve">Standard 11063 </w:t>
                                  </w:r>
                                  <w:r>
                                    <w:t xml:space="preserve">(see also Plessard et al. 2012). </w:t>
                                  </w:r>
                                </w:p>
                                <w:p w14:paraId="3B521694" w14:textId="7756D014" w:rsidR="0067767C" w:rsidRDefault="0067767C" w:rsidP="00677B0A">
                                  <w:r>
                                    <w:t xml:space="preserve">It is expected that in the near future efficient, cost-effective and routinely applicable DNA-based methods for soil biodiversity monitoring system will be available in order to monitor and evaluate soil biodiversity. Thus, in the foreseeable future, baseline and threshold data (see </w:t>
                                  </w:r>
                                  <w:r>
                                    <w:fldChar w:fldCharType="begin"/>
                                  </w:r>
                                  <w:r>
                                    <w:instrText xml:space="preserve"> REF _Ref55203853 \r \h </w:instrText>
                                  </w:r>
                                  <w:r>
                                    <w:fldChar w:fldCharType="separate"/>
                                  </w:r>
                                  <w:r>
                                    <w:t>6.3</w:t>
                                  </w:r>
                                  <w:r>
                                    <w:fldChar w:fldCharType="end"/>
                                  </w:r>
                                  <w:r>
                                    <w:t>) will be generated for soil organism communities (ideally, not only covering invertebrates, but selected groups of microorganisms as well) all over Europe.</w:t>
                                  </w:r>
                                </w:p>
                              </w:tc>
                            </w:tr>
                          </w:tbl>
                          <w:p w14:paraId="42AFB070" w14:textId="77777777" w:rsidR="0067767C" w:rsidRDefault="0067767C" w:rsidP="00400E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6B111C" id="_x0000_t202" coordsize="21600,21600" o:spt="202" path="m,l,21600r21600,l21600,xe">
                <v:stroke joinstyle="miter"/>
                <v:path gradientshapeok="t" o:connecttype="rect"/>
              </v:shapetype>
              <v:shape id="_x0000_s1029" type="#_x0000_t202" style="position:absolute;left:0;text-align:left;margin-left:2.1pt;margin-top:27.9pt;width:473.25pt;height:206.3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ShMPAIAAHAEAAAOAAAAZHJzL2Uyb0RvYy54bWysVNtu2zAMfR+wfxD0vthxk7Qx4hRdug4D&#10;ugvQ7gNkWbaFSaInKbGzry8lJ5m7vQ17EUSRPiTPIb25HbQiB2GdBFPQ+SylRBgOlTRNQb8/P7y7&#10;ocR5ZiqmwIiCHoWjt9u3bzZ9l4sMWlCVsARBjMv7rqCt912eJI63QjM3g04YdNZgNfNo2iapLOsR&#10;XaskS9NV0oOtOgtcOIev96OTbiN+XQvuv9a1E56ogmJtPp42nmU4k+2G5Y1lXSv5qQz2D1VoJg0m&#10;vUDdM8/I3sq/oLTkFhzUfsZBJ1DXkovYA3YzT//o5qllnYi9IDmuu9Dk/h8s/3L4ZomsULsrSgzT&#10;qNGzGHwtVEWyQE/fuRyjnjqM88N7GDA0tuq6R+A/HDGwa5lpxJ210LeCVVjePHyZTD4dcVwAKfvP&#10;UGEatvcQgYba6sAdskEQHWU6XqTBUgjHxxWyk10vKeHoy1Yo/TyKl7D8/Hlnnf8oQJNwKahF7SM8&#10;Ozw6H8ph+TkkZHOgZPUglYpGmDexU5YcGE5K2Ywtqr3GWse39TJNzynjeIbwiPoKSRnSF3S9zJYj&#10;Sa+y2Ka85EC0CeA0TEuPO6GkLujNJYjlgdoPpooT65lU4x27UubEdaB3JNoP5RBVvTpLWEJ1RPIt&#10;jCuAK4uXFuwvSnoc/4K6n3tmBSXqk0EB1/PFIuxLNBbL6wwNO/WUUw8zHKEK6ikZrzsfdyxQa+AO&#10;ha5llCBMxFjJqWQc68jhaQXD3kztGPX7R7F9AQAA//8DAFBLAwQUAAYACAAAACEAuYKhA94AAAAI&#10;AQAADwAAAGRycy9kb3ducmV2LnhtbEyPzU7DMBCE70h9B2srcaMOVRPaEKdCIC6VEKI/B25OvE0i&#10;4nVkO214e5YTHHdmNPtNsZ1sLy7oQ+dIwf0iAYFUO9NRo+B4eL1bgwhRk9G9I1TwjQG25eym0Llx&#10;V/rAyz42gkso5FpBG+OQSxnqFq0OCzcgsXd23urIp2+k8frK5baXyyTJpNUd8YdWD/jcYv21H60C&#10;+1bR7pN2zpjx4F9i9n7CzVmp2/n09Agi4hT/wvCLz+hQMlPlRjJB9ApWSw4qSFMewPYmTR5AVKxn&#10;6xXIspD/B5Q/AAAA//8DAFBLAQItABQABgAIAAAAIQC2gziS/gAAAOEBAAATAAAAAAAAAAAAAAAA&#10;AAAAAABbQ29udGVudF9UeXBlc10ueG1sUEsBAi0AFAAGAAgAAAAhADj9If/WAAAAlAEAAAsAAAAA&#10;AAAAAAAAAAAALwEAAF9yZWxzLy5yZWxzUEsBAi0AFAAGAAgAAAAhAEhdKEw8AgAAcAQAAA4AAAAA&#10;AAAAAAAAAAAALgIAAGRycy9lMm9Eb2MueG1sUEsBAi0AFAAGAAgAAAAhALmCoQPeAAAACAEAAA8A&#10;AAAAAAAAAAAAAAAAlgQAAGRycy9kb3ducmV2LnhtbFBLBQYAAAAABAAEAPMAAAChBQAAAAA=&#10;" fillcolor="#f2f2f2 [3052]">
                <v:textbox>
                  <w:txbxContent>
                    <w:p w14:paraId="1D8F4678" w14:textId="0C6C9D85" w:rsidR="0067767C" w:rsidRPr="005A1BDB" w:rsidRDefault="0067767C" w:rsidP="00400E47">
                      <w:pPr>
                        <w:pStyle w:val="EEALabel"/>
                        <w:rPr>
                          <w:rFonts w:eastAsiaTheme="minorEastAsia"/>
                          <w:bCs/>
                          <w:szCs w:val="22"/>
                          <w:lang w:val="en-US" w:eastAsia="en-US"/>
                        </w:rPr>
                      </w:pPr>
                      <w:bookmarkStart w:id="300" w:name="_Toc83997427"/>
                      <w:r>
                        <w:t xml:space="preserve">Box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Box \* ARABIC \s 1 </w:instrText>
                      </w:r>
                      <w:r>
                        <w:fldChar w:fldCharType="separate"/>
                      </w:r>
                      <w:r>
                        <w:rPr>
                          <w:noProof/>
                        </w:rPr>
                        <w:t>1</w:t>
                      </w:r>
                      <w:r>
                        <w:fldChar w:fldCharType="end"/>
                      </w:r>
                      <w:r w:rsidRPr="005A1BDB">
                        <w:rPr>
                          <w:bCs/>
                        </w:rPr>
                        <w:tab/>
                      </w:r>
                      <w:r>
                        <w:t>DNA-based methods</w:t>
                      </w:r>
                      <w:bookmarkEnd w:id="300"/>
                    </w:p>
                    <w:tbl>
                      <w:tblPr>
                        <w:tblStyle w:val="Tabellenraster"/>
                        <w:tblW w:w="0" w:type="auto"/>
                        <w:tblBorders>
                          <w:top w:val="none" w:sz="0" w:space="0" w:color="auto"/>
                          <w:left w:val="none" w:sz="0" w:space="0" w:color="auto"/>
                          <w:bottom w:val="none" w:sz="0" w:space="0" w:color="auto"/>
                          <w:right w:val="none" w:sz="0" w:space="0" w:color="auto"/>
                        </w:tblBorders>
                        <w:shd w:val="clear" w:color="auto" w:fill="F2F2F2" w:themeFill="background1" w:themeFillShade="F2"/>
                        <w:tblLook w:val="04A0" w:firstRow="1" w:lastRow="0" w:firstColumn="1" w:lastColumn="0" w:noHBand="0" w:noVBand="1"/>
                      </w:tblPr>
                      <w:tblGrid>
                        <w:gridCol w:w="9163"/>
                      </w:tblGrid>
                      <w:tr w:rsidR="0067767C" w14:paraId="57390CDF" w14:textId="77777777" w:rsidTr="00677B0A">
                        <w:tc>
                          <w:tcPr>
                            <w:tcW w:w="9163" w:type="dxa"/>
                            <w:shd w:val="clear" w:color="auto" w:fill="F2F2F2" w:themeFill="background1" w:themeFillShade="F2"/>
                          </w:tcPr>
                          <w:p w14:paraId="1C8F2A2F" w14:textId="77777777" w:rsidR="0067767C" w:rsidRDefault="0067767C" w:rsidP="00677B0A">
                            <w:pPr>
                              <w:spacing w:before="120" w:after="120"/>
                            </w:pPr>
                            <w:r>
                              <w:t xml:space="preserve">Currently, several institutions are developing DNA-based methods to investigate soil-living communities. The recording and evaluation of the diversity of soil organism communities through DNA was hampered considerably by the lack of trained taxonomists and by using morphological features alone. In this context, considerable progress has been made within the last decade, but only recently some of these methods were standardized through ISO </w:t>
                            </w:r>
                            <w:r w:rsidRPr="00E924A9">
                              <w:t xml:space="preserve">Standard 11063 </w:t>
                            </w:r>
                            <w:r>
                              <w:t xml:space="preserve">(see also Plessard et al. 2012). </w:t>
                            </w:r>
                          </w:p>
                          <w:p w14:paraId="3B521694" w14:textId="7756D014" w:rsidR="0067767C" w:rsidRDefault="0067767C" w:rsidP="00677B0A">
                            <w:r>
                              <w:t xml:space="preserve">It is expected that in the near future efficient, cost-effective and routinely applicable DNA-based methods for soil biodiversity monitoring system will be available in order to monitor and evaluate soil biodiversity. Thus, in the foreseeable future, baseline and threshold data (see </w:t>
                            </w:r>
                            <w:r>
                              <w:fldChar w:fldCharType="begin"/>
                            </w:r>
                            <w:r>
                              <w:instrText xml:space="preserve"> REF _Ref55203853 \r \h </w:instrText>
                            </w:r>
                            <w:r>
                              <w:fldChar w:fldCharType="separate"/>
                            </w:r>
                            <w:r>
                              <w:t>6.3</w:t>
                            </w:r>
                            <w:r>
                              <w:fldChar w:fldCharType="end"/>
                            </w:r>
                            <w:r>
                              <w:t>) will be generated for soil organism communities (ideally, not only covering invertebrates, but selected groups of microorganisms as well) all over Europe.</w:t>
                            </w:r>
                          </w:p>
                        </w:tc>
                      </w:tr>
                    </w:tbl>
                    <w:p w14:paraId="42AFB070" w14:textId="77777777" w:rsidR="0067767C" w:rsidRDefault="0067767C" w:rsidP="00400E47"/>
                  </w:txbxContent>
                </v:textbox>
                <w10:wrap type="square"/>
              </v:shape>
            </w:pict>
          </mc:Fallback>
        </mc:AlternateContent>
      </w:r>
    </w:p>
    <w:p w14:paraId="5A2F8AE8" w14:textId="77777777" w:rsidR="00400E47" w:rsidRPr="00430217" w:rsidRDefault="00400E47" w:rsidP="00400E47">
      <w:pPr>
        <w:rPr>
          <w:rFonts w:asciiTheme="majorHAnsi" w:hAnsiTheme="majorHAnsi" w:cstheme="majorHAnsi"/>
        </w:rPr>
      </w:pPr>
    </w:p>
    <w:p w14:paraId="6CF0B960" w14:textId="77777777" w:rsidR="00400E47" w:rsidRPr="00B94B62" w:rsidRDefault="00400E47" w:rsidP="0048743B">
      <w:pPr>
        <w:pStyle w:val="berschrift2"/>
        <w:numPr>
          <w:ilvl w:val="2"/>
          <w:numId w:val="3"/>
        </w:numPr>
        <w:tabs>
          <w:tab w:val="clear" w:pos="567"/>
        </w:tabs>
        <w:ind w:left="709" w:hanging="709"/>
        <w:rPr>
          <w:rStyle w:val="Formatvorlageberschrift3Zchn1"/>
          <w:b/>
          <w:bCs w:val="0"/>
          <w:iCs/>
        </w:rPr>
      </w:pPr>
      <w:bookmarkStart w:id="301" w:name="_Toc66352216"/>
      <w:bookmarkStart w:id="302" w:name="_Toc83997372"/>
      <w:r w:rsidRPr="00CF520A">
        <w:rPr>
          <w:rStyle w:val="Formatvorlageberschrift3Zchn1"/>
          <w:bCs w:val="0"/>
          <w:iCs/>
        </w:rPr>
        <w:t>Experiences from applying soil biological parameters in soil monitoring</w:t>
      </w:r>
      <w:bookmarkEnd w:id="301"/>
      <w:bookmarkEnd w:id="302"/>
    </w:p>
    <w:p w14:paraId="6A048292" w14:textId="77777777" w:rsidR="00400E47" w:rsidRDefault="00400E47" w:rsidP="00400E47"/>
    <w:p w14:paraId="4A120E0E" w14:textId="5BB2E4E0" w:rsidR="00400E47" w:rsidRDefault="00400E47" w:rsidP="00400E47">
      <w:r w:rsidRPr="00146456">
        <w:t xml:space="preserve">Bispo et </w:t>
      </w:r>
      <w:r>
        <w:t>al.</w:t>
      </w:r>
      <w:r w:rsidRPr="00146456">
        <w:t xml:space="preserve"> (2009) successfully tested the three ENVASSO indicators</w:t>
      </w:r>
      <w:r>
        <w:t xml:space="preserve"> </w:t>
      </w:r>
      <w:r w:rsidRPr="00146456">
        <w:t>in France</w:t>
      </w:r>
      <w:r>
        <w:t>,</w:t>
      </w:r>
      <w:r w:rsidRPr="00146456">
        <w:t xml:space="preserve"> Ireland</w:t>
      </w:r>
      <w:r>
        <w:t>,</w:t>
      </w:r>
      <w:r w:rsidRPr="00146456">
        <w:t xml:space="preserve"> Portug</w:t>
      </w:r>
      <w:r>
        <w:t>al,</w:t>
      </w:r>
      <w:r w:rsidRPr="00146456">
        <w:t xml:space="preserve"> and Hungary</w:t>
      </w:r>
      <w:r>
        <w:t xml:space="preserve"> (namely: </w:t>
      </w:r>
      <w:r w:rsidRPr="00D8358F">
        <w:t>diversity of earthworms</w:t>
      </w:r>
      <w:r>
        <w:t xml:space="preserve">, </w:t>
      </w:r>
      <w:r w:rsidRPr="00D8358F">
        <w:t xml:space="preserve">diversity of </w:t>
      </w:r>
      <w:r>
        <w:t>c</w:t>
      </w:r>
      <w:r w:rsidRPr="00D8358F">
        <w:t>ollembola</w:t>
      </w:r>
      <w:r>
        <w:t>ns,</w:t>
      </w:r>
      <w:r w:rsidRPr="00D8358F">
        <w:t xml:space="preserve"> and soil microbial respiration</w:t>
      </w:r>
      <w:r>
        <w:t>).</w:t>
      </w:r>
      <w:r w:rsidRPr="00146456">
        <w:t xml:space="preserve"> In order to assess diversity and abundance of the 3 indicators at European scale</w:t>
      </w:r>
      <w:r>
        <w:t>,</w:t>
      </w:r>
      <w:r w:rsidRPr="00146456">
        <w:t xml:space="preserve"> reference values or baselines are needed</w:t>
      </w:r>
      <w:r>
        <w:t>.</w:t>
      </w:r>
      <w:r w:rsidRPr="00146456">
        <w:t xml:space="preserve"> They refer to results for the Netherlands (Rutgers et </w:t>
      </w:r>
      <w:r>
        <w:t>al.</w:t>
      </w:r>
      <w:r w:rsidRPr="00146456">
        <w:t xml:space="preserve"> 2009) where ranges for selected land use and soil type categories were developed</w:t>
      </w:r>
      <w:r>
        <w:t>.</w:t>
      </w:r>
      <w:r w:rsidRPr="00146456">
        <w:t xml:space="preserve"> In the Netherlands</w:t>
      </w:r>
      <w:r>
        <w:t>,</w:t>
      </w:r>
      <w:r w:rsidRPr="00146456">
        <w:t xml:space="preserve"> 12 biological indicators are measured at 300 locations in a six-year cycle (Rutgers et </w:t>
      </w:r>
      <w:r>
        <w:t>al.,</w:t>
      </w:r>
      <w:r w:rsidRPr="00146456">
        <w:t xml:space="preserve"> 2009)</w:t>
      </w:r>
      <w:r>
        <w:t>.</w:t>
      </w:r>
      <w:r w:rsidRPr="00146456">
        <w:t xml:space="preserve"> Biological parameters included abundance of earthworms</w:t>
      </w:r>
      <w:r>
        <w:t>,</w:t>
      </w:r>
      <w:r w:rsidRPr="00146456">
        <w:t xml:space="preserve"> nematodes</w:t>
      </w:r>
      <w:r>
        <w:t>,</w:t>
      </w:r>
      <w:r w:rsidRPr="00146456">
        <w:t xml:space="preserve"> micro-arthropods and enchytraeids</w:t>
      </w:r>
      <w:r>
        <w:t>,</w:t>
      </w:r>
      <w:r w:rsidRPr="00146456">
        <w:t xml:space="preserve"> </w:t>
      </w:r>
      <w:r>
        <w:t>b</w:t>
      </w:r>
      <w:r w:rsidRPr="00146456">
        <w:t>acterial biomass and DNA diversity; most parameters performed a clear pattern across gradients of land-use intensity and soils</w:t>
      </w:r>
      <w:r>
        <w:t>.</w:t>
      </w:r>
      <w:r w:rsidRPr="00146456">
        <w:t xml:space="preserve"> </w:t>
      </w:r>
      <w:r>
        <w:rPr>
          <w:highlight w:val="yellow"/>
        </w:rPr>
        <w:fldChar w:fldCharType="begin"/>
      </w:r>
      <w:r>
        <w:instrText xml:space="preserve"> REF _Ref54603432 \h </w:instrText>
      </w:r>
      <w:r>
        <w:rPr>
          <w:highlight w:val="yellow"/>
        </w:rPr>
      </w:r>
      <w:r>
        <w:rPr>
          <w:highlight w:val="yellow"/>
        </w:rPr>
        <w:fldChar w:fldCharType="separate"/>
      </w:r>
      <w:r w:rsidR="0067767C">
        <w:t xml:space="preserve">Table </w:t>
      </w:r>
      <w:r w:rsidR="0067767C">
        <w:rPr>
          <w:noProof/>
        </w:rPr>
        <w:t>6</w:t>
      </w:r>
      <w:r w:rsidR="0067767C">
        <w:noBreakHyphen/>
      </w:r>
      <w:r w:rsidR="0067767C">
        <w:rPr>
          <w:noProof/>
        </w:rPr>
        <w:t>2</w:t>
      </w:r>
      <w:r>
        <w:rPr>
          <w:highlight w:val="yellow"/>
        </w:rPr>
        <w:fldChar w:fldCharType="end"/>
      </w:r>
      <w:r w:rsidRPr="00146456">
        <w:t xml:space="preserve"> presents results from the French Bioindicator programme</w:t>
      </w:r>
      <w:r>
        <w:t>.</w:t>
      </w:r>
    </w:p>
    <w:p w14:paraId="31B201F5" w14:textId="77777777" w:rsidR="00400E47" w:rsidRDefault="00400E47" w:rsidP="00400E47"/>
    <w:p w14:paraId="1501E9CD" w14:textId="1A60371D" w:rsidR="00400E47" w:rsidRDefault="00400E47" w:rsidP="00400E47">
      <w:pPr>
        <w:pStyle w:val="EEALabel"/>
        <w:spacing w:after="120"/>
        <w:rPr>
          <w:rFonts w:eastAsia="Calibri"/>
        </w:rPr>
      </w:pPr>
      <w:bookmarkStart w:id="303" w:name="_Ref54603432"/>
      <w:bookmarkStart w:id="304" w:name="_Toc83997523"/>
      <w:r>
        <w:t xml:space="preserve">Table </w:t>
      </w:r>
      <w:r>
        <w:fldChar w:fldCharType="begin"/>
      </w:r>
      <w:r>
        <w:instrText xml:space="preserve"> STYLEREF 1 \s </w:instrText>
      </w:r>
      <w:r>
        <w:fldChar w:fldCharType="separate"/>
      </w:r>
      <w:r w:rsidR="0067767C">
        <w:rPr>
          <w:noProof/>
        </w:rPr>
        <w:t>6</w:t>
      </w:r>
      <w:r>
        <w:fldChar w:fldCharType="end"/>
      </w:r>
      <w:r>
        <w:noBreakHyphen/>
      </w:r>
      <w:r>
        <w:fldChar w:fldCharType="begin"/>
      </w:r>
      <w:r>
        <w:instrText xml:space="preserve"> SEQ Table \* ARABIC \s 1 </w:instrText>
      </w:r>
      <w:r>
        <w:fldChar w:fldCharType="separate"/>
      </w:r>
      <w:r w:rsidR="0067767C">
        <w:rPr>
          <w:noProof/>
        </w:rPr>
        <w:t>2</w:t>
      </w:r>
      <w:r>
        <w:fldChar w:fldCharType="end"/>
      </w:r>
      <w:bookmarkEnd w:id="303"/>
      <w:r>
        <w:t>:</w:t>
      </w:r>
      <w:r>
        <w:rPr>
          <w:rFonts w:eastAsia="Calibri"/>
        </w:rPr>
        <w:tab/>
      </w:r>
      <w:r w:rsidRPr="00CF520A">
        <w:rPr>
          <w:rFonts w:eastAsia="Calibri"/>
        </w:rPr>
        <w:t>Monitoring of biological groups In the French soil monitoring network</w:t>
      </w:r>
      <w:bookmarkEnd w:id="304"/>
    </w:p>
    <w:tbl>
      <w:tblPr>
        <w:tblStyle w:val="Tabellenraster"/>
        <w:tblW w:w="8643"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390"/>
        <w:gridCol w:w="2127"/>
        <w:gridCol w:w="992"/>
        <w:gridCol w:w="1134"/>
      </w:tblGrid>
      <w:tr w:rsidR="00400E47" w:rsidRPr="00CF520A" w14:paraId="760DA906" w14:textId="77777777" w:rsidTr="001C6C1E">
        <w:tc>
          <w:tcPr>
            <w:tcW w:w="4390" w:type="dxa"/>
            <w:tcBorders>
              <w:top w:val="single" w:sz="4" w:space="0" w:color="auto"/>
              <w:bottom w:val="single" w:sz="4" w:space="0" w:color="auto"/>
            </w:tcBorders>
            <w:shd w:val="clear" w:color="auto" w:fill="F2F2F2" w:themeFill="background1" w:themeFillShade="F2"/>
          </w:tcPr>
          <w:p w14:paraId="05731021" w14:textId="77777777" w:rsidR="00400E47" w:rsidRPr="00CF520A" w:rsidRDefault="00400E47" w:rsidP="00677B0A">
            <w:pPr>
              <w:pStyle w:val="EEAtableleft"/>
              <w:rPr>
                <w:b/>
                <w:bCs/>
                <w:lang w:eastAsia="en-US"/>
              </w:rPr>
            </w:pPr>
            <w:r w:rsidRPr="00CF520A">
              <w:rPr>
                <w:b/>
                <w:bCs/>
                <w:lang w:eastAsia="en-US"/>
              </w:rPr>
              <w:t>Parameters/Indicators</w:t>
            </w:r>
          </w:p>
        </w:tc>
        <w:tc>
          <w:tcPr>
            <w:tcW w:w="2127" w:type="dxa"/>
            <w:tcBorders>
              <w:top w:val="single" w:sz="4" w:space="0" w:color="auto"/>
              <w:bottom w:val="single" w:sz="4" w:space="0" w:color="auto"/>
            </w:tcBorders>
            <w:shd w:val="clear" w:color="auto" w:fill="F2F2F2" w:themeFill="background1" w:themeFillShade="F2"/>
          </w:tcPr>
          <w:p w14:paraId="2A3E6D60" w14:textId="77777777" w:rsidR="00400E47" w:rsidRPr="00CF520A" w:rsidRDefault="00400E47" w:rsidP="00677B0A">
            <w:pPr>
              <w:pStyle w:val="EEAtableleft"/>
              <w:rPr>
                <w:b/>
                <w:bCs/>
              </w:rPr>
            </w:pPr>
            <w:r w:rsidRPr="00CF520A">
              <w:rPr>
                <w:b/>
                <w:bCs/>
              </w:rPr>
              <w:t>Indicator value</w:t>
            </w:r>
          </w:p>
        </w:tc>
        <w:tc>
          <w:tcPr>
            <w:tcW w:w="992" w:type="dxa"/>
            <w:tcBorders>
              <w:top w:val="single" w:sz="4" w:space="0" w:color="auto"/>
              <w:bottom w:val="single" w:sz="4" w:space="0" w:color="auto"/>
            </w:tcBorders>
            <w:shd w:val="clear" w:color="auto" w:fill="F2F2F2" w:themeFill="background1" w:themeFillShade="F2"/>
          </w:tcPr>
          <w:p w14:paraId="37F6B5DF" w14:textId="77777777" w:rsidR="00400E47" w:rsidRPr="00CF520A" w:rsidRDefault="00400E47" w:rsidP="00677B0A">
            <w:pPr>
              <w:pStyle w:val="EEAtableleft"/>
              <w:rPr>
                <w:b/>
                <w:bCs/>
              </w:rPr>
            </w:pPr>
            <w:r w:rsidRPr="00CF520A">
              <w:rPr>
                <w:b/>
                <w:bCs/>
              </w:rPr>
              <w:t>Sites</w:t>
            </w:r>
          </w:p>
        </w:tc>
        <w:tc>
          <w:tcPr>
            <w:tcW w:w="1134" w:type="dxa"/>
            <w:tcBorders>
              <w:top w:val="single" w:sz="4" w:space="0" w:color="auto"/>
              <w:bottom w:val="single" w:sz="4" w:space="0" w:color="auto"/>
            </w:tcBorders>
            <w:shd w:val="clear" w:color="auto" w:fill="F2F2F2" w:themeFill="background1" w:themeFillShade="F2"/>
          </w:tcPr>
          <w:p w14:paraId="0EABF61E" w14:textId="77777777" w:rsidR="00400E47" w:rsidRPr="00CF520A" w:rsidRDefault="00400E47" w:rsidP="00677B0A">
            <w:pPr>
              <w:pStyle w:val="EEAtableleft"/>
              <w:rPr>
                <w:b/>
                <w:bCs/>
              </w:rPr>
            </w:pPr>
            <w:r w:rsidRPr="00CF520A">
              <w:rPr>
                <w:b/>
                <w:bCs/>
              </w:rPr>
              <w:t>Source</w:t>
            </w:r>
          </w:p>
        </w:tc>
      </w:tr>
      <w:tr w:rsidR="00400E47" w14:paraId="2DE96A61" w14:textId="77777777" w:rsidTr="00714D8B">
        <w:tc>
          <w:tcPr>
            <w:tcW w:w="4390" w:type="dxa"/>
            <w:tcBorders>
              <w:top w:val="single" w:sz="4" w:space="0" w:color="auto"/>
            </w:tcBorders>
          </w:tcPr>
          <w:p w14:paraId="051A3A01" w14:textId="77777777" w:rsidR="00400E47" w:rsidRPr="00DD7C14" w:rsidRDefault="00400E47" w:rsidP="00677B0A">
            <w:pPr>
              <w:pStyle w:val="EEAtableleft"/>
            </w:pPr>
            <w:r>
              <w:rPr>
                <w:lang w:eastAsia="en-US"/>
              </w:rPr>
              <w:t>A</w:t>
            </w:r>
            <w:r w:rsidRPr="00DD7C14">
              <w:rPr>
                <w:lang w:eastAsia="en-US"/>
              </w:rPr>
              <w:t>bundances of earthworms</w:t>
            </w:r>
            <w:r>
              <w:rPr>
                <w:lang w:eastAsia="en-US"/>
              </w:rPr>
              <w:t>,</w:t>
            </w:r>
            <w:r w:rsidRPr="00DD7C14">
              <w:rPr>
                <w:lang w:eastAsia="en-US"/>
              </w:rPr>
              <w:t xml:space="preserve"> Nematodes</w:t>
            </w:r>
            <w:r>
              <w:rPr>
                <w:lang w:eastAsia="en-US"/>
              </w:rPr>
              <w:t>,</w:t>
            </w:r>
            <w:r w:rsidRPr="00DD7C14">
              <w:rPr>
                <w:lang w:eastAsia="en-US"/>
              </w:rPr>
              <w:t xml:space="preserve"> Acari and the bacterial community</w:t>
            </w:r>
            <w:r>
              <w:rPr>
                <w:lang w:eastAsia="en-US"/>
              </w:rPr>
              <w:t>,</w:t>
            </w:r>
            <w:r w:rsidRPr="00DD7C14">
              <w:rPr>
                <w:lang w:eastAsia="en-US"/>
              </w:rPr>
              <w:t xml:space="preserve"> microbial biomass and earthworm species richness</w:t>
            </w:r>
          </w:p>
        </w:tc>
        <w:tc>
          <w:tcPr>
            <w:tcW w:w="2127" w:type="dxa"/>
            <w:tcBorders>
              <w:top w:val="single" w:sz="4" w:space="0" w:color="auto"/>
            </w:tcBorders>
          </w:tcPr>
          <w:p w14:paraId="5A2FDE5A" w14:textId="77777777" w:rsidR="00400E47" w:rsidRPr="00DD7C14" w:rsidRDefault="00400E47" w:rsidP="00677B0A">
            <w:pPr>
              <w:pStyle w:val="EEAtableleft"/>
            </w:pPr>
            <w:r>
              <w:t>m</w:t>
            </w:r>
            <w:r w:rsidRPr="00DD7C14">
              <w:t>ain land use</w:t>
            </w:r>
            <w:r>
              <w:t xml:space="preserve"> (g</w:t>
            </w:r>
            <w:r w:rsidRPr="00DD7C14">
              <w:t>rass</w:t>
            </w:r>
            <w:r>
              <w:t>-</w:t>
            </w:r>
            <w:r w:rsidRPr="00DD7C14">
              <w:t>land</w:t>
            </w:r>
            <w:r>
              <w:t>,</w:t>
            </w:r>
            <w:r w:rsidRPr="00DD7C14">
              <w:t xml:space="preserve"> cropland</w:t>
            </w:r>
            <w:r>
              <w:t>,</w:t>
            </w:r>
            <w:r w:rsidRPr="00DD7C14">
              <w:t xml:space="preserve"> forest</w:t>
            </w:r>
            <w:r>
              <w:t>)</w:t>
            </w:r>
          </w:p>
        </w:tc>
        <w:tc>
          <w:tcPr>
            <w:tcW w:w="992" w:type="dxa"/>
            <w:vMerge w:val="restart"/>
            <w:tcBorders>
              <w:top w:val="single" w:sz="4" w:space="0" w:color="auto"/>
            </w:tcBorders>
            <w:vAlign w:val="center"/>
          </w:tcPr>
          <w:p w14:paraId="7972000E" w14:textId="77777777" w:rsidR="00400E47" w:rsidRPr="00DD7C14" w:rsidRDefault="00400E47" w:rsidP="00677B0A">
            <w:pPr>
              <w:pStyle w:val="EEAtableleft"/>
            </w:pPr>
            <w:r w:rsidRPr="00DD7C14">
              <w:t>109 sites</w:t>
            </w:r>
          </w:p>
        </w:tc>
        <w:tc>
          <w:tcPr>
            <w:tcW w:w="1134" w:type="dxa"/>
            <w:vMerge w:val="restart"/>
            <w:tcBorders>
              <w:top w:val="single" w:sz="4" w:space="0" w:color="auto"/>
            </w:tcBorders>
            <w:vAlign w:val="center"/>
          </w:tcPr>
          <w:p w14:paraId="2578FF5D" w14:textId="77777777" w:rsidR="00400E47" w:rsidRPr="00DD7C14" w:rsidRDefault="00400E47" w:rsidP="00677B0A">
            <w:pPr>
              <w:pStyle w:val="EEAtableleft"/>
            </w:pPr>
            <w:r w:rsidRPr="00DD7C14">
              <w:t xml:space="preserve">Cluzeau et </w:t>
            </w:r>
            <w:r>
              <w:t>al.</w:t>
            </w:r>
            <w:r w:rsidRPr="00DD7C14">
              <w:t xml:space="preserve"> (2012)</w:t>
            </w:r>
          </w:p>
        </w:tc>
      </w:tr>
      <w:tr w:rsidR="00400E47" w14:paraId="314877B3" w14:textId="77777777" w:rsidTr="00677B0A">
        <w:tc>
          <w:tcPr>
            <w:tcW w:w="4390" w:type="dxa"/>
          </w:tcPr>
          <w:p w14:paraId="6EA2CBAD" w14:textId="77777777" w:rsidR="00400E47" w:rsidRPr="00DD7C14" w:rsidRDefault="00400E47" w:rsidP="00677B0A">
            <w:pPr>
              <w:pStyle w:val="EEAtableleft"/>
            </w:pPr>
            <w:r w:rsidRPr="00DD7C14">
              <w:rPr>
                <w:lang w:eastAsia="en-US"/>
              </w:rPr>
              <w:t>Macro-invertebrate abundance</w:t>
            </w:r>
            <w:r>
              <w:rPr>
                <w:lang w:eastAsia="en-US"/>
              </w:rPr>
              <w:t>,</w:t>
            </w:r>
            <w:r w:rsidRPr="00DD7C14">
              <w:rPr>
                <w:lang w:eastAsia="en-US"/>
              </w:rPr>
              <w:t xml:space="preserve"> Collembola abundance and richness</w:t>
            </w:r>
            <w:r>
              <w:rPr>
                <w:lang w:eastAsia="en-US"/>
              </w:rPr>
              <w:t xml:space="preserve">, </w:t>
            </w:r>
            <w:r w:rsidRPr="00DD7C14">
              <w:rPr>
                <w:lang w:eastAsia="en-US"/>
              </w:rPr>
              <w:t>nematode richness</w:t>
            </w:r>
          </w:p>
        </w:tc>
        <w:tc>
          <w:tcPr>
            <w:tcW w:w="2127" w:type="dxa"/>
          </w:tcPr>
          <w:p w14:paraId="766C8DC7" w14:textId="77777777" w:rsidR="00400E47" w:rsidRPr="00DD7C14" w:rsidRDefault="00400E47" w:rsidP="00677B0A">
            <w:pPr>
              <w:pStyle w:val="EEAtableleft"/>
            </w:pPr>
            <w:r w:rsidRPr="00DD7C14">
              <w:rPr>
                <w:lang w:eastAsia="en-US"/>
              </w:rPr>
              <w:t xml:space="preserve">agricultural practice </w:t>
            </w:r>
          </w:p>
        </w:tc>
        <w:tc>
          <w:tcPr>
            <w:tcW w:w="992" w:type="dxa"/>
            <w:vMerge/>
          </w:tcPr>
          <w:p w14:paraId="3D87F4B8" w14:textId="77777777" w:rsidR="00400E47" w:rsidRPr="00DD7C14" w:rsidRDefault="00400E47" w:rsidP="00677B0A">
            <w:pPr>
              <w:pStyle w:val="EEAtableleft"/>
              <w:rPr>
                <w:lang w:eastAsia="en-US"/>
              </w:rPr>
            </w:pPr>
          </w:p>
        </w:tc>
        <w:tc>
          <w:tcPr>
            <w:tcW w:w="1134" w:type="dxa"/>
            <w:vMerge/>
          </w:tcPr>
          <w:p w14:paraId="23C40033" w14:textId="77777777" w:rsidR="00400E47" w:rsidRPr="00DD7C14" w:rsidRDefault="00400E47" w:rsidP="00677B0A">
            <w:pPr>
              <w:pStyle w:val="EEAtableleft"/>
              <w:rPr>
                <w:lang w:eastAsia="en-US"/>
              </w:rPr>
            </w:pPr>
          </w:p>
        </w:tc>
      </w:tr>
      <w:tr w:rsidR="00400E47" w14:paraId="509CB75B" w14:textId="77777777" w:rsidTr="001C6C1E">
        <w:tc>
          <w:tcPr>
            <w:tcW w:w="4390" w:type="dxa"/>
            <w:tcBorders>
              <w:bottom w:val="single" w:sz="4" w:space="0" w:color="auto"/>
            </w:tcBorders>
          </w:tcPr>
          <w:p w14:paraId="4424D955" w14:textId="77777777" w:rsidR="00400E47" w:rsidRPr="00DD7C14" w:rsidRDefault="00400E47" w:rsidP="00677B0A">
            <w:pPr>
              <w:pStyle w:val="EEAtableleft"/>
              <w:rPr>
                <w:lang w:eastAsia="en-US"/>
              </w:rPr>
            </w:pPr>
            <w:r>
              <w:rPr>
                <w:lang w:eastAsia="en-US"/>
              </w:rPr>
              <w:t>B</w:t>
            </w:r>
            <w:r w:rsidRPr="00DD7C14">
              <w:rPr>
                <w:lang w:eastAsia="en-US"/>
              </w:rPr>
              <w:t xml:space="preserve">iological soil quality </w:t>
            </w:r>
            <w:r>
              <w:rPr>
                <w:lang w:eastAsia="en-US"/>
              </w:rPr>
              <w:t xml:space="preserve">index </w:t>
            </w:r>
            <w:r w:rsidRPr="00DD7C14">
              <w:rPr>
                <w:lang w:eastAsia="en-US"/>
              </w:rPr>
              <w:t>based on soil macro-invertebrate</w:t>
            </w:r>
            <w:r>
              <w:rPr>
                <w:lang w:eastAsia="en-US"/>
              </w:rPr>
              <w:t xml:space="preserve"> </w:t>
            </w:r>
            <w:r w:rsidRPr="00DD7C14">
              <w:rPr>
                <w:lang w:eastAsia="en-US"/>
              </w:rPr>
              <w:t>community pattern</w:t>
            </w:r>
          </w:p>
        </w:tc>
        <w:tc>
          <w:tcPr>
            <w:tcW w:w="2127" w:type="dxa"/>
            <w:tcBorders>
              <w:bottom w:val="single" w:sz="4" w:space="0" w:color="auto"/>
            </w:tcBorders>
          </w:tcPr>
          <w:p w14:paraId="54B25A69" w14:textId="77777777" w:rsidR="00400E47" w:rsidRPr="00DD7C14" w:rsidRDefault="00400E47" w:rsidP="00677B0A">
            <w:pPr>
              <w:pStyle w:val="EEAtableleft"/>
              <w:rPr>
                <w:lang w:eastAsia="en-US"/>
              </w:rPr>
            </w:pPr>
            <w:r w:rsidRPr="00DD7C14">
              <w:rPr>
                <w:lang w:eastAsia="en-US"/>
              </w:rPr>
              <w:t>agricultural practice</w:t>
            </w:r>
          </w:p>
        </w:tc>
        <w:tc>
          <w:tcPr>
            <w:tcW w:w="992" w:type="dxa"/>
            <w:tcBorders>
              <w:bottom w:val="single" w:sz="4" w:space="0" w:color="auto"/>
            </w:tcBorders>
          </w:tcPr>
          <w:p w14:paraId="59434163" w14:textId="77777777" w:rsidR="00400E47" w:rsidRPr="00DD7C14" w:rsidRDefault="00400E47" w:rsidP="00677B0A">
            <w:pPr>
              <w:pStyle w:val="EEAtableleft"/>
              <w:rPr>
                <w:lang w:eastAsia="en-US"/>
              </w:rPr>
            </w:pPr>
            <w:r w:rsidRPr="00DD7C14">
              <w:rPr>
                <w:lang w:eastAsia="en-US"/>
              </w:rPr>
              <w:t>22 sites</w:t>
            </w:r>
          </w:p>
        </w:tc>
        <w:tc>
          <w:tcPr>
            <w:tcW w:w="1134" w:type="dxa"/>
            <w:tcBorders>
              <w:bottom w:val="single" w:sz="4" w:space="0" w:color="auto"/>
            </w:tcBorders>
          </w:tcPr>
          <w:p w14:paraId="04306B9A" w14:textId="77777777" w:rsidR="00400E47" w:rsidRPr="00DD7C14" w:rsidRDefault="00400E47" w:rsidP="00677B0A">
            <w:pPr>
              <w:pStyle w:val="EEAtableleft"/>
              <w:rPr>
                <w:lang w:eastAsia="en-US"/>
              </w:rPr>
            </w:pPr>
            <w:r>
              <w:rPr>
                <w:lang w:eastAsia="en-US"/>
              </w:rPr>
              <w:t xml:space="preserve">Ruiz </w:t>
            </w:r>
            <w:r w:rsidRPr="00DD7C14">
              <w:rPr>
                <w:lang w:eastAsia="en-US"/>
              </w:rPr>
              <w:t xml:space="preserve">et </w:t>
            </w:r>
            <w:r>
              <w:rPr>
                <w:lang w:eastAsia="en-US"/>
              </w:rPr>
              <w:t>al.</w:t>
            </w:r>
            <w:r w:rsidRPr="00DD7C14">
              <w:rPr>
                <w:lang w:eastAsia="en-US"/>
              </w:rPr>
              <w:t xml:space="preserve"> (2011)</w:t>
            </w:r>
          </w:p>
        </w:tc>
      </w:tr>
      <w:tr w:rsidR="00400E47" w14:paraId="7C4867EB" w14:textId="77777777" w:rsidTr="001C6C1E">
        <w:tc>
          <w:tcPr>
            <w:tcW w:w="4390" w:type="dxa"/>
            <w:tcBorders>
              <w:top w:val="single" w:sz="4" w:space="0" w:color="auto"/>
              <w:bottom w:val="single" w:sz="4" w:space="0" w:color="auto"/>
            </w:tcBorders>
          </w:tcPr>
          <w:p w14:paraId="2732F1AE" w14:textId="77777777" w:rsidR="00400E47" w:rsidRPr="00DD7C14" w:rsidRDefault="00400E47" w:rsidP="00677B0A">
            <w:pPr>
              <w:pStyle w:val="EEAtableleft"/>
              <w:rPr>
                <w:lang w:eastAsia="en-US"/>
              </w:rPr>
            </w:pPr>
            <w:r w:rsidRPr="00DD7C14">
              <w:rPr>
                <w:lang w:eastAsia="en-US"/>
              </w:rPr>
              <w:t>Earth worm community and species (abundance</w:t>
            </w:r>
            <w:r>
              <w:rPr>
                <w:lang w:eastAsia="en-US"/>
              </w:rPr>
              <w:t>.</w:t>
            </w:r>
            <w:r w:rsidRPr="00DD7C14">
              <w:rPr>
                <w:lang w:eastAsia="en-US"/>
              </w:rPr>
              <w:t xml:space="preserve"> biomass</w:t>
            </w:r>
            <w:r>
              <w:rPr>
                <w:lang w:eastAsia="en-US"/>
              </w:rPr>
              <w:t>,</w:t>
            </w:r>
            <w:r w:rsidRPr="00DD7C14">
              <w:rPr>
                <w:lang w:eastAsia="en-US"/>
              </w:rPr>
              <w:t xml:space="preserve"> functional structure</w:t>
            </w:r>
            <w:r>
              <w:rPr>
                <w:lang w:eastAsia="en-US"/>
              </w:rPr>
              <w:t>,</w:t>
            </w:r>
            <w:r w:rsidRPr="00DD7C14">
              <w:rPr>
                <w:lang w:eastAsia="en-US"/>
              </w:rPr>
              <w:t xml:space="preserve"> and ecological trait)</w:t>
            </w:r>
          </w:p>
        </w:tc>
        <w:tc>
          <w:tcPr>
            <w:tcW w:w="2127" w:type="dxa"/>
            <w:tcBorders>
              <w:top w:val="single" w:sz="4" w:space="0" w:color="auto"/>
              <w:bottom w:val="single" w:sz="4" w:space="0" w:color="auto"/>
            </w:tcBorders>
          </w:tcPr>
          <w:p w14:paraId="686E6EF5" w14:textId="77777777" w:rsidR="00400E47" w:rsidRPr="00DD7C14" w:rsidRDefault="00400E47" w:rsidP="00677B0A">
            <w:pPr>
              <w:pStyle w:val="EEAtableleft"/>
              <w:rPr>
                <w:lang w:eastAsia="en-US"/>
              </w:rPr>
            </w:pPr>
            <w:proofErr w:type="gramStart"/>
            <w:r>
              <w:rPr>
                <w:lang w:eastAsia="en-US"/>
              </w:rPr>
              <w:t>m</w:t>
            </w:r>
            <w:r w:rsidRPr="00DD7C14">
              <w:rPr>
                <w:lang w:eastAsia="en-US"/>
              </w:rPr>
              <w:t>a</w:t>
            </w:r>
            <w:r>
              <w:rPr>
                <w:lang w:eastAsia="en-US"/>
              </w:rPr>
              <w:t>i</w:t>
            </w:r>
            <w:r w:rsidRPr="00DD7C14">
              <w:rPr>
                <w:lang w:eastAsia="en-US"/>
              </w:rPr>
              <w:t>n</w:t>
            </w:r>
            <w:proofErr w:type="gramEnd"/>
            <w:r w:rsidRPr="00DD7C14">
              <w:rPr>
                <w:lang w:eastAsia="en-US"/>
              </w:rPr>
              <w:t xml:space="preserve"> land use</w:t>
            </w:r>
            <w:r>
              <w:rPr>
                <w:lang w:eastAsia="en-US"/>
              </w:rPr>
              <w:t>.</w:t>
            </w:r>
            <w:r w:rsidRPr="00DD7C14">
              <w:rPr>
                <w:lang w:eastAsia="en-US"/>
              </w:rPr>
              <w:t xml:space="preserve"> l</w:t>
            </w:r>
            <w:r>
              <w:rPr>
                <w:lang w:eastAsia="en-US"/>
              </w:rPr>
              <w:t>e</w:t>
            </w:r>
            <w:r w:rsidRPr="00DD7C14">
              <w:rPr>
                <w:lang w:eastAsia="en-US"/>
              </w:rPr>
              <w:t>vel of conta</w:t>
            </w:r>
            <w:r>
              <w:rPr>
                <w:lang w:eastAsia="en-US"/>
              </w:rPr>
              <w:t>m</w:t>
            </w:r>
            <w:r w:rsidRPr="00DD7C14">
              <w:rPr>
                <w:lang w:eastAsia="en-US"/>
              </w:rPr>
              <w:t>ination</w:t>
            </w:r>
          </w:p>
        </w:tc>
        <w:tc>
          <w:tcPr>
            <w:tcW w:w="992" w:type="dxa"/>
            <w:tcBorders>
              <w:top w:val="single" w:sz="4" w:space="0" w:color="auto"/>
              <w:bottom w:val="single" w:sz="4" w:space="0" w:color="auto"/>
            </w:tcBorders>
          </w:tcPr>
          <w:p w14:paraId="6FA3A988" w14:textId="77777777" w:rsidR="00400E47" w:rsidRPr="00DD7C14" w:rsidRDefault="00400E47" w:rsidP="00677B0A">
            <w:pPr>
              <w:pStyle w:val="EEAtableleft"/>
              <w:rPr>
                <w:lang w:eastAsia="en-US"/>
              </w:rPr>
            </w:pPr>
            <w:r w:rsidRPr="00DD7C14">
              <w:rPr>
                <w:lang w:eastAsia="en-US"/>
              </w:rPr>
              <w:t>13 sites</w:t>
            </w:r>
          </w:p>
        </w:tc>
        <w:tc>
          <w:tcPr>
            <w:tcW w:w="1134" w:type="dxa"/>
            <w:tcBorders>
              <w:top w:val="single" w:sz="4" w:space="0" w:color="auto"/>
              <w:bottom w:val="single" w:sz="4" w:space="0" w:color="auto"/>
            </w:tcBorders>
          </w:tcPr>
          <w:p w14:paraId="74ABC243" w14:textId="77777777" w:rsidR="00400E47" w:rsidRPr="00DD7C14" w:rsidRDefault="00400E47" w:rsidP="00677B0A">
            <w:pPr>
              <w:pStyle w:val="EEAtableleft"/>
              <w:rPr>
                <w:lang w:eastAsia="en-US"/>
              </w:rPr>
            </w:pPr>
            <w:r w:rsidRPr="00DD7C14">
              <w:rPr>
                <w:lang w:eastAsia="en-US"/>
              </w:rPr>
              <w:t>Pérès</w:t>
            </w:r>
            <w:r>
              <w:rPr>
                <w:lang w:eastAsia="en-US"/>
              </w:rPr>
              <w:t xml:space="preserve"> </w:t>
            </w:r>
            <w:r w:rsidRPr="00DD7C14">
              <w:rPr>
                <w:lang w:eastAsia="en-US"/>
              </w:rPr>
              <w:t xml:space="preserve">et </w:t>
            </w:r>
            <w:r>
              <w:rPr>
                <w:lang w:eastAsia="en-US"/>
              </w:rPr>
              <w:t>al.</w:t>
            </w:r>
            <w:r w:rsidRPr="00DD7C14">
              <w:rPr>
                <w:lang w:eastAsia="en-US"/>
              </w:rPr>
              <w:t xml:space="preserve"> (2011)</w:t>
            </w:r>
          </w:p>
        </w:tc>
      </w:tr>
    </w:tbl>
    <w:p w14:paraId="00C78BA6" w14:textId="77777777" w:rsidR="00400E47" w:rsidRDefault="00400E47" w:rsidP="00400E47">
      <w:pPr>
        <w:pStyle w:val="EEAbullet0"/>
        <w:numPr>
          <w:ilvl w:val="0"/>
          <w:numId w:val="0"/>
        </w:numPr>
        <w:tabs>
          <w:tab w:val="clear" w:pos="397"/>
        </w:tabs>
        <w:jc w:val="both"/>
      </w:pPr>
    </w:p>
    <w:p w14:paraId="02451ABA" w14:textId="77777777" w:rsidR="00400E47" w:rsidRDefault="00400E47" w:rsidP="00400E47">
      <w:r w:rsidRPr="00CF520A">
        <w:t xml:space="preserve">Krüger et </w:t>
      </w:r>
      <w:r>
        <w:t>al.</w:t>
      </w:r>
      <w:r w:rsidRPr="00CF520A">
        <w:t xml:space="preserve"> (2017) have measured six biological indicators at 60 sites in two different landscape units in Wallonia</w:t>
      </w:r>
      <w:r>
        <w:t xml:space="preserve"> (</w:t>
      </w:r>
      <w:r w:rsidRPr="00CF520A">
        <w:t>Belgium</w:t>
      </w:r>
      <w:r>
        <w:t>)</w:t>
      </w:r>
      <w:r w:rsidRPr="00CF520A">
        <w:t>: Respiration potential (incubation)</w:t>
      </w:r>
      <w:r>
        <w:t>,</w:t>
      </w:r>
      <w:r w:rsidRPr="00CF520A">
        <w:t xml:space="preserve"> microbial biomass (fumigation extraction)</w:t>
      </w:r>
      <w:r>
        <w:t>,</w:t>
      </w:r>
      <w:r w:rsidRPr="00CF520A">
        <w:t xml:space="preserve"> carbon and nitrogen (dry combustion)</w:t>
      </w:r>
      <w:r>
        <w:t>,</w:t>
      </w:r>
      <w:r w:rsidRPr="00CF520A">
        <w:t xml:space="preserve"> net nitrogen mineralization (laboratory incubation)</w:t>
      </w:r>
      <w:r>
        <w:t>,</w:t>
      </w:r>
      <w:r w:rsidRPr="00CF520A">
        <w:t xml:space="preserve"> metabolic potential of soil bacteria (physiological profiling)</w:t>
      </w:r>
      <w:r>
        <w:t>,</w:t>
      </w:r>
      <w:r w:rsidRPr="00CF520A">
        <w:t xml:space="preserve"> and earthworm abundance (extraction)</w:t>
      </w:r>
      <w:r>
        <w:t>.</w:t>
      </w:r>
      <w:r w:rsidRPr="00CF520A">
        <w:t xml:space="preserve"> They demonstrate that all tested indicators discriminate main land use types and enable a fast assessment of biological soil quality</w:t>
      </w:r>
      <w:r w:rsidRPr="00193CDD">
        <w:t xml:space="preserve"> at the regional scale</w:t>
      </w:r>
      <w:r>
        <w:t xml:space="preserve">. The higher the small-scale spatial variability of the site (larger in grassland, smaller in cropland), the higher the variability of the indicator values. </w:t>
      </w:r>
    </w:p>
    <w:p w14:paraId="301F069F" w14:textId="77777777" w:rsidR="00400E47" w:rsidRDefault="00400E47" w:rsidP="00400E47"/>
    <w:p w14:paraId="314DD7D1" w14:textId="77777777" w:rsidR="00400E47" w:rsidRDefault="00400E47" w:rsidP="00400E47">
      <w:r>
        <w:lastRenderedPageBreak/>
        <w:t xml:space="preserve">According to </w:t>
      </w:r>
      <w:r w:rsidRPr="00F72366">
        <w:t>Römbke</w:t>
      </w:r>
      <w:r>
        <w:t xml:space="preserve"> et al. (2016), one or several soil biological parameters are measured in monitoring programmes of 15 European countries.</w:t>
      </w:r>
    </w:p>
    <w:p w14:paraId="125D3426" w14:textId="77777777" w:rsidR="00400E47" w:rsidRDefault="00400E47" w:rsidP="00400E47"/>
    <w:p w14:paraId="1CA64F04" w14:textId="77777777" w:rsidR="00400E47" w:rsidRPr="00146456" w:rsidRDefault="00400E47" w:rsidP="00400E47">
      <w:r w:rsidRPr="00F53D47">
        <w:t>As a new data source</w:t>
      </w:r>
      <w:r>
        <w:t>,</w:t>
      </w:r>
      <w:r w:rsidRPr="00F53D47">
        <w:t xml:space="preserve"> the current LUCAS Soil survey 2018include</w:t>
      </w:r>
      <w:r>
        <w:t>s</w:t>
      </w:r>
      <w:r w:rsidRPr="00F53D47">
        <w:t xml:space="preserve"> the additional analyses </w:t>
      </w:r>
      <w:r>
        <w:t xml:space="preserve">of parameters related to soil biodiversity: </w:t>
      </w:r>
      <w:r w:rsidRPr="00146456">
        <w:t xml:space="preserve">DNA metabarcoding of </w:t>
      </w:r>
      <w:r>
        <w:t>b</w:t>
      </w:r>
      <w:r w:rsidRPr="00146456">
        <w:t>acteria</w:t>
      </w:r>
      <w:r>
        <w:t>, a</w:t>
      </w:r>
      <w:r w:rsidRPr="00146456">
        <w:t>rchaea</w:t>
      </w:r>
      <w:r>
        <w:t>, fungi</w:t>
      </w:r>
      <w:r w:rsidRPr="00146456">
        <w:t xml:space="preserve"> as well as </w:t>
      </w:r>
      <w:r>
        <w:t>other e</w:t>
      </w:r>
      <w:r w:rsidRPr="00146456">
        <w:t>ukaryot</w:t>
      </w:r>
      <w:r>
        <w:t>e</w:t>
      </w:r>
      <w:r w:rsidRPr="00146456">
        <w:t>s</w:t>
      </w:r>
      <w:r>
        <w:t xml:space="preserve"> (e.g. invertebrates).</w:t>
      </w:r>
      <w:r w:rsidRPr="00146456">
        <w:t xml:space="preserve"> The final aim is the characterization of soil organism communities</w:t>
      </w:r>
      <w:r>
        <w:t>.</w:t>
      </w:r>
      <w:r w:rsidRPr="00146456">
        <w:t xml:space="preserve">  </w:t>
      </w:r>
    </w:p>
    <w:p w14:paraId="333206F0" w14:textId="77777777" w:rsidR="00400E47" w:rsidRDefault="00400E47" w:rsidP="00400E47"/>
    <w:p w14:paraId="2140E30B" w14:textId="77777777" w:rsidR="00400E47" w:rsidRPr="00B94B62" w:rsidRDefault="00400E47" w:rsidP="0048743B">
      <w:pPr>
        <w:pStyle w:val="berschrift2"/>
        <w:numPr>
          <w:ilvl w:val="2"/>
          <w:numId w:val="3"/>
        </w:numPr>
        <w:tabs>
          <w:tab w:val="clear" w:pos="567"/>
        </w:tabs>
        <w:ind w:left="709" w:hanging="709"/>
        <w:rPr>
          <w:rStyle w:val="Formatvorlageberschrift3Zchn1"/>
          <w:b/>
          <w:bCs w:val="0"/>
          <w:iCs/>
        </w:rPr>
      </w:pPr>
      <w:bookmarkStart w:id="305" w:name="_Toc66352217"/>
      <w:bookmarkStart w:id="306" w:name="_Toc83997373"/>
      <w:r w:rsidRPr="00CF520A">
        <w:rPr>
          <w:rStyle w:val="Formatvorlageberschrift3Zchn1"/>
          <w:bCs w:val="0"/>
          <w:iCs/>
        </w:rPr>
        <w:t>Data bases in support of baselines</w:t>
      </w:r>
      <w:bookmarkEnd w:id="305"/>
      <w:bookmarkEnd w:id="306"/>
    </w:p>
    <w:p w14:paraId="5152E184" w14:textId="77777777" w:rsidR="00400E47" w:rsidRPr="00BB17D2" w:rsidRDefault="00400E47" w:rsidP="00400E47"/>
    <w:p w14:paraId="73A27634" w14:textId="7F8C69E6" w:rsidR="00400E47" w:rsidRDefault="00400E47" w:rsidP="00400E47">
      <w:r>
        <w:t xml:space="preserve">Rutgers et al. (2016) collected and harmonized existing earthworm community data from several European </w:t>
      </w:r>
      <w:r w:rsidR="00FD68F8">
        <w:t>countries and</w:t>
      </w:r>
      <w:r>
        <w:t xml:space="preserve"> combined these measured occurrences of the earthworm taxa with environmental and climatic variables. They could thus predict earthworm </w:t>
      </w:r>
      <w:r w:rsidR="00FD68F8">
        <w:t>abundance and</w:t>
      </w:r>
      <w:r>
        <w:t xml:space="preserve"> produce a biodiversity map of earthworms. The resulting maps of earthworm abundance and number of taxa could serve as a reference layer for monitoring.</w:t>
      </w:r>
    </w:p>
    <w:p w14:paraId="3A9DAAF7" w14:textId="77777777" w:rsidR="00400E47" w:rsidRDefault="00400E47" w:rsidP="00400E47"/>
    <w:p w14:paraId="4DB4AC28" w14:textId="77777777" w:rsidR="00400E47" w:rsidRDefault="00400E47" w:rsidP="00400E47">
      <w:r w:rsidRPr="00F1764F">
        <w:rPr>
          <w:lang w:val="nl-NL"/>
        </w:rPr>
        <w:t xml:space="preserve">Van den Hoogen et al. </w:t>
      </w:r>
      <w:r w:rsidRPr="00370F43">
        <w:rPr>
          <w:lang w:val="it-IT"/>
        </w:rPr>
        <w:t xml:space="preserve">(2020) compiled a global nematode database. </w:t>
      </w:r>
      <w:r>
        <w:t xml:space="preserve">Soil nematodes are a good indicator because they play a central role in regulating carbon and nutrient dynamics, and control soil microorganism populations. Tundra, boreal and temperate forests have the highest abundances (&gt; 2000 nematodes /100 gr dry soil). </w:t>
      </w:r>
    </w:p>
    <w:p w14:paraId="273D5FFC" w14:textId="77777777" w:rsidR="00400E47" w:rsidRDefault="00400E47" w:rsidP="00400E47"/>
    <w:p w14:paraId="78981E23" w14:textId="38A7FDB5" w:rsidR="00400E47" w:rsidRDefault="00400E47" w:rsidP="00400E47">
      <w:r>
        <w:t>A new archive about the distribution and ecology of soil animals (earthworms, small earthworms, nematodes, springtails, mites, centipedes, millipedes, and woodlice) is Edaphobase</w:t>
      </w:r>
      <w:r>
        <w:rPr>
          <w:rStyle w:val="Funotenzeichen"/>
        </w:rPr>
        <w:footnoteReference w:id="45"/>
      </w:r>
      <w:r>
        <w:t xml:space="preserve"> (a project under the German contribution to the Global Biodiversity Information Facility</w:t>
      </w:r>
      <w:r w:rsidR="0001629D">
        <w:t>,</w:t>
      </w:r>
      <w:r>
        <w:t xml:space="preserve"> GBIF-D) (</w:t>
      </w:r>
      <w:r w:rsidRPr="001C1904">
        <w:t>Burkhardt et al. 2014).</w:t>
      </w:r>
      <w:r>
        <w:t xml:space="preserve"> Up to now Edaphobase contains more than 500.000 observations, about 300.000 sites, and 140.000 taxa (Römbke et al. 2012). Currently, this approach is going to be modified in order to collect the available information on soil biodiversity in an extended version by connecting Edaphobase with the respective databases of other (mainly European) countries. This work is done in a project entitled EUdaphobase; results will be available in about four years.</w:t>
      </w:r>
    </w:p>
    <w:p w14:paraId="7EC90B83" w14:textId="77777777" w:rsidR="00400E47" w:rsidRDefault="00400E47" w:rsidP="00400E47"/>
    <w:p w14:paraId="01CBA8E3" w14:textId="4BD24936" w:rsidR="00400E47" w:rsidRDefault="00400E47" w:rsidP="00400E47">
      <w:r>
        <w:t xml:space="preserve">The LUCAS Soil survey, coordinated by the European Commission’s Joint Research Centre, offers an open-access database including soil physico-chemical properties collected every three years, as of 2009, in over 20,000 locations across Europe. As of 2018, a soil biodiversity </w:t>
      </w:r>
      <w:r w:rsidR="002321E4">
        <w:t>component</w:t>
      </w:r>
      <w:r>
        <w:t xml:space="preserve"> was included into the survey scheme. Soil biodiversity data (i.e. DNA) from 1,000 points were generated. </w:t>
      </w:r>
    </w:p>
    <w:p w14:paraId="7D1ACF86" w14:textId="77777777" w:rsidR="00400E47" w:rsidRDefault="00400E47" w:rsidP="00400E47"/>
    <w:p w14:paraId="08983754" w14:textId="77777777" w:rsidR="00400E47" w:rsidRPr="00B94B62" w:rsidRDefault="00400E47" w:rsidP="0048743B">
      <w:pPr>
        <w:pStyle w:val="berschrift2"/>
        <w:numPr>
          <w:ilvl w:val="2"/>
          <w:numId w:val="3"/>
        </w:numPr>
        <w:tabs>
          <w:tab w:val="clear" w:pos="567"/>
        </w:tabs>
        <w:ind w:left="709" w:hanging="709"/>
        <w:rPr>
          <w:rStyle w:val="Formatvorlageberschrift3Zchn1"/>
          <w:b/>
          <w:bCs w:val="0"/>
          <w:iCs/>
        </w:rPr>
      </w:pPr>
      <w:bookmarkStart w:id="307" w:name="_Toc66352218"/>
      <w:bookmarkStart w:id="308" w:name="_Toc83997374"/>
      <w:r w:rsidRPr="00CF520A">
        <w:rPr>
          <w:rStyle w:val="Formatvorlageberschrift3Zchn1"/>
          <w:bCs w:val="0"/>
          <w:iCs/>
        </w:rPr>
        <w:t>Concepts for proxy indicators for spatial mapping and combined approaches</w:t>
      </w:r>
      <w:bookmarkEnd w:id="307"/>
      <w:bookmarkEnd w:id="308"/>
    </w:p>
    <w:p w14:paraId="528F4E6E" w14:textId="77777777" w:rsidR="00400E47" w:rsidRDefault="00400E47" w:rsidP="00400E47"/>
    <w:p w14:paraId="5EC0C5A6" w14:textId="77777777" w:rsidR="00400E47" w:rsidRDefault="00400E47" w:rsidP="00400E47">
      <w:r>
        <w:t>Several approaches have been developed to map and assess soil biodiversity in Europe.</w:t>
      </w:r>
    </w:p>
    <w:p w14:paraId="246B5C87" w14:textId="77777777" w:rsidR="00400E47" w:rsidRDefault="00400E47" w:rsidP="00400E47"/>
    <w:p w14:paraId="45C97E1C" w14:textId="77777777" w:rsidR="00400E47" w:rsidRDefault="00400E47" w:rsidP="00400E47">
      <w:r>
        <w:t xml:space="preserve">Aksoy et al. (2017) assessed and mapped the overall potential for soil biodiversity throughout Europe using proxy indicators about the expected effect of soil biota at good condition (pH, soil texture, soil organic matter, potential evapotranspiration, average temperature, soil biomass productivity, land use). Such an indirect approach seems feasible for macrofaunal groups such as earthworms, which are known for its correlation between ecological niche and environmental parameters; thus, their geographical distribution can potentially be predicted from environmental data (Rutgers et al. 2016). Aksoy et al. (2017) provided a first overview of the potential diversity of soil animals and organisms in relation to the existing diversity of soils and its properties (see also 6.3.2). </w:t>
      </w:r>
    </w:p>
    <w:p w14:paraId="5DF7D48F" w14:textId="77777777" w:rsidR="00400E47" w:rsidRDefault="00400E47" w:rsidP="00400E47"/>
    <w:p w14:paraId="07A24A5E" w14:textId="77777777" w:rsidR="00400E47" w:rsidRDefault="00400E47" w:rsidP="00400E47">
      <w:r>
        <w:t xml:space="preserve">Rutgers et al. (2018) selected 37 soil, environmental and management attributes in order to quantify the function of soil biodiversity; they distinguished 4 categories: i) soil nutrients; ii) soil biology; iii) soil </w:t>
      </w:r>
      <w:r>
        <w:lastRenderedPageBreak/>
        <w:t xml:space="preserve">structure; and </w:t>
      </w:r>
      <w:proofErr w:type="gramStart"/>
      <w:r>
        <w:t>iv) soil</w:t>
      </w:r>
      <w:proofErr w:type="gramEnd"/>
      <w:r>
        <w:t xml:space="preserve"> hydrology. These 37 attributes were used in a decision model to derive a qualitative assessment of the soil biodiversity function of soils. Given the wide number of required attributes, data availability certainly constitutes a limitation of the application of the model. Attributes are assessed in qualitative terms (high, medium, low categories), making the data reliability less critical on the one hand, while on the other hand, expert knowledge for setting thresholds is needed.</w:t>
      </w:r>
    </w:p>
    <w:p w14:paraId="780BB882" w14:textId="77777777" w:rsidR="00400E47" w:rsidRDefault="00400E47" w:rsidP="00400E47"/>
    <w:p w14:paraId="74B2548D" w14:textId="77777777" w:rsidR="00400E47" w:rsidRDefault="00400E47" w:rsidP="00400E47">
      <w:r>
        <w:t>Creamer et al. (2019) proposed and tested a monitoring scheme for five soil functions, including habitat for biodiversity which uses soil attributes to calculate the functional capacity of soils. For soil biodiversity, the following 14 attributes are analysed: soil texture, bulk density, groundwater table depth, pH, C:N ratio, N:P ratio, soil organic matter (SOM), organic C content, earthworm and nematode abundance and richness as well as bacterial and fungal biomass. These attributes were measured from soil samples of different sites in Europe and combined with site, management and environmental attributes to quantify the functional capacity of the soils evidencing the difficulty, but still feasibility, of monitoring soil biodiversity across Europe. However, there is still a lack of standardized functional methods (including biodiversity) in order to monitor and to quantify ecosystem functions and services (Rutgers et al. 2012).</w:t>
      </w:r>
    </w:p>
    <w:p w14:paraId="786292D7" w14:textId="77777777" w:rsidR="00400E47" w:rsidRDefault="00400E47" w:rsidP="00400E47"/>
    <w:p w14:paraId="78A8386A" w14:textId="77777777" w:rsidR="00400E47" w:rsidRPr="00EC0B75" w:rsidRDefault="00400E47" w:rsidP="00400E47">
      <w:r>
        <w:t>Based on experiences made in Germany and focusing on species diversity, Toschki et al. (2020) proposed different invertebrate groups (i.e. enchytraeidae, collembola, chilopoda, diplopda and oribatida) for the characterization of three main land use types: forests, grasslands and cropland sites. Only enchytraeidae were useful in all of them, but surely for the biological characterization of soils more than one group is necessary. This is due to the fact that for natural reasons not all groups do occur at all sites in similar and/or sufficient diversity (e.g. soft-bodied organisms such as earthworms or enchytraeids do not thrive well in permanently dry soils).</w:t>
      </w:r>
    </w:p>
    <w:p w14:paraId="68893384" w14:textId="77777777" w:rsidR="00400E47" w:rsidRDefault="00400E47" w:rsidP="00400E47"/>
    <w:p w14:paraId="728A3647" w14:textId="77777777" w:rsidR="00400E47" w:rsidRDefault="00400E47" w:rsidP="00400E47"/>
    <w:p w14:paraId="3B512E24" w14:textId="0B7D4C5F" w:rsidR="00400E47" w:rsidRDefault="00400E47" w:rsidP="00400E47">
      <w:pPr>
        <w:pStyle w:val="EEALabel"/>
        <w:spacing w:after="120"/>
        <w:rPr>
          <w:rFonts w:eastAsia="Calibri"/>
        </w:rPr>
      </w:pPr>
      <w:bookmarkStart w:id="309" w:name="_Ref54689486"/>
      <w:bookmarkStart w:id="310" w:name="_Toc83997524"/>
      <w:r>
        <w:t xml:space="preserve">Table </w:t>
      </w:r>
      <w:r>
        <w:fldChar w:fldCharType="begin"/>
      </w:r>
      <w:r>
        <w:instrText xml:space="preserve"> STYLEREF 1 \s </w:instrText>
      </w:r>
      <w:r>
        <w:fldChar w:fldCharType="separate"/>
      </w:r>
      <w:r w:rsidR="0067767C">
        <w:rPr>
          <w:noProof/>
        </w:rPr>
        <w:t>6</w:t>
      </w:r>
      <w:r>
        <w:fldChar w:fldCharType="end"/>
      </w:r>
      <w:r>
        <w:noBreakHyphen/>
      </w:r>
      <w:r>
        <w:fldChar w:fldCharType="begin"/>
      </w:r>
      <w:r>
        <w:instrText xml:space="preserve"> SEQ Table \* ARABIC \s 1 </w:instrText>
      </w:r>
      <w:r>
        <w:fldChar w:fldCharType="separate"/>
      </w:r>
      <w:r w:rsidR="0067767C">
        <w:rPr>
          <w:noProof/>
        </w:rPr>
        <w:t>3</w:t>
      </w:r>
      <w:r>
        <w:fldChar w:fldCharType="end"/>
      </w:r>
      <w:bookmarkEnd w:id="309"/>
      <w:r>
        <w:rPr>
          <w:rFonts w:eastAsia="Calibri"/>
        </w:rPr>
        <w:t>:</w:t>
      </w:r>
      <w:r>
        <w:rPr>
          <w:rFonts w:eastAsia="Calibri"/>
        </w:rPr>
        <w:tab/>
        <w:t>Indicators proposed for soil biodiversity monitoring</w:t>
      </w:r>
      <w:bookmarkEnd w:id="310"/>
    </w:p>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689"/>
        <w:gridCol w:w="2131"/>
        <w:gridCol w:w="1984"/>
        <w:gridCol w:w="1690"/>
      </w:tblGrid>
      <w:tr w:rsidR="00400E47" w:rsidRPr="007F2FC2" w14:paraId="1074B0EC" w14:textId="77777777" w:rsidTr="001C6C1E">
        <w:tc>
          <w:tcPr>
            <w:tcW w:w="2689" w:type="dxa"/>
            <w:shd w:val="clear" w:color="auto" w:fill="F2F2F2" w:themeFill="background1" w:themeFillShade="F2"/>
          </w:tcPr>
          <w:p w14:paraId="3463E7BB" w14:textId="77777777" w:rsidR="00400E47" w:rsidRPr="007F2FC2" w:rsidRDefault="00400E47" w:rsidP="00677B0A">
            <w:pPr>
              <w:pStyle w:val="EEAtableleft"/>
            </w:pPr>
          </w:p>
          <w:p w14:paraId="77BDC3CD" w14:textId="77777777" w:rsidR="00400E47" w:rsidRPr="00FB7E3F" w:rsidRDefault="00400E47" w:rsidP="00677B0A">
            <w:pPr>
              <w:pStyle w:val="EEAtableleft"/>
              <w:rPr>
                <w:b/>
                <w:bCs/>
              </w:rPr>
            </w:pPr>
            <w:r w:rsidRPr="00FB7E3F">
              <w:rPr>
                <w:b/>
                <w:bCs/>
              </w:rPr>
              <w:t>Indicator</w:t>
            </w:r>
          </w:p>
        </w:tc>
        <w:tc>
          <w:tcPr>
            <w:tcW w:w="2131" w:type="dxa"/>
            <w:shd w:val="clear" w:color="auto" w:fill="F2F2F2" w:themeFill="background1" w:themeFillShade="F2"/>
          </w:tcPr>
          <w:p w14:paraId="460D8BA1" w14:textId="77777777" w:rsidR="00400E47" w:rsidRPr="00FB7E3F" w:rsidRDefault="00400E47" w:rsidP="00677B0A">
            <w:pPr>
              <w:pStyle w:val="EEAtableleft"/>
              <w:rPr>
                <w:b/>
                <w:bCs/>
              </w:rPr>
            </w:pPr>
            <w:r w:rsidRPr="00FB7E3F">
              <w:rPr>
                <w:b/>
                <w:bCs/>
              </w:rPr>
              <w:t xml:space="preserve">Creamer et </w:t>
            </w:r>
            <w:r>
              <w:rPr>
                <w:b/>
                <w:bCs/>
              </w:rPr>
              <w:t>al.</w:t>
            </w:r>
            <w:r w:rsidRPr="00FB7E3F">
              <w:rPr>
                <w:b/>
                <w:bCs/>
              </w:rPr>
              <w:t xml:space="preserve"> (2019</w:t>
            </w:r>
            <w:r>
              <w:rPr>
                <w:b/>
                <w:bCs/>
              </w:rPr>
              <w:t>)</w:t>
            </w:r>
          </w:p>
        </w:tc>
        <w:tc>
          <w:tcPr>
            <w:tcW w:w="1984" w:type="dxa"/>
            <w:shd w:val="clear" w:color="auto" w:fill="F2F2F2" w:themeFill="background1" w:themeFillShade="F2"/>
          </w:tcPr>
          <w:p w14:paraId="10B27895" w14:textId="77777777" w:rsidR="00400E47" w:rsidRPr="00FB7E3F" w:rsidRDefault="00400E47" w:rsidP="00677B0A">
            <w:pPr>
              <w:pStyle w:val="EEAtableleft"/>
              <w:rPr>
                <w:b/>
                <w:bCs/>
              </w:rPr>
            </w:pPr>
            <w:r w:rsidRPr="00FB7E3F">
              <w:rPr>
                <w:b/>
                <w:bCs/>
              </w:rPr>
              <w:t xml:space="preserve">Huber et </w:t>
            </w:r>
            <w:r>
              <w:rPr>
                <w:b/>
                <w:bCs/>
              </w:rPr>
              <w:t>al.</w:t>
            </w:r>
            <w:r w:rsidRPr="00FB7E3F">
              <w:rPr>
                <w:b/>
                <w:bCs/>
              </w:rPr>
              <w:t xml:space="preserve"> (2008)</w:t>
            </w:r>
          </w:p>
        </w:tc>
        <w:tc>
          <w:tcPr>
            <w:tcW w:w="1690" w:type="dxa"/>
            <w:shd w:val="clear" w:color="auto" w:fill="F2F2F2" w:themeFill="background1" w:themeFillShade="F2"/>
          </w:tcPr>
          <w:p w14:paraId="29C89E7B" w14:textId="77777777" w:rsidR="00400E47" w:rsidRPr="00FB7E3F" w:rsidRDefault="00400E47" w:rsidP="00677B0A">
            <w:pPr>
              <w:pStyle w:val="EEAtableleft"/>
              <w:rPr>
                <w:b/>
                <w:bCs/>
              </w:rPr>
            </w:pPr>
            <w:r w:rsidRPr="00FB7E3F">
              <w:rPr>
                <w:b/>
                <w:bCs/>
              </w:rPr>
              <w:t>Breure (20</w:t>
            </w:r>
            <w:r>
              <w:rPr>
                <w:b/>
                <w:bCs/>
              </w:rPr>
              <w:t>0</w:t>
            </w:r>
            <w:r w:rsidRPr="00FB7E3F">
              <w:rPr>
                <w:b/>
                <w:bCs/>
              </w:rPr>
              <w:t>4)</w:t>
            </w:r>
          </w:p>
        </w:tc>
      </w:tr>
      <w:tr w:rsidR="00400E47" w:rsidRPr="007F2FC2" w14:paraId="7B686311" w14:textId="77777777" w:rsidTr="001C6C1E">
        <w:tc>
          <w:tcPr>
            <w:tcW w:w="2689" w:type="dxa"/>
          </w:tcPr>
          <w:p w14:paraId="67B41836" w14:textId="77777777" w:rsidR="00400E47" w:rsidRPr="007F2FC2" w:rsidRDefault="00400E47" w:rsidP="00677B0A">
            <w:pPr>
              <w:pStyle w:val="EEAtableleft"/>
            </w:pPr>
            <w:r w:rsidRPr="007F2FC2">
              <w:t>Diversity of earthworms</w:t>
            </w:r>
          </w:p>
        </w:tc>
        <w:tc>
          <w:tcPr>
            <w:tcW w:w="2131" w:type="dxa"/>
            <w:vAlign w:val="center"/>
          </w:tcPr>
          <w:p w14:paraId="0311BE97" w14:textId="77777777" w:rsidR="00400E47" w:rsidRPr="007F2FC2" w:rsidRDefault="00400E47" w:rsidP="00677B0A">
            <w:pPr>
              <w:pStyle w:val="EEATabcenter"/>
            </w:pPr>
            <w:r>
              <w:sym w:font="Wingdings" w:char="F06C"/>
            </w:r>
          </w:p>
        </w:tc>
        <w:tc>
          <w:tcPr>
            <w:tcW w:w="1984" w:type="dxa"/>
            <w:vAlign w:val="center"/>
          </w:tcPr>
          <w:p w14:paraId="5AC95AB4" w14:textId="77777777" w:rsidR="00400E47" w:rsidRPr="007F2FC2" w:rsidRDefault="00400E47" w:rsidP="00677B0A">
            <w:pPr>
              <w:pStyle w:val="EEATabcenter"/>
            </w:pPr>
            <w:r>
              <w:sym w:font="Wingdings" w:char="F06C"/>
            </w:r>
          </w:p>
        </w:tc>
        <w:tc>
          <w:tcPr>
            <w:tcW w:w="1690" w:type="dxa"/>
            <w:vAlign w:val="center"/>
          </w:tcPr>
          <w:p w14:paraId="79A99FE7" w14:textId="77777777" w:rsidR="00400E47" w:rsidRPr="007F2FC2" w:rsidRDefault="00400E47" w:rsidP="00677B0A">
            <w:pPr>
              <w:pStyle w:val="EEATabcenter"/>
            </w:pPr>
            <w:r>
              <w:sym w:font="Wingdings" w:char="F06C"/>
            </w:r>
          </w:p>
        </w:tc>
      </w:tr>
      <w:tr w:rsidR="00400E47" w:rsidRPr="007F2FC2" w14:paraId="78F8FFBB" w14:textId="77777777" w:rsidTr="001C6C1E">
        <w:tc>
          <w:tcPr>
            <w:tcW w:w="2689" w:type="dxa"/>
          </w:tcPr>
          <w:p w14:paraId="6EAD70A5" w14:textId="77777777" w:rsidR="00400E47" w:rsidRPr="007F2FC2" w:rsidRDefault="00400E47" w:rsidP="00677B0A">
            <w:pPr>
              <w:pStyle w:val="EEAtableleft"/>
            </w:pPr>
            <w:r w:rsidRPr="007F2FC2">
              <w:t xml:space="preserve">Diversity of </w:t>
            </w:r>
            <w:r>
              <w:t>c</w:t>
            </w:r>
            <w:r w:rsidRPr="007F2FC2">
              <w:t>ollembola</w:t>
            </w:r>
          </w:p>
        </w:tc>
        <w:tc>
          <w:tcPr>
            <w:tcW w:w="2131" w:type="dxa"/>
            <w:vAlign w:val="center"/>
          </w:tcPr>
          <w:p w14:paraId="0EC75252" w14:textId="77777777" w:rsidR="00400E47" w:rsidRPr="007F2FC2" w:rsidRDefault="00400E47" w:rsidP="00677B0A">
            <w:pPr>
              <w:pStyle w:val="EEATabcenter"/>
            </w:pPr>
          </w:p>
        </w:tc>
        <w:tc>
          <w:tcPr>
            <w:tcW w:w="1984" w:type="dxa"/>
            <w:vAlign w:val="center"/>
          </w:tcPr>
          <w:p w14:paraId="0FADC851" w14:textId="77777777" w:rsidR="00400E47" w:rsidRPr="007F2FC2" w:rsidRDefault="00400E47" w:rsidP="00677B0A">
            <w:pPr>
              <w:pStyle w:val="EEATabcenter"/>
            </w:pPr>
            <w:r>
              <w:sym w:font="Wingdings" w:char="F06C"/>
            </w:r>
          </w:p>
        </w:tc>
        <w:tc>
          <w:tcPr>
            <w:tcW w:w="1690" w:type="dxa"/>
            <w:vAlign w:val="center"/>
          </w:tcPr>
          <w:p w14:paraId="18EA8B91" w14:textId="77777777" w:rsidR="00400E47" w:rsidRPr="007F2FC2" w:rsidRDefault="00400E47" w:rsidP="00677B0A">
            <w:pPr>
              <w:pStyle w:val="EEATabcenter"/>
            </w:pPr>
          </w:p>
        </w:tc>
      </w:tr>
      <w:tr w:rsidR="00400E47" w:rsidRPr="007F2FC2" w14:paraId="6B239750" w14:textId="77777777" w:rsidTr="001C6C1E">
        <w:tc>
          <w:tcPr>
            <w:tcW w:w="2689" w:type="dxa"/>
          </w:tcPr>
          <w:p w14:paraId="0377A2C5" w14:textId="77777777" w:rsidR="00400E47" w:rsidRPr="007F2FC2" w:rsidRDefault="00400E47" w:rsidP="00677B0A">
            <w:pPr>
              <w:pStyle w:val="EEAtableleft"/>
            </w:pPr>
            <w:r w:rsidRPr="007F2FC2">
              <w:t>Microbial biomass</w:t>
            </w:r>
          </w:p>
        </w:tc>
        <w:tc>
          <w:tcPr>
            <w:tcW w:w="2131" w:type="dxa"/>
            <w:vAlign w:val="center"/>
          </w:tcPr>
          <w:p w14:paraId="1FAC2088" w14:textId="77777777" w:rsidR="00400E47" w:rsidRPr="007F2FC2" w:rsidRDefault="00400E47" w:rsidP="00677B0A">
            <w:pPr>
              <w:pStyle w:val="EEATabcenter"/>
            </w:pPr>
            <w:r>
              <w:sym w:font="Wingdings" w:char="F06C"/>
            </w:r>
          </w:p>
        </w:tc>
        <w:tc>
          <w:tcPr>
            <w:tcW w:w="1984" w:type="dxa"/>
            <w:vAlign w:val="center"/>
          </w:tcPr>
          <w:p w14:paraId="2968C764" w14:textId="77777777" w:rsidR="00400E47" w:rsidRPr="007F2FC2" w:rsidRDefault="00400E47" w:rsidP="00677B0A">
            <w:pPr>
              <w:pStyle w:val="EEATabcenter"/>
            </w:pPr>
            <w:r>
              <w:sym w:font="Wingdings" w:char="F06C"/>
            </w:r>
          </w:p>
        </w:tc>
        <w:tc>
          <w:tcPr>
            <w:tcW w:w="1690" w:type="dxa"/>
            <w:vAlign w:val="center"/>
          </w:tcPr>
          <w:p w14:paraId="33B613D5" w14:textId="77777777" w:rsidR="00400E47" w:rsidRPr="007F2FC2" w:rsidRDefault="00400E47" w:rsidP="00677B0A">
            <w:pPr>
              <w:pStyle w:val="EEATabcenter"/>
            </w:pPr>
            <w:r>
              <w:sym w:font="Wingdings" w:char="F06C"/>
            </w:r>
          </w:p>
        </w:tc>
      </w:tr>
      <w:tr w:rsidR="00400E47" w:rsidRPr="007F2FC2" w14:paraId="21C4EA28" w14:textId="77777777" w:rsidTr="001C6C1E">
        <w:tc>
          <w:tcPr>
            <w:tcW w:w="2689" w:type="dxa"/>
          </w:tcPr>
          <w:p w14:paraId="4F70B619" w14:textId="77777777" w:rsidR="00400E47" w:rsidRPr="007F2FC2" w:rsidRDefault="00400E47" w:rsidP="00677B0A">
            <w:pPr>
              <w:pStyle w:val="EEAtableleft"/>
            </w:pPr>
            <w:r w:rsidRPr="007F2FC2">
              <w:t>Diversity of nematodes</w:t>
            </w:r>
          </w:p>
        </w:tc>
        <w:tc>
          <w:tcPr>
            <w:tcW w:w="2131" w:type="dxa"/>
            <w:vAlign w:val="center"/>
          </w:tcPr>
          <w:p w14:paraId="3206B56C" w14:textId="77777777" w:rsidR="00400E47" w:rsidRPr="007F2FC2" w:rsidRDefault="00400E47" w:rsidP="00677B0A">
            <w:pPr>
              <w:pStyle w:val="EEATabcenter"/>
            </w:pPr>
            <w:r>
              <w:sym w:font="Wingdings" w:char="F06C"/>
            </w:r>
          </w:p>
        </w:tc>
        <w:tc>
          <w:tcPr>
            <w:tcW w:w="1984" w:type="dxa"/>
            <w:vAlign w:val="center"/>
          </w:tcPr>
          <w:p w14:paraId="466ACFFE" w14:textId="77777777" w:rsidR="00400E47" w:rsidRPr="007F2FC2" w:rsidRDefault="00400E47" w:rsidP="00677B0A">
            <w:pPr>
              <w:pStyle w:val="EEATabcenter"/>
            </w:pPr>
          </w:p>
        </w:tc>
        <w:tc>
          <w:tcPr>
            <w:tcW w:w="1690" w:type="dxa"/>
            <w:vAlign w:val="center"/>
          </w:tcPr>
          <w:p w14:paraId="0ABA225C" w14:textId="77777777" w:rsidR="00400E47" w:rsidRPr="007F2FC2" w:rsidRDefault="00400E47" w:rsidP="00677B0A">
            <w:pPr>
              <w:pStyle w:val="EEATabcenter"/>
            </w:pPr>
            <w:r>
              <w:sym w:font="Wingdings" w:char="F06C"/>
            </w:r>
          </w:p>
        </w:tc>
      </w:tr>
      <w:tr w:rsidR="00400E47" w:rsidRPr="007F2FC2" w14:paraId="5364FAE4" w14:textId="77777777" w:rsidTr="001C6C1E">
        <w:tc>
          <w:tcPr>
            <w:tcW w:w="2689" w:type="dxa"/>
          </w:tcPr>
          <w:p w14:paraId="1A57C5FE" w14:textId="77777777" w:rsidR="00400E47" w:rsidRPr="007F2FC2" w:rsidRDefault="00400E47" w:rsidP="00677B0A">
            <w:pPr>
              <w:pStyle w:val="EEAtableleft"/>
            </w:pPr>
            <w:r w:rsidRPr="007F2FC2">
              <w:t>Soil texture</w:t>
            </w:r>
          </w:p>
        </w:tc>
        <w:tc>
          <w:tcPr>
            <w:tcW w:w="2131" w:type="dxa"/>
            <w:vAlign w:val="center"/>
          </w:tcPr>
          <w:p w14:paraId="3453635C" w14:textId="77777777" w:rsidR="00400E47" w:rsidRPr="007F2FC2" w:rsidRDefault="00400E47" w:rsidP="00677B0A">
            <w:pPr>
              <w:pStyle w:val="EEATabcenter"/>
            </w:pPr>
            <w:r>
              <w:sym w:font="Wingdings" w:char="F06C"/>
            </w:r>
          </w:p>
        </w:tc>
        <w:tc>
          <w:tcPr>
            <w:tcW w:w="1984" w:type="dxa"/>
            <w:vAlign w:val="center"/>
          </w:tcPr>
          <w:p w14:paraId="7E17A233" w14:textId="77777777" w:rsidR="00400E47" w:rsidRPr="007F2FC2" w:rsidRDefault="00400E47" w:rsidP="00677B0A">
            <w:pPr>
              <w:pStyle w:val="EEATabcenter"/>
            </w:pPr>
          </w:p>
        </w:tc>
        <w:tc>
          <w:tcPr>
            <w:tcW w:w="1690" w:type="dxa"/>
            <w:vAlign w:val="center"/>
          </w:tcPr>
          <w:p w14:paraId="6BB6804D" w14:textId="77777777" w:rsidR="00400E47" w:rsidRPr="007F2FC2" w:rsidRDefault="00400E47" w:rsidP="00677B0A">
            <w:pPr>
              <w:pStyle w:val="EEATabcenter"/>
            </w:pPr>
          </w:p>
        </w:tc>
      </w:tr>
      <w:tr w:rsidR="00400E47" w:rsidRPr="007F2FC2" w14:paraId="7218FE9E" w14:textId="77777777" w:rsidTr="001C6C1E">
        <w:tc>
          <w:tcPr>
            <w:tcW w:w="2689" w:type="dxa"/>
          </w:tcPr>
          <w:p w14:paraId="63F9CC7A" w14:textId="77777777" w:rsidR="00400E47" w:rsidRPr="007F2FC2" w:rsidRDefault="00400E47" w:rsidP="00677B0A">
            <w:pPr>
              <w:pStyle w:val="EEAtableleft"/>
            </w:pPr>
            <w:r w:rsidRPr="007F2FC2">
              <w:t>Bulk density</w:t>
            </w:r>
          </w:p>
        </w:tc>
        <w:tc>
          <w:tcPr>
            <w:tcW w:w="2131" w:type="dxa"/>
            <w:vAlign w:val="center"/>
          </w:tcPr>
          <w:p w14:paraId="01264163" w14:textId="77777777" w:rsidR="00400E47" w:rsidRPr="007F2FC2" w:rsidRDefault="00400E47" w:rsidP="00677B0A">
            <w:pPr>
              <w:pStyle w:val="EEATabcenter"/>
            </w:pPr>
            <w:r>
              <w:sym w:font="Wingdings" w:char="F06C"/>
            </w:r>
          </w:p>
        </w:tc>
        <w:tc>
          <w:tcPr>
            <w:tcW w:w="1984" w:type="dxa"/>
            <w:vAlign w:val="center"/>
          </w:tcPr>
          <w:p w14:paraId="33A71702" w14:textId="77777777" w:rsidR="00400E47" w:rsidRPr="007F2FC2" w:rsidRDefault="00400E47" w:rsidP="00677B0A">
            <w:pPr>
              <w:pStyle w:val="EEATabcenter"/>
            </w:pPr>
          </w:p>
        </w:tc>
        <w:tc>
          <w:tcPr>
            <w:tcW w:w="1690" w:type="dxa"/>
            <w:vAlign w:val="center"/>
          </w:tcPr>
          <w:p w14:paraId="2C2A695E" w14:textId="77777777" w:rsidR="00400E47" w:rsidRPr="007F2FC2" w:rsidRDefault="00400E47" w:rsidP="00677B0A">
            <w:pPr>
              <w:pStyle w:val="EEATabcenter"/>
            </w:pPr>
          </w:p>
        </w:tc>
      </w:tr>
      <w:tr w:rsidR="00400E47" w:rsidRPr="007F2FC2" w14:paraId="4163137F" w14:textId="77777777" w:rsidTr="001C6C1E">
        <w:tc>
          <w:tcPr>
            <w:tcW w:w="2689" w:type="dxa"/>
          </w:tcPr>
          <w:p w14:paraId="43ECF630" w14:textId="77777777" w:rsidR="00400E47" w:rsidRPr="007F2FC2" w:rsidRDefault="00400E47" w:rsidP="00677B0A">
            <w:pPr>
              <w:pStyle w:val="EEAtableleft"/>
            </w:pPr>
            <w:r w:rsidRPr="007F2FC2">
              <w:t>Groundwater table depth</w:t>
            </w:r>
          </w:p>
        </w:tc>
        <w:tc>
          <w:tcPr>
            <w:tcW w:w="2131" w:type="dxa"/>
            <w:vAlign w:val="center"/>
          </w:tcPr>
          <w:p w14:paraId="74AD5831" w14:textId="77777777" w:rsidR="00400E47" w:rsidRPr="007F2FC2" w:rsidRDefault="00400E47" w:rsidP="00677B0A">
            <w:pPr>
              <w:pStyle w:val="EEATabcenter"/>
            </w:pPr>
            <w:r>
              <w:sym w:font="Wingdings" w:char="F06C"/>
            </w:r>
          </w:p>
        </w:tc>
        <w:tc>
          <w:tcPr>
            <w:tcW w:w="1984" w:type="dxa"/>
            <w:vAlign w:val="center"/>
          </w:tcPr>
          <w:p w14:paraId="391D37F4" w14:textId="77777777" w:rsidR="00400E47" w:rsidRPr="007F2FC2" w:rsidRDefault="00400E47" w:rsidP="00677B0A">
            <w:pPr>
              <w:pStyle w:val="EEATabcenter"/>
            </w:pPr>
          </w:p>
        </w:tc>
        <w:tc>
          <w:tcPr>
            <w:tcW w:w="1690" w:type="dxa"/>
            <w:vAlign w:val="center"/>
          </w:tcPr>
          <w:p w14:paraId="30F851B3" w14:textId="77777777" w:rsidR="00400E47" w:rsidRPr="007F2FC2" w:rsidRDefault="00400E47" w:rsidP="00677B0A">
            <w:pPr>
              <w:pStyle w:val="EEATabcenter"/>
            </w:pPr>
          </w:p>
        </w:tc>
      </w:tr>
      <w:tr w:rsidR="00400E47" w:rsidRPr="007F2FC2" w14:paraId="1609B87C" w14:textId="77777777" w:rsidTr="001C6C1E">
        <w:tc>
          <w:tcPr>
            <w:tcW w:w="2689" w:type="dxa"/>
          </w:tcPr>
          <w:p w14:paraId="10EFD651" w14:textId="77777777" w:rsidR="00400E47" w:rsidRPr="007F2FC2" w:rsidRDefault="00400E47" w:rsidP="00677B0A">
            <w:pPr>
              <w:pStyle w:val="EEAtableleft"/>
            </w:pPr>
            <w:r w:rsidRPr="007F2FC2">
              <w:t>pH</w:t>
            </w:r>
          </w:p>
        </w:tc>
        <w:tc>
          <w:tcPr>
            <w:tcW w:w="2131" w:type="dxa"/>
            <w:vAlign w:val="center"/>
          </w:tcPr>
          <w:p w14:paraId="5BFD9979" w14:textId="77777777" w:rsidR="00400E47" w:rsidRPr="007F2FC2" w:rsidRDefault="00400E47" w:rsidP="00677B0A">
            <w:pPr>
              <w:pStyle w:val="EEATabcenter"/>
            </w:pPr>
            <w:r>
              <w:sym w:font="Wingdings" w:char="F06C"/>
            </w:r>
          </w:p>
        </w:tc>
        <w:tc>
          <w:tcPr>
            <w:tcW w:w="1984" w:type="dxa"/>
            <w:vAlign w:val="center"/>
          </w:tcPr>
          <w:p w14:paraId="2AF58BB4" w14:textId="77777777" w:rsidR="00400E47" w:rsidRPr="007F2FC2" w:rsidRDefault="00400E47" w:rsidP="00677B0A">
            <w:pPr>
              <w:pStyle w:val="EEATabcenter"/>
            </w:pPr>
          </w:p>
        </w:tc>
        <w:tc>
          <w:tcPr>
            <w:tcW w:w="1690" w:type="dxa"/>
            <w:vAlign w:val="center"/>
          </w:tcPr>
          <w:p w14:paraId="28FD3C94" w14:textId="77777777" w:rsidR="00400E47" w:rsidRPr="007F2FC2" w:rsidRDefault="00400E47" w:rsidP="00677B0A">
            <w:pPr>
              <w:pStyle w:val="EEATabcenter"/>
            </w:pPr>
          </w:p>
        </w:tc>
      </w:tr>
      <w:tr w:rsidR="00400E47" w:rsidRPr="007F2FC2" w14:paraId="499A1372" w14:textId="77777777" w:rsidTr="001C6C1E">
        <w:tc>
          <w:tcPr>
            <w:tcW w:w="2689" w:type="dxa"/>
          </w:tcPr>
          <w:p w14:paraId="0DF721CD" w14:textId="77777777" w:rsidR="00400E47" w:rsidRPr="007F2FC2" w:rsidRDefault="00400E47" w:rsidP="00677B0A">
            <w:pPr>
              <w:pStyle w:val="EEAtableleft"/>
            </w:pPr>
            <w:r w:rsidRPr="007F2FC2">
              <w:t>C:N ratio</w:t>
            </w:r>
          </w:p>
        </w:tc>
        <w:tc>
          <w:tcPr>
            <w:tcW w:w="2131" w:type="dxa"/>
            <w:vAlign w:val="center"/>
          </w:tcPr>
          <w:p w14:paraId="5CD86427" w14:textId="77777777" w:rsidR="00400E47" w:rsidRPr="007F2FC2" w:rsidRDefault="00400E47" w:rsidP="00677B0A">
            <w:pPr>
              <w:pStyle w:val="EEATabcenter"/>
            </w:pPr>
            <w:r>
              <w:sym w:font="Wingdings" w:char="F06C"/>
            </w:r>
          </w:p>
        </w:tc>
        <w:tc>
          <w:tcPr>
            <w:tcW w:w="1984" w:type="dxa"/>
            <w:vAlign w:val="center"/>
          </w:tcPr>
          <w:p w14:paraId="74870C39" w14:textId="77777777" w:rsidR="00400E47" w:rsidRPr="007F2FC2" w:rsidRDefault="00400E47" w:rsidP="00677B0A">
            <w:pPr>
              <w:pStyle w:val="EEATabcenter"/>
            </w:pPr>
          </w:p>
        </w:tc>
        <w:tc>
          <w:tcPr>
            <w:tcW w:w="1690" w:type="dxa"/>
            <w:vAlign w:val="center"/>
          </w:tcPr>
          <w:p w14:paraId="7BECE1A9" w14:textId="77777777" w:rsidR="00400E47" w:rsidRPr="007F2FC2" w:rsidRDefault="00400E47" w:rsidP="00677B0A">
            <w:pPr>
              <w:pStyle w:val="EEATabcenter"/>
            </w:pPr>
          </w:p>
        </w:tc>
      </w:tr>
      <w:tr w:rsidR="00400E47" w:rsidRPr="007F2FC2" w14:paraId="0BFA7477" w14:textId="77777777" w:rsidTr="001C6C1E">
        <w:tc>
          <w:tcPr>
            <w:tcW w:w="2689" w:type="dxa"/>
          </w:tcPr>
          <w:p w14:paraId="36E8CA6A" w14:textId="77777777" w:rsidR="00400E47" w:rsidRPr="007F2FC2" w:rsidRDefault="00400E47" w:rsidP="00677B0A">
            <w:pPr>
              <w:pStyle w:val="EEAtableleft"/>
            </w:pPr>
            <w:r w:rsidRPr="007F2FC2">
              <w:t>N:P ratio</w:t>
            </w:r>
          </w:p>
        </w:tc>
        <w:tc>
          <w:tcPr>
            <w:tcW w:w="2131" w:type="dxa"/>
            <w:vAlign w:val="center"/>
          </w:tcPr>
          <w:p w14:paraId="1BAA21B9" w14:textId="77777777" w:rsidR="00400E47" w:rsidRPr="007F2FC2" w:rsidRDefault="00400E47" w:rsidP="00677B0A">
            <w:pPr>
              <w:pStyle w:val="EEATabcenter"/>
            </w:pPr>
            <w:r>
              <w:sym w:font="Wingdings" w:char="F06C"/>
            </w:r>
          </w:p>
        </w:tc>
        <w:tc>
          <w:tcPr>
            <w:tcW w:w="1984" w:type="dxa"/>
            <w:vAlign w:val="center"/>
          </w:tcPr>
          <w:p w14:paraId="68DC682F" w14:textId="77777777" w:rsidR="00400E47" w:rsidRPr="007F2FC2" w:rsidRDefault="00400E47" w:rsidP="00677B0A">
            <w:pPr>
              <w:pStyle w:val="EEATabcenter"/>
            </w:pPr>
          </w:p>
        </w:tc>
        <w:tc>
          <w:tcPr>
            <w:tcW w:w="1690" w:type="dxa"/>
            <w:vAlign w:val="center"/>
          </w:tcPr>
          <w:p w14:paraId="6A95B2D5" w14:textId="77777777" w:rsidR="00400E47" w:rsidRPr="007F2FC2" w:rsidRDefault="00400E47" w:rsidP="00677B0A">
            <w:pPr>
              <w:pStyle w:val="EEATabcenter"/>
            </w:pPr>
          </w:p>
        </w:tc>
      </w:tr>
      <w:tr w:rsidR="00400E47" w:rsidRPr="007F2FC2" w14:paraId="79E8575F" w14:textId="77777777" w:rsidTr="001C6C1E">
        <w:tc>
          <w:tcPr>
            <w:tcW w:w="2689" w:type="dxa"/>
          </w:tcPr>
          <w:p w14:paraId="2252BFF7" w14:textId="77777777" w:rsidR="00400E47" w:rsidRPr="007F2FC2" w:rsidRDefault="00400E47" w:rsidP="00677B0A">
            <w:pPr>
              <w:pStyle w:val="EEAtableleft"/>
            </w:pPr>
            <w:r w:rsidRPr="007F2FC2">
              <w:t xml:space="preserve">Soil </w:t>
            </w:r>
            <w:r>
              <w:t>o</w:t>
            </w:r>
            <w:r w:rsidRPr="007F2FC2">
              <w:t xml:space="preserve">rganic </w:t>
            </w:r>
            <w:r>
              <w:t>m</w:t>
            </w:r>
            <w:r w:rsidRPr="007F2FC2">
              <w:t>atter</w:t>
            </w:r>
          </w:p>
        </w:tc>
        <w:tc>
          <w:tcPr>
            <w:tcW w:w="2131" w:type="dxa"/>
            <w:vAlign w:val="center"/>
          </w:tcPr>
          <w:p w14:paraId="5B9B2C30" w14:textId="77777777" w:rsidR="00400E47" w:rsidRPr="007F2FC2" w:rsidRDefault="00400E47" w:rsidP="00677B0A">
            <w:pPr>
              <w:pStyle w:val="EEATabcenter"/>
            </w:pPr>
            <w:r>
              <w:sym w:font="Wingdings" w:char="F06C"/>
            </w:r>
          </w:p>
        </w:tc>
        <w:tc>
          <w:tcPr>
            <w:tcW w:w="1984" w:type="dxa"/>
            <w:vAlign w:val="center"/>
          </w:tcPr>
          <w:p w14:paraId="6AFB15E3" w14:textId="77777777" w:rsidR="00400E47" w:rsidRPr="007F2FC2" w:rsidRDefault="00400E47" w:rsidP="00677B0A">
            <w:pPr>
              <w:pStyle w:val="EEATabcenter"/>
            </w:pPr>
          </w:p>
        </w:tc>
        <w:tc>
          <w:tcPr>
            <w:tcW w:w="1690" w:type="dxa"/>
            <w:vAlign w:val="center"/>
          </w:tcPr>
          <w:p w14:paraId="3D83873F" w14:textId="77777777" w:rsidR="00400E47" w:rsidRPr="007F2FC2" w:rsidRDefault="00400E47" w:rsidP="00677B0A">
            <w:pPr>
              <w:pStyle w:val="EEATabcenter"/>
            </w:pPr>
          </w:p>
        </w:tc>
      </w:tr>
      <w:tr w:rsidR="00400E47" w:rsidRPr="007F2FC2" w14:paraId="0F9DAA25" w14:textId="77777777" w:rsidTr="001C6C1E">
        <w:tc>
          <w:tcPr>
            <w:tcW w:w="2689" w:type="dxa"/>
          </w:tcPr>
          <w:p w14:paraId="616CCF65" w14:textId="77777777" w:rsidR="00400E47" w:rsidRPr="007F2FC2" w:rsidRDefault="00400E47" w:rsidP="00677B0A">
            <w:pPr>
              <w:pStyle w:val="EEAtableleft"/>
            </w:pPr>
            <w:r w:rsidRPr="007F2FC2">
              <w:t>Organic C content</w:t>
            </w:r>
          </w:p>
        </w:tc>
        <w:tc>
          <w:tcPr>
            <w:tcW w:w="2131" w:type="dxa"/>
            <w:vAlign w:val="center"/>
          </w:tcPr>
          <w:p w14:paraId="265D4782" w14:textId="77777777" w:rsidR="00400E47" w:rsidRPr="007F2FC2" w:rsidRDefault="00400E47" w:rsidP="00677B0A">
            <w:pPr>
              <w:pStyle w:val="EEATabcenter"/>
            </w:pPr>
            <w:r>
              <w:sym w:font="Wingdings" w:char="F06C"/>
            </w:r>
          </w:p>
        </w:tc>
        <w:tc>
          <w:tcPr>
            <w:tcW w:w="1984" w:type="dxa"/>
            <w:vAlign w:val="center"/>
          </w:tcPr>
          <w:p w14:paraId="638D1CB1" w14:textId="77777777" w:rsidR="00400E47" w:rsidRPr="007F2FC2" w:rsidRDefault="00400E47" w:rsidP="00677B0A">
            <w:pPr>
              <w:pStyle w:val="EEATabcenter"/>
            </w:pPr>
          </w:p>
        </w:tc>
        <w:tc>
          <w:tcPr>
            <w:tcW w:w="1690" w:type="dxa"/>
            <w:vAlign w:val="center"/>
          </w:tcPr>
          <w:p w14:paraId="3792A3AB" w14:textId="77777777" w:rsidR="00400E47" w:rsidRPr="007F2FC2" w:rsidRDefault="00400E47" w:rsidP="00677B0A">
            <w:pPr>
              <w:pStyle w:val="EEATabcenter"/>
            </w:pPr>
          </w:p>
        </w:tc>
      </w:tr>
    </w:tbl>
    <w:p w14:paraId="2E950ACF" w14:textId="77777777" w:rsidR="00400E47" w:rsidRDefault="00400E47" w:rsidP="00400E47"/>
    <w:p w14:paraId="26CC77F9" w14:textId="77777777" w:rsidR="00400E47" w:rsidRDefault="00400E47" w:rsidP="00400E47"/>
    <w:p w14:paraId="0D235DF5" w14:textId="77777777" w:rsidR="00400E47" w:rsidRDefault="00400E47" w:rsidP="00400E47">
      <w:r w:rsidRPr="00146456">
        <w:t xml:space="preserve">Most of the methods used to determine </w:t>
      </w:r>
      <w:r>
        <w:t xml:space="preserve">the </w:t>
      </w:r>
      <w:r w:rsidRPr="00146456">
        <w:t xml:space="preserve">indicators have been standardized by the International Standardization Organisation (ISO) (Römbke et </w:t>
      </w:r>
      <w:r>
        <w:t>al.</w:t>
      </w:r>
      <w:r w:rsidRPr="00146456">
        <w:t xml:space="preserve"> 2018)</w:t>
      </w:r>
      <w:r>
        <w:t>.</w:t>
      </w:r>
      <w:r w:rsidRPr="00146456">
        <w:t xml:space="preserve"> In order to assess the ecological condition of a given site</w:t>
      </w:r>
      <w:r>
        <w:t>,</w:t>
      </w:r>
      <w:r w:rsidRPr="00146456">
        <w:t xml:space="preserve"> the so-called </w:t>
      </w:r>
      <w:r w:rsidRPr="00A6332B">
        <w:rPr>
          <w:b/>
          <w:bCs/>
        </w:rPr>
        <w:t>reference approach</w:t>
      </w:r>
      <w:r w:rsidRPr="00146456">
        <w:t xml:space="preserve"> is recommended: a reference data base is developed which contains the respective assemblages of species (earthworms</w:t>
      </w:r>
      <w:r>
        <w:t>,</w:t>
      </w:r>
      <w:r w:rsidRPr="00146456">
        <w:t xml:space="preserve"> collembola</w:t>
      </w:r>
      <w:r>
        <w:t>,</w:t>
      </w:r>
      <w:r w:rsidRPr="00146456">
        <w:t xml:space="preserve"> and enchytraeids) and functional groups (nematodes</w:t>
      </w:r>
      <w:r>
        <w:t>,</w:t>
      </w:r>
      <w:r w:rsidRPr="00146456">
        <w:t xml:space="preserve"> fungi</w:t>
      </w:r>
      <w:r>
        <w:t>,</w:t>
      </w:r>
      <w:r w:rsidRPr="00146456">
        <w:t xml:space="preserve"> bacteria)</w:t>
      </w:r>
      <w:r>
        <w:t>,</w:t>
      </w:r>
      <w:r w:rsidRPr="00146456">
        <w:t xml:space="preserve"> by land use</w:t>
      </w:r>
      <w:r>
        <w:t>,</w:t>
      </w:r>
      <w:r w:rsidRPr="00146456">
        <w:t xml:space="preserve"> soil properties and other environmental factors (e</w:t>
      </w:r>
      <w:r>
        <w:t>.</w:t>
      </w:r>
      <w:r w:rsidRPr="00146456">
        <w:t>g</w:t>
      </w:r>
      <w:r>
        <w:t>.</w:t>
      </w:r>
      <w:r w:rsidRPr="00146456">
        <w:t xml:space="preserve"> climate)</w:t>
      </w:r>
      <w:r>
        <w:t>.</w:t>
      </w:r>
      <w:r w:rsidRPr="00146456">
        <w:t xml:space="preserve"> The ecological condition of a given site can then be determined based on comparison to such reference assemblages</w:t>
      </w:r>
      <w:r>
        <w:t>.</w:t>
      </w:r>
      <w:r w:rsidRPr="00146456">
        <w:t xml:space="preserve"> Details for such an approach are presented by Römbke et </w:t>
      </w:r>
      <w:r>
        <w:t>al.</w:t>
      </w:r>
      <w:r w:rsidRPr="00146456">
        <w:t xml:space="preserve"> (2012)</w:t>
      </w:r>
      <w:r>
        <w:t>,</w:t>
      </w:r>
      <w:r w:rsidRPr="00146456">
        <w:t xml:space="preserve"> and Toschki </w:t>
      </w:r>
      <w:r w:rsidRPr="00146456">
        <w:lastRenderedPageBreak/>
        <w:t xml:space="preserve">et </w:t>
      </w:r>
      <w:r>
        <w:t>al.</w:t>
      </w:r>
      <w:r w:rsidRPr="00146456">
        <w:t xml:space="preserve"> (2020)</w:t>
      </w:r>
      <w:r>
        <w:t>,</w:t>
      </w:r>
      <w:r w:rsidRPr="00146456">
        <w:t xml:space="preserve"> and are mainly based on a review of large research projects within the last 20 years</w:t>
      </w:r>
      <w:r>
        <w:t>.</w:t>
      </w:r>
      <w:r w:rsidRPr="00146456">
        <w:t xml:space="preserve"> The approach is operation</w:t>
      </w:r>
      <w:r>
        <w:t>al,</w:t>
      </w:r>
      <w:r w:rsidRPr="00146456">
        <w:t xml:space="preserve"> with two conditions: (a) the exact site-specific parameters for such a reference data base need to be agreed upon</w:t>
      </w:r>
      <w:r>
        <w:t>,</w:t>
      </w:r>
      <w:r w:rsidRPr="00146456">
        <w:t xml:space="preserve"> (b) existing national monitoring pilot studies (see above) need to be extended</w:t>
      </w:r>
      <w:r>
        <w:t>,</w:t>
      </w:r>
      <w:r w:rsidRPr="00146456">
        <w:t xml:space="preserve"> and established in all countries</w:t>
      </w:r>
      <w:r>
        <w:t>,</w:t>
      </w:r>
      <w:r w:rsidRPr="00146456">
        <w:t xml:space="preserve"> so that as many as possible and representative soil conditions and their respective organism communities are covered in that database</w:t>
      </w:r>
      <w:r>
        <w:t>.</w:t>
      </w:r>
      <w:r w:rsidRPr="00146456">
        <w:t xml:space="preserve"> Edaphobase</w:t>
      </w:r>
      <w:r>
        <w:t xml:space="preserve"> and LUCAS Soil</w:t>
      </w:r>
      <w:r w:rsidRPr="00146456">
        <w:t xml:space="preserve"> could serve as reference data base</w:t>
      </w:r>
      <w:r>
        <w:t>s.</w:t>
      </w:r>
    </w:p>
    <w:p w14:paraId="20D832F5" w14:textId="77777777" w:rsidR="00400E47" w:rsidRDefault="00400E47" w:rsidP="00400E47"/>
    <w:p w14:paraId="2127A843" w14:textId="77777777" w:rsidR="00400E47" w:rsidRPr="00B94B62" w:rsidRDefault="00400E47" w:rsidP="00400E47">
      <w:pPr>
        <w:pStyle w:val="berschrift2"/>
        <w:numPr>
          <w:ilvl w:val="2"/>
          <w:numId w:val="3"/>
        </w:numPr>
        <w:tabs>
          <w:tab w:val="clear" w:pos="567"/>
        </w:tabs>
        <w:ind w:left="709" w:hanging="709"/>
        <w:rPr>
          <w:rStyle w:val="Formatvorlageberschrift3Zchn1"/>
          <w:b/>
          <w:bCs w:val="0"/>
          <w:iCs/>
        </w:rPr>
      </w:pPr>
      <w:bookmarkStart w:id="311" w:name="_Toc66352219"/>
      <w:bookmarkStart w:id="312" w:name="_Toc83997375"/>
      <w:r>
        <w:rPr>
          <w:rStyle w:val="Formatvorlageberschrift3Zchn1"/>
          <w:bCs w:val="0"/>
          <w:iCs/>
        </w:rPr>
        <w:t>Additional aspects to consider during soil biodiversity monitoring</w:t>
      </w:r>
      <w:bookmarkEnd w:id="311"/>
      <w:bookmarkEnd w:id="312"/>
    </w:p>
    <w:p w14:paraId="096EE238" w14:textId="77777777" w:rsidR="00400E47" w:rsidRDefault="00400E47" w:rsidP="00400E47"/>
    <w:p w14:paraId="7DE92394" w14:textId="2010AF8B" w:rsidR="00400E47" w:rsidRDefault="00400E47" w:rsidP="00400E47">
      <w:r>
        <w:t>Besides any standard documentation of the site of soil sampling, t</w:t>
      </w:r>
      <w:r w:rsidRPr="00D8358F">
        <w:t xml:space="preserve">he following </w:t>
      </w:r>
      <w:r>
        <w:t xml:space="preserve">additional </w:t>
      </w:r>
      <w:r w:rsidRPr="00D8358F">
        <w:t xml:space="preserve">information </w:t>
      </w:r>
      <w:r>
        <w:t>is recommended to collect</w:t>
      </w:r>
      <w:r w:rsidRPr="00D8358F">
        <w:t>:</w:t>
      </w:r>
    </w:p>
    <w:p w14:paraId="7406EF88" w14:textId="77777777" w:rsidR="00400E47" w:rsidRDefault="00400E47" w:rsidP="00400E47">
      <w:pPr>
        <w:pStyle w:val="EEAbullet0"/>
      </w:pPr>
      <w:r>
        <w:t>Fabric of organic horizons (i.e. peat, forest floor): nature and arrangement of humus constituents (structure, consistence, character) (see Green et al</w:t>
      </w:r>
      <w:r w:rsidRPr="00936960">
        <w:t>. 1993</w:t>
      </w:r>
      <w:r>
        <w:t>)</w:t>
      </w:r>
    </w:p>
    <w:p w14:paraId="49201D88" w14:textId="77777777" w:rsidR="00400E47" w:rsidRDefault="00400E47" w:rsidP="00400E47">
      <w:pPr>
        <w:pStyle w:val="EEAbullet0"/>
      </w:pPr>
      <w:r>
        <w:t>Type of litter: plant species of origin, plant part (woody, leaf/needle, root), decompositional status</w:t>
      </w:r>
    </w:p>
    <w:p w14:paraId="7019BE40" w14:textId="77777777" w:rsidR="00400E47" w:rsidRDefault="00400E47" w:rsidP="00400E47">
      <w:pPr>
        <w:pStyle w:val="EEAbullet0"/>
      </w:pPr>
      <w:r>
        <w:t>Fungal mycelia and faunal droppings: d</w:t>
      </w:r>
      <w:r w:rsidRPr="00C12EE3">
        <w:t>istribution and abundance</w:t>
      </w:r>
    </w:p>
    <w:p w14:paraId="26A480E8" w14:textId="77777777" w:rsidR="00400E47" w:rsidRDefault="00400E47" w:rsidP="00400E47">
      <w:pPr>
        <w:pStyle w:val="EEAbullet0"/>
      </w:pPr>
      <w:r>
        <w:t xml:space="preserve">Roots: abundance and size </w:t>
      </w:r>
    </w:p>
    <w:p w14:paraId="0FF20E3D" w14:textId="77777777" w:rsidR="00400E47" w:rsidRDefault="00400E47" w:rsidP="00400E47">
      <w:pPr>
        <w:pStyle w:val="EEAbullet0"/>
      </w:pPr>
      <w:r>
        <w:t xml:space="preserve">Presence/abundance of common soil fauna (in particular: earthworms, separating the functional groups endogeics (i.e. dwellers in the mineral layer), epigeics (dwellers in the litter layer) and anecics (vertical burrowers) </w:t>
      </w:r>
    </w:p>
    <w:p w14:paraId="5418F85A" w14:textId="16253344" w:rsidR="00400E47" w:rsidRDefault="00400E47" w:rsidP="00400E47">
      <w:pPr>
        <w:pStyle w:val="EEAbullet0"/>
      </w:pPr>
      <w:r>
        <w:t xml:space="preserve">Horizon boundaries (shape and </w:t>
      </w:r>
      <w:r w:rsidR="00027A63">
        <w:t>width</w:t>
      </w:r>
      <w:r>
        <w:t>)</w:t>
      </w:r>
    </w:p>
    <w:p w14:paraId="5CFC6564" w14:textId="77777777" w:rsidR="00400E47" w:rsidRDefault="00400E47" w:rsidP="00400E47">
      <w:pPr>
        <w:pStyle w:val="EEAbullet0"/>
        <w:numPr>
          <w:ilvl w:val="0"/>
          <w:numId w:val="0"/>
        </w:numPr>
      </w:pPr>
    </w:p>
    <w:p w14:paraId="59CA9F38" w14:textId="4199988B" w:rsidR="00400E47" w:rsidRDefault="00400E47" w:rsidP="00400E47">
      <w:r>
        <w:t xml:space="preserve">Depending on measurement intensity, Bispo et al. (2009) suggest different monitoring levels: with species counts for earthworms and Collembola at a fairly high density of plots (Level I)and functional diversity and DNA analysis at </w:t>
      </w:r>
      <w:r w:rsidR="00027A63">
        <w:t>fewer</w:t>
      </w:r>
      <w:r>
        <w:t xml:space="preserve"> plots (Level II), and the measurement of parameters about complex biological functions at Level III.  </w:t>
      </w:r>
    </w:p>
    <w:p w14:paraId="4D4B04C7" w14:textId="77777777" w:rsidR="00400E47" w:rsidRDefault="00400E47" w:rsidP="00400E47"/>
    <w:p w14:paraId="5203338A" w14:textId="77777777" w:rsidR="00400E47" w:rsidRDefault="00400E47" w:rsidP="00400E47"/>
    <w:p w14:paraId="5FDD0887" w14:textId="77777777" w:rsidR="00400E47" w:rsidRDefault="00400E47" w:rsidP="00400E47">
      <w:pPr>
        <w:pStyle w:val="berschrift2"/>
      </w:pPr>
      <w:bookmarkStart w:id="313" w:name="_Ref55203853"/>
      <w:bookmarkStart w:id="314" w:name="_Toc66352220"/>
      <w:bookmarkStart w:id="315" w:name="_Toc83997376"/>
      <w:r w:rsidRPr="00CF520A">
        <w:t>Baseline and threshold values</w:t>
      </w:r>
      <w:bookmarkEnd w:id="313"/>
      <w:bookmarkEnd w:id="314"/>
      <w:bookmarkEnd w:id="315"/>
    </w:p>
    <w:p w14:paraId="3D9D0340" w14:textId="77777777" w:rsidR="00400E47" w:rsidRPr="00B94B62" w:rsidRDefault="00400E47" w:rsidP="00400E47">
      <w:pPr>
        <w:pStyle w:val="berschrift2"/>
        <w:numPr>
          <w:ilvl w:val="2"/>
          <w:numId w:val="3"/>
        </w:numPr>
        <w:tabs>
          <w:tab w:val="clear" w:pos="567"/>
        </w:tabs>
        <w:ind w:left="709" w:hanging="709"/>
        <w:rPr>
          <w:rStyle w:val="Formatvorlageberschrift3Zchn1"/>
          <w:b/>
          <w:bCs w:val="0"/>
          <w:iCs/>
        </w:rPr>
      </w:pPr>
      <w:bookmarkStart w:id="316" w:name="_Toc66352221"/>
      <w:bookmarkStart w:id="317" w:name="_Toc83997377"/>
      <w:r w:rsidRPr="00CF520A">
        <w:rPr>
          <w:rStyle w:val="Formatvorlageberschrift3Zchn1"/>
          <w:bCs w:val="0"/>
          <w:iCs/>
        </w:rPr>
        <w:t>Definitions</w:t>
      </w:r>
      <w:bookmarkEnd w:id="316"/>
      <w:bookmarkEnd w:id="317"/>
    </w:p>
    <w:p w14:paraId="4B9290C8" w14:textId="77777777" w:rsidR="00400E47" w:rsidRDefault="00400E47" w:rsidP="00400E47"/>
    <w:p w14:paraId="50C91D06" w14:textId="77777777" w:rsidR="00400E47" w:rsidRDefault="00400E47" w:rsidP="00400E47">
      <w:r w:rsidRPr="005E3BFF">
        <w:t>It has been demonstrated above that a baseline and threshold values are needed to monitor soil biological diversity</w:t>
      </w:r>
      <w:r>
        <w:t>.</w:t>
      </w:r>
      <w:r w:rsidRPr="005E3BFF">
        <w:t xml:space="preserve"> </w:t>
      </w:r>
      <w:r>
        <w:t xml:space="preserve">It has been demonstrated above that such values have hardly been achieved yet. </w:t>
      </w:r>
      <w:r w:rsidRPr="005E3BFF">
        <w:t>Huber et al</w:t>
      </w:r>
      <w:r>
        <w:t>.</w:t>
      </w:r>
      <w:r w:rsidRPr="005E3BFF">
        <w:t xml:space="preserve"> (2008) suggests that both</w:t>
      </w:r>
      <w:r>
        <w:t>,</w:t>
      </w:r>
      <w:r w:rsidRPr="005E3BFF">
        <w:t xml:space="preserve"> baseline and thresholds</w:t>
      </w:r>
      <w:r>
        <w:t>,</w:t>
      </w:r>
      <w:r w:rsidRPr="005E3BFF">
        <w:t xml:space="preserve"> need to be stratified by soil type and land use</w:t>
      </w:r>
      <w:r>
        <w:t>;</w:t>
      </w:r>
      <w:r w:rsidRPr="005E3BFF">
        <w:t xml:space="preserve"> Rutgers et </w:t>
      </w:r>
      <w:r>
        <w:t>al.</w:t>
      </w:r>
      <w:r w:rsidRPr="005E3BFF">
        <w:t xml:space="preserve"> (2018) introduce additional stratifies by climatic zone and management practice</w:t>
      </w:r>
      <w:r>
        <w:t>.</w:t>
      </w:r>
      <w:r w:rsidRPr="005E3BFF">
        <w:t xml:space="preserve"> Within the ENVASSO project (Huber et </w:t>
      </w:r>
      <w:r>
        <w:t>al.</w:t>
      </w:r>
      <w:r w:rsidRPr="005E3BFF">
        <w:t xml:space="preserve"> 2008)</w:t>
      </w:r>
      <w:r>
        <w:t>,</w:t>
      </w:r>
      <w:r w:rsidRPr="005E3BFF">
        <w:t xml:space="preserve"> a common approach to the derivation of baseline and thresholds is proposed</w:t>
      </w:r>
      <w:r>
        <w:t>.</w:t>
      </w:r>
    </w:p>
    <w:p w14:paraId="4E6B5D40" w14:textId="77777777" w:rsidR="00400E47" w:rsidRDefault="00400E47" w:rsidP="00400E47"/>
    <w:p w14:paraId="07E53393" w14:textId="77777777" w:rsidR="00400E47" w:rsidRDefault="00400E47" w:rsidP="00400E47">
      <w:pPr>
        <w:pStyle w:val="EEAbullet0"/>
        <w:jc w:val="both"/>
      </w:pPr>
      <w:r w:rsidRPr="005E3BFF">
        <w:rPr>
          <w:b/>
        </w:rPr>
        <w:t>Baseline values</w:t>
      </w:r>
      <w:r>
        <w:t>. Many scientists from different disciplines have tried to define the highest score for biodiversity corresponding with the pristine or natural state or state of reference. These reference values have entered the policy process as “ecological status” (Water Framework Directive) or “conservation status” (Habitat Directive). This concept has been tested for the region of Flanders, using vascular plant species as the most suitable indicator (Schneiders et al., 2012).</w:t>
      </w:r>
    </w:p>
    <w:p w14:paraId="7EF84146" w14:textId="77777777" w:rsidR="00400E47" w:rsidRDefault="00400E47" w:rsidP="00400E47">
      <w:pPr>
        <w:pStyle w:val="EEAbullet0"/>
        <w:numPr>
          <w:ilvl w:val="0"/>
          <w:numId w:val="0"/>
        </w:numPr>
        <w:ind w:left="397"/>
        <w:jc w:val="both"/>
      </w:pPr>
    </w:p>
    <w:p w14:paraId="14ED2773" w14:textId="3E532945" w:rsidR="00400E47" w:rsidRDefault="00400E47" w:rsidP="00400E47">
      <w:pPr>
        <w:pStyle w:val="EEAStandardindent07"/>
      </w:pPr>
      <w:r>
        <w:t xml:space="preserve">Huber et al. (2008) suggest the calculation of </w:t>
      </w:r>
      <w:r w:rsidRPr="00A6332B">
        <w:rPr>
          <w:b/>
          <w:bCs/>
        </w:rPr>
        <w:t>reference scenarios</w:t>
      </w:r>
      <w:r>
        <w:t xml:space="preserve"> as a baseline, consisting of </w:t>
      </w:r>
      <w:r w:rsidRPr="00A6332B">
        <w:rPr>
          <w:u w:val="single"/>
        </w:rPr>
        <w:t>minimum, maximum and mean values for each indicator</w:t>
      </w:r>
      <w:r w:rsidR="00027A63">
        <w:rPr>
          <w:u w:val="single"/>
        </w:rPr>
        <w:t>,</w:t>
      </w:r>
      <w:r>
        <w:t xml:space="preserve"> by land use, soil type, climatic condition/biogeographical region. Cluzeau et al. (2012) applied this approach to France, determining baseline values for different biological groups (</w:t>
      </w:r>
      <w:r w:rsidR="00027A63">
        <w:t>i.e.,</w:t>
      </w:r>
      <w:r>
        <w:t xml:space="preserve"> soil microbial biomass, nematodes, earthworms, soil macro-invertebrates) under different land uses (e.g. cropland and grassland). They highlight that soil fauna and microbial biomass can be used as bioindicators. </w:t>
      </w:r>
    </w:p>
    <w:p w14:paraId="690F148E" w14:textId="77777777" w:rsidR="00400E47" w:rsidRDefault="00400E47" w:rsidP="00400E47">
      <w:pPr>
        <w:pStyle w:val="EEAStandardindent07"/>
        <w:ind w:left="0"/>
      </w:pPr>
    </w:p>
    <w:p w14:paraId="02948B1E" w14:textId="77777777" w:rsidR="00400E47" w:rsidRDefault="00400E47" w:rsidP="00400E47">
      <w:pPr>
        <w:pStyle w:val="EEAbullet0"/>
      </w:pPr>
      <w:r w:rsidRPr="005E3BFF">
        <w:rPr>
          <w:b/>
        </w:rPr>
        <w:lastRenderedPageBreak/>
        <w:t>Threshold values</w:t>
      </w:r>
      <w:r>
        <w:t>. Thresholds are defined by Schneiders et al. (2012), as ‘</w:t>
      </w:r>
      <w:r w:rsidRPr="006B42DF">
        <w:rPr>
          <w:b/>
          <w:bCs/>
        </w:rPr>
        <w:t>safe minimum standard of conservation</w:t>
      </w:r>
      <w:r>
        <w:t>’: exceedance of this threshold implies irreversible change of ecosystem condition and may impose unacceptable social or economic costs.</w:t>
      </w:r>
    </w:p>
    <w:p w14:paraId="17A9B739" w14:textId="77777777" w:rsidR="00400E47" w:rsidRDefault="00400E47" w:rsidP="00400E47">
      <w:pPr>
        <w:pStyle w:val="EEAbullet0"/>
        <w:numPr>
          <w:ilvl w:val="0"/>
          <w:numId w:val="0"/>
        </w:numPr>
        <w:ind w:left="397"/>
      </w:pPr>
    </w:p>
    <w:p w14:paraId="64E6B776" w14:textId="0FD973FB" w:rsidR="00400E47" w:rsidRDefault="00400E47" w:rsidP="00400E47">
      <w:pPr>
        <w:pStyle w:val="EEAStandardindent07"/>
      </w:pPr>
      <w:r>
        <w:t xml:space="preserve">According to Huber et al. (2008), the simplest threshold would be nil: no organisms belonging to the target group are found at specific sites (in some cases this may be naturally the case, depending on the soil characteristics or on the season, </w:t>
      </w:r>
      <w:r w:rsidR="00027A63">
        <w:t>e.g.,</w:t>
      </w:r>
      <w:r>
        <w:t xml:space="preserve"> earthworms in very acidic soils or in the topsoil during the summer months).</w:t>
      </w:r>
    </w:p>
    <w:p w14:paraId="02190BBA" w14:textId="77777777" w:rsidR="00400E47" w:rsidRDefault="00400E47" w:rsidP="00400E47">
      <w:pPr>
        <w:pStyle w:val="EEAStandardindent07"/>
      </w:pPr>
    </w:p>
    <w:p w14:paraId="15E39A97" w14:textId="77777777" w:rsidR="00400E47" w:rsidRDefault="00400E47" w:rsidP="00400E47">
      <w:r>
        <w:t>A more elaborated approach would aim to define a threshold as an unacceptable deviation from the baseline value or from the first measurement. In the latter case, natural variations must be taken into account.</w:t>
      </w:r>
    </w:p>
    <w:p w14:paraId="57AE594A" w14:textId="77777777" w:rsidR="00400E47" w:rsidRDefault="00400E47" w:rsidP="00400E47">
      <w:r>
        <w:t>The same approach is suggested by Breure et al. (2005): initial information on status and trend from monitoring can be combined with ecological know-how and serve as baseline/standard value for each indicator. The definition of unacceptable (and natural) variations could be made based on variations monitored under regional, national, and international monitoring networks. These datasets should be collated according to soil type, land use and climate.</w:t>
      </w:r>
    </w:p>
    <w:p w14:paraId="56A452D5" w14:textId="77777777" w:rsidR="00400E47" w:rsidRDefault="00400E47" w:rsidP="00400E47"/>
    <w:p w14:paraId="790AA53E" w14:textId="233DF9B5" w:rsidR="00400E47" w:rsidRDefault="00400E47" w:rsidP="00400E47">
      <w:r>
        <w:t xml:space="preserve">In </w:t>
      </w:r>
      <w:r>
        <w:fldChar w:fldCharType="begin"/>
      </w:r>
      <w:r>
        <w:instrText xml:space="preserve"> REF _Ref47952136 \h </w:instrText>
      </w:r>
      <w:r>
        <w:fldChar w:fldCharType="separate"/>
      </w:r>
      <w:r w:rsidR="0067767C">
        <w:rPr>
          <w:b/>
          <w:bCs/>
          <w:lang w:val="de-DE"/>
        </w:rPr>
        <w:t>Fehler! Verweisquelle konnte nicht gefunden werden.</w:t>
      </w:r>
      <w:r>
        <w:fldChar w:fldCharType="end"/>
      </w:r>
      <w:r>
        <w:t xml:space="preserve"> the theoretical approach is briefly summarized (source: Römbke et al. 2012). It indicates that the reference condition could be determined as species richness, but other biological endpoints or indices are possible. From a biological point of view, the limit of unacceptable implications is not easy to determine, especially when looking not at one species but whole communities.</w:t>
      </w:r>
    </w:p>
    <w:p w14:paraId="287242FF" w14:textId="77777777" w:rsidR="00400E47" w:rsidRDefault="00400E47" w:rsidP="00400E47"/>
    <w:p w14:paraId="4280F3B3" w14:textId="247A5295" w:rsidR="00400E47" w:rsidRPr="00B2361E" w:rsidRDefault="00400E47" w:rsidP="00400E47">
      <w:pPr>
        <w:pStyle w:val="FormatvorlageBeschriftung"/>
      </w:pPr>
      <w:bookmarkStart w:id="318" w:name="_Ref82773701"/>
      <w:bookmarkStart w:id="319" w:name="_Toc83997439"/>
      <w:r>
        <w:rPr>
          <w:noProof/>
          <w:lang w:eastAsia="en-GB"/>
        </w:rPr>
        <w:drawing>
          <wp:anchor distT="0" distB="0" distL="114300" distR="114300" simplePos="0" relativeHeight="251755008" behindDoc="0" locked="0" layoutInCell="1" allowOverlap="1" wp14:anchorId="6C81FDD7" wp14:editId="51F41FBC">
            <wp:simplePos x="0" y="0"/>
            <wp:positionH relativeFrom="margin">
              <wp:align>left</wp:align>
            </wp:positionH>
            <wp:positionV relativeFrom="paragraph">
              <wp:posOffset>412750</wp:posOffset>
            </wp:positionV>
            <wp:extent cx="5448300" cy="2672080"/>
            <wp:effectExtent l="0" t="0" r="0" b="0"/>
            <wp:wrapTopAndBottom/>
            <wp:docPr id="30" name="Grafik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Tex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48300" cy="2672080"/>
                    </a:xfrm>
                    <a:prstGeom prst="rect">
                      <a:avLst/>
                    </a:prstGeom>
                    <a:noFill/>
                  </pic:spPr>
                </pic:pic>
              </a:graphicData>
            </a:graphic>
            <wp14:sizeRelH relativeFrom="margin">
              <wp14:pctWidth>0</wp14:pctWidth>
            </wp14:sizeRelH>
            <wp14:sizeRelV relativeFrom="margin">
              <wp14:pctHeight>0</wp14:pctHeight>
            </wp14:sizeRelV>
          </wp:anchor>
        </w:drawing>
      </w:r>
      <w:r w:rsidRPr="00B2361E">
        <w:t xml:space="preserve">Figure </w:t>
      </w:r>
      <w:r w:rsidR="00CA7716">
        <w:fldChar w:fldCharType="begin"/>
      </w:r>
      <w:r w:rsidR="00CA7716">
        <w:instrText xml:space="preserve"> STYLEREF 1 \s </w:instrText>
      </w:r>
      <w:r w:rsidR="00CA7716">
        <w:fldChar w:fldCharType="separate"/>
      </w:r>
      <w:r w:rsidR="0067767C">
        <w:rPr>
          <w:noProof/>
        </w:rPr>
        <w:t>6</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318"/>
      <w:r w:rsidRPr="00B2361E">
        <w:t>:</w:t>
      </w:r>
      <w:r w:rsidRPr="00B2361E">
        <w:tab/>
        <w:t>Baseline and threshold approach for soil biodiversity monitoring</w:t>
      </w:r>
      <w:bookmarkEnd w:id="319"/>
      <w:r w:rsidRPr="00B2361E">
        <w:t xml:space="preserve"> </w:t>
      </w:r>
    </w:p>
    <w:p w14:paraId="6811E34E" w14:textId="77777777" w:rsidR="00400E47" w:rsidRDefault="00400E47" w:rsidP="00400E47">
      <w:pPr>
        <w:ind w:left="1134" w:hanging="1134"/>
      </w:pPr>
      <w:bookmarkStart w:id="320" w:name="_Toc61594285"/>
      <w:r>
        <w:t>Source: Roemke et al. (2012, 2016)</w:t>
      </w:r>
      <w:bookmarkEnd w:id="320"/>
    </w:p>
    <w:p w14:paraId="114A19E8" w14:textId="77777777" w:rsidR="00400E47" w:rsidRDefault="00400E47" w:rsidP="00400E47"/>
    <w:p w14:paraId="62D08257" w14:textId="1A30AB93" w:rsidR="00400E47" w:rsidRDefault="00400E47" w:rsidP="00400E47">
      <w:r w:rsidRPr="00714D8B">
        <w:fldChar w:fldCharType="begin"/>
      </w:r>
      <w:r w:rsidRPr="00714D8B">
        <w:instrText xml:space="preserve"> REF _Ref47952136 \h </w:instrText>
      </w:r>
      <w:r w:rsidR="00677B0A" w:rsidRPr="00714D8B">
        <w:instrText xml:space="preserve"> \* MERGEFORMAT </w:instrText>
      </w:r>
      <w:r w:rsidRPr="00714D8B">
        <w:fldChar w:fldCharType="separate"/>
      </w:r>
      <w:r w:rsidR="0067767C">
        <w:rPr>
          <w:b/>
          <w:bCs/>
          <w:lang w:val="de-DE"/>
        </w:rPr>
        <w:t>Fehler! Verweisquelle konnte nicht gefunden werden.</w:t>
      </w:r>
      <w:r w:rsidRPr="00714D8B">
        <w:fldChar w:fldCharType="end"/>
      </w:r>
      <w:r w:rsidRPr="00714D8B">
        <w:t xml:space="preserve"> indicates the general</w:t>
      </w:r>
      <w:r w:rsidRPr="005E3BFF">
        <w:t xml:space="preserve"> relationship between species richness and the change of the diversity of soil organism groups at different levels of stress</w:t>
      </w:r>
      <w:r>
        <w:t>,</w:t>
      </w:r>
      <w:r w:rsidRPr="005E3BFF">
        <w:t xml:space="preserve"> ranging from an unaffected (reference) site to a site which has been severely impacted by (often anthropogenic) stress</w:t>
      </w:r>
      <w:r>
        <w:t>.</w:t>
      </w:r>
      <w:r w:rsidRPr="005E3BFF">
        <w:t xml:space="preserve"> The red column indicates the point of unacceptable depletion (Römbke et </w:t>
      </w:r>
      <w:r>
        <w:t>al.,</w:t>
      </w:r>
      <w:r w:rsidRPr="005E3BFF">
        <w:t xml:space="preserve"> 2012)</w:t>
      </w:r>
      <w:r>
        <w:t>.</w:t>
      </w:r>
    </w:p>
    <w:p w14:paraId="7425321F" w14:textId="77777777" w:rsidR="00400E47" w:rsidRDefault="00400E47" w:rsidP="00400E47"/>
    <w:p w14:paraId="5200CC64" w14:textId="1755BD67" w:rsidR="00400E47" w:rsidRDefault="00400E47" w:rsidP="00400E47">
      <w:r w:rsidRPr="005E3BFF">
        <w:t xml:space="preserve">The concept of </w:t>
      </w:r>
      <w:r w:rsidRPr="009F7D33">
        <w:rPr>
          <w:b/>
          <w:bCs/>
        </w:rPr>
        <w:t>reference condition</w:t>
      </w:r>
      <w:r w:rsidRPr="005E3BFF">
        <w:t xml:space="preserve"> has been successfully tested in Germany</w:t>
      </w:r>
      <w:r>
        <w:t>.</w:t>
      </w:r>
      <w:r w:rsidRPr="005E3BFF">
        <w:t xml:space="preserve"> There</w:t>
      </w:r>
      <w:r>
        <w:t>,</w:t>
      </w:r>
      <w:r w:rsidRPr="005E3BFF">
        <w:t xml:space="preserve"> ranges of</w:t>
      </w:r>
      <w:r>
        <w:t>,</w:t>
      </w:r>
      <w:r w:rsidRPr="005E3BFF">
        <w:t xml:space="preserve"> </w:t>
      </w:r>
      <w:r w:rsidR="00027A63" w:rsidRPr="005E3BFF">
        <w:t>e</w:t>
      </w:r>
      <w:r w:rsidR="00027A63">
        <w:t>.</w:t>
      </w:r>
      <w:r w:rsidR="00027A63" w:rsidRPr="005E3BFF">
        <w:t>g</w:t>
      </w:r>
      <w:r w:rsidR="00027A63">
        <w:t>.,</w:t>
      </w:r>
      <w:r w:rsidRPr="005E3BFF">
        <w:t xml:space="preserve"> species numbers for a given site or soil type</w:t>
      </w:r>
      <w:r>
        <w:t>,</w:t>
      </w:r>
      <w:r w:rsidRPr="005E3BFF">
        <w:t xml:space="preserve"> were compiled (example: earthworms)</w:t>
      </w:r>
      <w:r>
        <w:t>.</w:t>
      </w:r>
      <w:r w:rsidRPr="005E3BFF">
        <w:t xml:space="preserve"> The quality of the approach improves with increasing number of well-documented observations (at best</w:t>
      </w:r>
      <w:r>
        <w:t>,</w:t>
      </w:r>
      <w:r w:rsidRPr="005E3BFF">
        <w:t xml:space="preserve"> at international level)</w:t>
      </w:r>
      <w:r>
        <w:t>.</w:t>
      </w:r>
      <w:r w:rsidRPr="005E3BFF">
        <w:t xml:space="preserve"> As </w:t>
      </w:r>
      <w:r w:rsidRPr="005E3BFF">
        <w:lastRenderedPageBreak/>
        <w:t>soon as an impact to soil biodiversity is observed (in this example: earthworm as flagship species)</w:t>
      </w:r>
      <w:r>
        <w:t>,</w:t>
      </w:r>
      <w:r w:rsidRPr="005E3BFF">
        <w:t xml:space="preserve"> more detailed investigations are necessary</w:t>
      </w:r>
      <w:r>
        <w:t>,</w:t>
      </w:r>
      <w:r w:rsidRPr="005E3BFF">
        <w:t xml:space="preserve"> such </w:t>
      </w:r>
      <w:r>
        <w:t xml:space="preserve">as </w:t>
      </w:r>
      <w:r w:rsidRPr="005E3BFF">
        <w:t>repeated samplings in different seasons</w:t>
      </w:r>
      <w:r>
        <w:t>.</w:t>
      </w:r>
    </w:p>
    <w:p w14:paraId="03ADFF5C" w14:textId="77777777" w:rsidR="00400E47" w:rsidRDefault="00400E47" w:rsidP="00400E47"/>
    <w:p w14:paraId="452A1688" w14:textId="77777777" w:rsidR="00400E47" w:rsidRDefault="00400E47" w:rsidP="00400E47"/>
    <w:p w14:paraId="7AAF3C64" w14:textId="77777777" w:rsidR="00400E47" w:rsidRPr="00B94B62" w:rsidRDefault="00400E47" w:rsidP="00400E47">
      <w:pPr>
        <w:pStyle w:val="berschrift2"/>
        <w:numPr>
          <w:ilvl w:val="2"/>
          <w:numId w:val="3"/>
        </w:numPr>
        <w:tabs>
          <w:tab w:val="clear" w:pos="567"/>
        </w:tabs>
        <w:ind w:left="709" w:hanging="709"/>
        <w:rPr>
          <w:rStyle w:val="Formatvorlageberschrift3Zchn1"/>
          <w:b/>
          <w:bCs w:val="0"/>
          <w:iCs/>
        </w:rPr>
      </w:pPr>
      <w:bookmarkStart w:id="321" w:name="_Toc66352222"/>
      <w:bookmarkStart w:id="322" w:name="_Toc83997378"/>
      <w:r>
        <w:rPr>
          <w:rStyle w:val="Formatvorlageberschrift3Zchn1"/>
          <w:bCs w:val="0"/>
          <w:iCs/>
        </w:rPr>
        <w:t>O</w:t>
      </w:r>
      <w:r w:rsidRPr="00A77A0A">
        <w:rPr>
          <w:rStyle w:val="Formatvorlageberschrift3Zchn1"/>
          <w:bCs w:val="0"/>
          <w:iCs/>
        </w:rPr>
        <w:t>perating ranges for key soil organisms</w:t>
      </w:r>
      <w:bookmarkEnd w:id="321"/>
      <w:bookmarkEnd w:id="322"/>
    </w:p>
    <w:p w14:paraId="2FACB221" w14:textId="77777777" w:rsidR="00400E47" w:rsidRDefault="00400E47" w:rsidP="00400E47"/>
    <w:p w14:paraId="0F3A61C0" w14:textId="07E2CC8E" w:rsidR="00400E47" w:rsidRDefault="00400E47" w:rsidP="00400E47">
      <w:r>
        <w:t xml:space="preserve">A first approach of mapping the abundance and diversity of an important soil invertebrate group has been published by Rutgers et al. (2016) for earthworms. The approach has been now also developed at global level by Philipps et al. (2019). It was found that earthworm diversity does not necessarily follow </w:t>
      </w:r>
      <w:r w:rsidR="00027A63">
        <w:t>above ground</w:t>
      </w:r>
      <w:r>
        <w:t xml:space="preserve"> vegetation pattern (</w:t>
      </w:r>
      <w:r w:rsidR="00027A63">
        <w:t>composition</w:t>
      </w:r>
      <w:r>
        <w:t xml:space="preserve">, density, </w:t>
      </w:r>
      <w:r w:rsidR="00027A63">
        <w:t>vigour</w:t>
      </w:r>
      <w:r>
        <w:t>), but rather regional pattern, such as latitude in the case of Europe (</w:t>
      </w:r>
      <w:r w:rsidRPr="00152F61">
        <w:t>Rutgers et al.</w:t>
      </w:r>
      <w:r>
        <w:t xml:space="preserve"> </w:t>
      </w:r>
      <w:r w:rsidRPr="00152F61">
        <w:t>2016)</w:t>
      </w:r>
      <w:r>
        <w:t xml:space="preserve">. Furthermore, maps have been developed in the last years for microbiological endpoints; see for example Griffiths et al. (2016). There, bacterial community structure could be largely explained through the pH value. However, no critical range of pH values for bacterial diversity has been provided. </w:t>
      </w:r>
    </w:p>
    <w:p w14:paraId="4DC4BA59" w14:textId="77777777" w:rsidR="00400E47" w:rsidRDefault="00400E47" w:rsidP="00400E47"/>
    <w:p w14:paraId="0F2DB9A2" w14:textId="28C5D3D2" w:rsidR="00400E47" w:rsidRDefault="00400E47" w:rsidP="00400E47">
      <w:r>
        <w:t xml:space="preserve">According to Aksoy et al. (2017), the potential of soil biodiversity can be mapped indirectly via proxies. This is based on defined levels of soil parameters unsuitable for earthworms, mesofauna or microorganisms. Thresholds for temperature, texture, electronical conductivity, pH and LU change, were used in order to spatially delineate “risk” areas for earthworms but this approach could be extended to collembolans and probably all soil </w:t>
      </w:r>
      <w:r w:rsidR="00027A63">
        <w:t>faunal</w:t>
      </w:r>
      <w:r>
        <w:t xml:space="preserve"> species. This seems that this approach is suitable for the mapping of soil biodiversity hotspots. However, considering the large ranges and a large amount of species presence and </w:t>
      </w:r>
      <w:r w:rsidR="00027A63">
        <w:t>abundance</w:t>
      </w:r>
      <w:r>
        <w:t xml:space="preserve"> which cannot be explained by the scoring, a more differentiated approach is needed. Possibly, by overlaying the earthworm abundance maps by </w:t>
      </w:r>
      <w:r w:rsidRPr="00532CC3">
        <w:t>Rutgers et al. (2016)</w:t>
      </w:r>
      <w:r>
        <w:t xml:space="preserve"> with environmental spatial covariates, the Table 6-4 could be refined for earthworm diversity, thus provide a hypothetical expectation value for earthworm diversity and abundance.</w:t>
      </w:r>
    </w:p>
    <w:p w14:paraId="68373266" w14:textId="77777777" w:rsidR="00400E47" w:rsidRDefault="00400E47" w:rsidP="00027A63">
      <w:pPr>
        <w:spacing w:before="120"/>
      </w:pPr>
    </w:p>
    <w:p w14:paraId="289555E3" w14:textId="1DDEFD18" w:rsidR="00400E47" w:rsidRDefault="00400E47" w:rsidP="00400E47">
      <w:pPr>
        <w:pStyle w:val="EEALabel"/>
        <w:spacing w:after="240"/>
        <w:rPr>
          <w:rFonts w:eastAsia="Calibri"/>
        </w:rPr>
      </w:pPr>
      <w:bookmarkStart w:id="323" w:name="_Toc83997525"/>
      <w:r>
        <w:t xml:space="preserve">Table </w:t>
      </w:r>
      <w:r>
        <w:fldChar w:fldCharType="begin"/>
      </w:r>
      <w:r>
        <w:instrText xml:space="preserve"> STYLEREF 1 \s </w:instrText>
      </w:r>
      <w:r>
        <w:fldChar w:fldCharType="separate"/>
      </w:r>
      <w:r w:rsidR="0067767C">
        <w:rPr>
          <w:noProof/>
        </w:rPr>
        <w:t>6</w:t>
      </w:r>
      <w:r>
        <w:fldChar w:fldCharType="end"/>
      </w:r>
      <w:r>
        <w:noBreakHyphen/>
      </w:r>
      <w:r>
        <w:fldChar w:fldCharType="begin"/>
      </w:r>
      <w:r>
        <w:instrText xml:space="preserve"> SEQ Table \* ARABIC \s 1 </w:instrText>
      </w:r>
      <w:r>
        <w:fldChar w:fldCharType="separate"/>
      </w:r>
      <w:r w:rsidR="0067767C">
        <w:rPr>
          <w:noProof/>
        </w:rPr>
        <w:t>4</w:t>
      </w:r>
      <w:r>
        <w:fldChar w:fldCharType="end"/>
      </w:r>
      <w:r>
        <w:rPr>
          <w:rFonts w:eastAsia="Calibri"/>
        </w:rPr>
        <w:t>:</w:t>
      </w:r>
      <w:r>
        <w:rPr>
          <w:rFonts w:eastAsia="Calibri"/>
        </w:rPr>
        <w:tab/>
      </w:r>
      <w:r w:rsidRPr="000B6094">
        <w:rPr>
          <w:rFonts w:eastAsia="Calibri"/>
        </w:rPr>
        <w:t>Thresholds of environmental variables which might have strong effect on soil biodiversity</w:t>
      </w:r>
      <w:bookmarkEnd w:id="323"/>
    </w:p>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114"/>
        <w:gridCol w:w="1276"/>
        <w:gridCol w:w="1275"/>
        <w:gridCol w:w="1701"/>
        <w:gridCol w:w="1276"/>
      </w:tblGrid>
      <w:tr w:rsidR="00400E47" w:rsidRPr="00925044" w14:paraId="6DAF3C67" w14:textId="77777777" w:rsidTr="001C6C1E">
        <w:tc>
          <w:tcPr>
            <w:tcW w:w="3114" w:type="dxa"/>
            <w:shd w:val="clear" w:color="auto" w:fill="F2F2F2" w:themeFill="background1" w:themeFillShade="F2"/>
            <w:vAlign w:val="center"/>
          </w:tcPr>
          <w:p w14:paraId="040CAF59" w14:textId="77777777" w:rsidR="00400E47" w:rsidRPr="00925044" w:rsidRDefault="00400E47" w:rsidP="00677B0A">
            <w:pPr>
              <w:rPr>
                <w:b/>
                <w:bCs/>
                <w:sz w:val="20"/>
              </w:rPr>
            </w:pPr>
            <w:r w:rsidRPr="00925044">
              <w:rPr>
                <w:b/>
                <w:bCs/>
                <w:sz w:val="20"/>
              </w:rPr>
              <w:t>Variable</w:t>
            </w:r>
          </w:p>
        </w:tc>
        <w:tc>
          <w:tcPr>
            <w:tcW w:w="5528" w:type="dxa"/>
            <w:gridSpan w:val="4"/>
            <w:shd w:val="clear" w:color="auto" w:fill="F2F2F2" w:themeFill="background1" w:themeFillShade="F2"/>
          </w:tcPr>
          <w:p w14:paraId="75AFA08D" w14:textId="77777777" w:rsidR="00400E47" w:rsidRPr="00925044" w:rsidRDefault="00400E47" w:rsidP="00677B0A">
            <w:pPr>
              <w:jc w:val="center"/>
              <w:rPr>
                <w:b/>
                <w:bCs/>
                <w:sz w:val="20"/>
              </w:rPr>
            </w:pPr>
            <w:r w:rsidRPr="00925044">
              <w:rPr>
                <w:b/>
                <w:bCs/>
                <w:sz w:val="20"/>
              </w:rPr>
              <w:t>Classes of parameters as the basis for the scoring of soil biodiversity potential</w:t>
            </w:r>
          </w:p>
        </w:tc>
      </w:tr>
      <w:tr w:rsidR="00400E47" w14:paraId="627F4327" w14:textId="77777777" w:rsidTr="001C6C1E">
        <w:tc>
          <w:tcPr>
            <w:tcW w:w="3114" w:type="dxa"/>
          </w:tcPr>
          <w:p w14:paraId="76AD2CEE" w14:textId="77777777" w:rsidR="00400E47" w:rsidRPr="009C4CB5" w:rsidRDefault="00400E47" w:rsidP="00677B0A">
            <w:pPr>
              <w:rPr>
                <w:sz w:val="20"/>
              </w:rPr>
            </w:pPr>
            <w:r w:rsidRPr="009C4CB5">
              <w:rPr>
                <w:sz w:val="20"/>
              </w:rPr>
              <w:t>pH</w:t>
            </w:r>
          </w:p>
        </w:tc>
        <w:tc>
          <w:tcPr>
            <w:tcW w:w="1276" w:type="dxa"/>
          </w:tcPr>
          <w:p w14:paraId="6CA1ADDB" w14:textId="77777777" w:rsidR="00400E47" w:rsidRPr="009C4CB5" w:rsidRDefault="00400E47" w:rsidP="00677B0A">
            <w:pPr>
              <w:jc w:val="center"/>
              <w:rPr>
                <w:sz w:val="20"/>
              </w:rPr>
            </w:pPr>
            <w:r w:rsidRPr="009C4CB5">
              <w:rPr>
                <w:sz w:val="20"/>
              </w:rPr>
              <w:t>&lt;4</w:t>
            </w:r>
          </w:p>
        </w:tc>
        <w:tc>
          <w:tcPr>
            <w:tcW w:w="1275" w:type="dxa"/>
          </w:tcPr>
          <w:p w14:paraId="11978D18" w14:textId="77777777" w:rsidR="00400E47" w:rsidRPr="009C4CB5" w:rsidRDefault="00400E47" w:rsidP="00677B0A">
            <w:pPr>
              <w:jc w:val="center"/>
              <w:rPr>
                <w:sz w:val="20"/>
              </w:rPr>
            </w:pPr>
            <w:r w:rsidRPr="009C4CB5">
              <w:rPr>
                <w:sz w:val="20"/>
              </w:rPr>
              <w:t>4–5.2</w:t>
            </w:r>
          </w:p>
        </w:tc>
        <w:tc>
          <w:tcPr>
            <w:tcW w:w="1701" w:type="dxa"/>
          </w:tcPr>
          <w:p w14:paraId="7E0C7FCC" w14:textId="77777777" w:rsidR="00400E47" w:rsidRPr="009C4CB5" w:rsidRDefault="00400E47" w:rsidP="00677B0A">
            <w:pPr>
              <w:jc w:val="center"/>
              <w:rPr>
                <w:sz w:val="20"/>
              </w:rPr>
            </w:pPr>
            <w:r w:rsidRPr="009C4CB5">
              <w:rPr>
                <w:sz w:val="20"/>
              </w:rPr>
              <w:t>5.2–8.2</w:t>
            </w:r>
          </w:p>
        </w:tc>
        <w:tc>
          <w:tcPr>
            <w:tcW w:w="1276" w:type="dxa"/>
          </w:tcPr>
          <w:p w14:paraId="408FAA26" w14:textId="77777777" w:rsidR="00400E47" w:rsidRPr="009C4CB5" w:rsidRDefault="00400E47" w:rsidP="00677B0A">
            <w:pPr>
              <w:jc w:val="center"/>
              <w:rPr>
                <w:sz w:val="20"/>
              </w:rPr>
            </w:pPr>
            <w:r w:rsidRPr="009C4CB5">
              <w:rPr>
                <w:sz w:val="20"/>
              </w:rPr>
              <w:t>&gt;8.2</w:t>
            </w:r>
          </w:p>
        </w:tc>
      </w:tr>
      <w:tr w:rsidR="00400E47" w14:paraId="3E70D3E2" w14:textId="77777777" w:rsidTr="001C6C1E">
        <w:tc>
          <w:tcPr>
            <w:tcW w:w="3114" w:type="dxa"/>
          </w:tcPr>
          <w:p w14:paraId="474016B8" w14:textId="77777777" w:rsidR="00400E47" w:rsidRPr="009C4CB5" w:rsidRDefault="00400E47" w:rsidP="00677B0A">
            <w:pPr>
              <w:rPr>
                <w:sz w:val="20"/>
              </w:rPr>
            </w:pPr>
            <w:r w:rsidRPr="009C4CB5">
              <w:rPr>
                <w:sz w:val="20"/>
              </w:rPr>
              <w:t>Soil textural class</w:t>
            </w:r>
          </w:p>
        </w:tc>
        <w:tc>
          <w:tcPr>
            <w:tcW w:w="1276" w:type="dxa"/>
          </w:tcPr>
          <w:p w14:paraId="00B46BBC" w14:textId="77777777" w:rsidR="00400E47" w:rsidRPr="009C4CB5" w:rsidRDefault="00400E47" w:rsidP="00677B0A">
            <w:pPr>
              <w:jc w:val="center"/>
              <w:rPr>
                <w:sz w:val="20"/>
              </w:rPr>
            </w:pPr>
            <w:r w:rsidRPr="009C4CB5">
              <w:rPr>
                <w:sz w:val="20"/>
              </w:rPr>
              <w:t>coarse</w:t>
            </w:r>
          </w:p>
        </w:tc>
        <w:tc>
          <w:tcPr>
            <w:tcW w:w="1275" w:type="dxa"/>
          </w:tcPr>
          <w:p w14:paraId="2495CB70" w14:textId="77777777" w:rsidR="00400E47" w:rsidRPr="009C4CB5" w:rsidRDefault="00400E47" w:rsidP="00677B0A">
            <w:pPr>
              <w:jc w:val="center"/>
              <w:rPr>
                <w:sz w:val="20"/>
              </w:rPr>
            </w:pPr>
            <w:r w:rsidRPr="009C4CB5">
              <w:rPr>
                <w:sz w:val="20"/>
              </w:rPr>
              <w:t>medium</w:t>
            </w:r>
          </w:p>
        </w:tc>
        <w:tc>
          <w:tcPr>
            <w:tcW w:w="1701" w:type="dxa"/>
          </w:tcPr>
          <w:p w14:paraId="21AA4DC0" w14:textId="77777777" w:rsidR="00400E47" w:rsidRPr="009C4CB5" w:rsidRDefault="00400E47" w:rsidP="00677B0A">
            <w:pPr>
              <w:jc w:val="center"/>
              <w:rPr>
                <w:sz w:val="20"/>
              </w:rPr>
            </w:pPr>
            <w:r>
              <w:rPr>
                <w:sz w:val="20"/>
              </w:rPr>
              <w:t>m</w:t>
            </w:r>
            <w:r w:rsidRPr="009C4CB5">
              <w:rPr>
                <w:sz w:val="20"/>
              </w:rPr>
              <w:t>ediu</w:t>
            </w:r>
            <w:r>
              <w:rPr>
                <w:sz w:val="20"/>
              </w:rPr>
              <w:t>m</w:t>
            </w:r>
            <w:r w:rsidRPr="009C4CB5">
              <w:rPr>
                <w:sz w:val="20"/>
              </w:rPr>
              <w:t>-fine</w:t>
            </w:r>
          </w:p>
        </w:tc>
        <w:tc>
          <w:tcPr>
            <w:tcW w:w="1276" w:type="dxa"/>
          </w:tcPr>
          <w:p w14:paraId="1D75775C" w14:textId="77777777" w:rsidR="00400E47" w:rsidRPr="009C4CB5" w:rsidRDefault="00400E47" w:rsidP="00677B0A">
            <w:pPr>
              <w:jc w:val="center"/>
              <w:rPr>
                <w:sz w:val="20"/>
              </w:rPr>
            </w:pPr>
            <w:r w:rsidRPr="009C4CB5">
              <w:rPr>
                <w:sz w:val="20"/>
              </w:rPr>
              <w:t>fine</w:t>
            </w:r>
          </w:p>
        </w:tc>
      </w:tr>
      <w:tr w:rsidR="00400E47" w14:paraId="3C33CBB6" w14:textId="77777777" w:rsidTr="001C6C1E">
        <w:tc>
          <w:tcPr>
            <w:tcW w:w="3114" w:type="dxa"/>
          </w:tcPr>
          <w:p w14:paraId="097D63ED" w14:textId="77777777" w:rsidR="00400E47" w:rsidRPr="009C4CB5" w:rsidRDefault="00400E47" w:rsidP="00677B0A">
            <w:pPr>
              <w:rPr>
                <w:sz w:val="20"/>
              </w:rPr>
            </w:pPr>
            <w:r w:rsidRPr="009C4CB5">
              <w:rPr>
                <w:sz w:val="20"/>
              </w:rPr>
              <w:t>Organic matter (%)</w:t>
            </w:r>
          </w:p>
        </w:tc>
        <w:tc>
          <w:tcPr>
            <w:tcW w:w="1276" w:type="dxa"/>
          </w:tcPr>
          <w:p w14:paraId="2A6F3C96" w14:textId="77777777" w:rsidR="00400E47" w:rsidRPr="009C4CB5" w:rsidRDefault="00400E47" w:rsidP="00677B0A">
            <w:pPr>
              <w:jc w:val="center"/>
              <w:rPr>
                <w:sz w:val="20"/>
              </w:rPr>
            </w:pPr>
            <w:r w:rsidRPr="009C4CB5">
              <w:rPr>
                <w:sz w:val="20"/>
              </w:rPr>
              <w:t>&lt;1</w:t>
            </w:r>
          </w:p>
        </w:tc>
        <w:tc>
          <w:tcPr>
            <w:tcW w:w="1275" w:type="dxa"/>
          </w:tcPr>
          <w:p w14:paraId="087416E5" w14:textId="77777777" w:rsidR="00400E47" w:rsidRPr="009C4CB5" w:rsidRDefault="00400E47" w:rsidP="00677B0A">
            <w:pPr>
              <w:jc w:val="center"/>
              <w:rPr>
                <w:sz w:val="20"/>
              </w:rPr>
            </w:pPr>
            <w:r w:rsidRPr="009C4CB5">
              <w:rPr>
                <w:sz w:val="20"/>
              </w:rPr>
              <w:t>1–2</w:t>
            </w:r>
          </w:p>
        </w:tc>
        <w:tc>
          <w:tcPr>
            <w:tcW w:w="1701" w:type="dxa"/>
          </w:tcPr>
          <w:p w14:paraId="689EFED8" w14:textId="77777777" w:rsidR="00400E47" w:rsidRPr="009C4CB5" w:rsidRDefault="00400E47" w:rsidP="00677B0A">
            <w:pPr>
              <w:jc w:val="center"/>
              <w:rPr>
                <w:sz w:val="20"/>
              </w:rPr>
            </w:pPr>
            <w:r w:rsidRPr="009C4CB5">
              <w:rPr>
                <w:sz w:val="20"/>
              </w:rPr>
              <w:t>2–4</w:t>
            </w:r>
          </w:p>
        </w:tc>
        <w:tc>
          <w:tcPr>
            <w:tcW w:w="1276" w:type="dxa"/>
          </w:tcPr>
          <w:p w14:paraId="36A39264" w14:textId="77777777" w:rsidR="00400E47" w:rsidRPr="009C4CB5" w:rsidRDefault="00400E47" w:rsidP="00677B0A">
            <w:pPr>
              <w:jc w:val="center"/>
              <w:rPr>
                <w:sz w:val="20"/>
              </w:rPr>
            </w:pPr>
            <w:r w:rsidRPr="009C4CB5">
              <w:rPr>
                <w:sz w:val="20"/>
              </w:rPr>
              <w:t>&gt;4</w:t>
            </w:r>
          </w:p>
        </w:tc>
      </w:tr>
      <w:tr w:rsidR="00400E47" w14:paraId="2C3CF248" w14:textId="77777777" w:rsidTr="001C6C1E">
        <w:tc>
          <w:tcPr>
            <w:tcW w:w="3114" w:type="dxa"/>
          </w:tcPr>
          <w:p w14:paraId="2A1AE69A" w14:textId="77777777" w:rsidR="00400E47" w:rsidRPr="009C4CB5" w:rsidRDefault="00400E47" w:rsidP="00677B0A">
            <w:pPr>
              <w:rPr>
                <w:sz w:val="20"/>
              </w:rPr>
            </w:pPr>
            <w:r w:rsidRPr="009C4CB5">
              <w:rPr>
                <w:sz w:val="20"/>
              </w:rPr>
              <w:t>potential evapotranspiration (mm)</w:t>
            </w:r>
          </w:p>
        </w:tc>
        <w:tc>
          <w:tcPr>
            <w:tcW w:w="1276" w:type="dxa"/>
          </w:tcPr>
          <w:p w14:paraId="650D617C" w14:textId="77777777" w:rsidR="00400E47" w:rsidRPr="009C4CB5" w:rsidRDefault="00400E47" w:rsidP="00677B0A">
            <w:pPr>
              <w:jc w:val="center"/>
              <w:rPr>
                <w:sz w:val="20"/>
              </w:rPr>
            </w:pPr>
            <w:r w:rsidRPr="009C4CB5">
              <w:rPr>
                <w:sz w:val="20"/>
              </w:rPr>
              <w:t>&lt; -500</w:t>
            </w:r>
          </w:p>
        </w:tc>
        <w:tc>
          <w:tcPr>
            <w:tcW w:w="1275" w:type="dxa"/>
          </w:tcPr>
          <w:p w14:paraId="4D61AD16" w14:textId="77777777" w:rsidR="00400E47" w:rsidRPr="009C4CB5" w:rsidRDefault="00400E47" w:rsidP="00677B0A">
            <w:pPr>
              <w:jc w:val="center"/>
              <w:rPr>
                <w:sz w:val="20"/>
              </w:rPr>
            </w:pPr>
            <w:r w:rsidRPr="009C4CB5">
              <w:rPr>
                <w:sz w:val="20"/>
              </w:rPr>
              <w:t>-500 - 500</w:t>
            </w:r>
          </w:p>
        </w:tc>
        <w:tc>
          <w:tcPr>
            <w:tcW w:w="1701" w:type="dxa"/>
          </w:tcPr>
          <w:p w14:paraId="3739F311" w14:textId="77777777" w:rsidR="00400E47" w:rsidRPr="009C4CB5" w:rsidRDefault="00400E47" w:rsidP="00677B0A">
            <w:pPr>
              <w:jc w:val="center"/>
              <w:rPr>
                <w:sz w:val="20"/>
              </w:rPr>
            </w:pPr>
            <w:r w:rsidRPr="009C4CB5">
              <w:rPr>
                <w:sz w:val="20"/>
              </w:rPr>
              <w:t>&gt;500</w:t>
            </w:r>
          </w:p>
        </w:tc>
        <w:tc>
          <w:tcPr>
            <w:tcW w:w="1276" w:type="dxa"/>
          </w:tcPr>
          <w:p w14:paraId="452EB75B" w14:textId="77777777" w:rsidR="00400E47" w:rsidRPr="009C4CB5" w:rsidRDefault="00400E47" w:rsidP="00677B0A">
            <w:pPr>
              <w:jc w:val="center"/>
              <w:rPr>
                <w:sz w:val="20"/>
              </w:rPr>
            </w:pPr>
          </w:p>
        </w:tc>
      </w:tr>
      <w:tr w:rsidR="00400E47" w14:paraId="0A9BD220" w14:textId="77777777" w:rsidTr="001C6C1E">
        <w:tc>
          <w:tcPr>
            <w:tcW w:w="3114" w:type="dxa"/>
          </w:tcPr>
          <w:p w14:paraId="39276DED" w14:textId="77777777" w:rsidR="00400E47" w:rsidRPr="009C4CB5" w:rsidRDefault="00400E47" w:rsidP="00677B0A">
            <w:pPr>
              <w:jc w:val="left"/>
              <w:rPr>
                <w:sz w:val="20"/>
              </w:rPr>
            </w:pPr>
            <w:r w:rsidRPr="009C4CB5">
              <w:rPr>
                <w:sz w:val="20"/>
              </w:rPr>
              <w:t>Annual average</w:t>
            </w:r>
            <w:r>
              <w:rPr>
                <w:sz w:val="20"/>
              </w:rPr>
              <w:t xml:space="preserve"> </w:t>
            </w:r>
            <w:r w:rsidRPr="009C4CB5">
              <w:rPr>
                <w:sz w:val="20"/>
              </w:rPr>
              <w:t>temperature (°)</w:t>
            </w:r>
          </w:p>
        </w:tc>
        <w:tc>
          <w:tcPr>
            <w:tcW w:w="1276" w:type="dxa"/>
          </w:tcPr>
          <w:p w14:paraId="38B0F8A9" w14:textId="77777777" w:rsidR="00400E47" w:rsidRPr="009C4CB5" w:rsidRDefault="00400E47" w:rsidP="00677B0A">
            <w:pPr>
              <w:jc w:val="center"/>
              <w:rPr>
                <w:sz w:val="20"/>
              </w:rPr>
            </w:pPr>
            <w:r w:rsidRPr="009C4CB5">
              <w:rPr>
                <w:sz w:val="20"/>
              </w:rPr>
              <w:t>&lt;5</w:t>
            </w:r>
          </w:p>
        </w:tc>
        <w:tc>
          <w:tcPr>
            <w:tcW w:w="1275" w:type="dxa"/>
          </w:tcPr>
          <w:p w14:paraId="784043E2" w14:textId="77777777" w:rsidR="00400E47" w:rsidRPr="009C4CB5" w:rsidRDefault="00400E47" w:rsidP="00677B0A">
            <w:pPr>
              <w:jc w:val="center"/>
              <w:rPr>
                <w:sz w:val="20"/>
              </w:rPr>
            </w:pPr>
            <w:r w:rsidRPr="009C4CB5">
              <w:rPr>
                <w:sz w:val="20"/>
              </w:rPr>
              <w:t>5–20</w:t>
            </w:r>
          </w:p>
        </w:tc>
        <w:tc>
          <w:tcPr>
            <w:tcW w:w="1701" w:type="dxa"/>
          </w:tcPr>
          <w:p w14:paraId="547922CC" w14:textId="77777777" w:rsidR="00400E47" w:rsidRPr="009C4CB5" w:rsidRDefault="00400E47" w:rsidP="00677B0A">
            <w:pPr>
              <w:jc w:val="center"/>
              <w:rPr>
                <w:sz w:val="20"/>
              </w:rPr>
            </w:pPr>
            <w:r w:rsidRPr="009C4CB5">
              <w:rPr>
                <w:sz w:val="20"/>
              </w:rPr>
              <w:t>&gt;20</w:t>
            </w:r>
          </w:p>
        </w:tc>
        <w:tc>
          <w:tcPr>
            <w:tcW w:w="1276" w:type="dxa"/>
          </w:tcPr>
          <w:p w14:paraId="4638C2F4" w14:textId="77777777" w:rsidR="00400E47" w:rsidRPr="009C4CB5" w:rsidRDefault="00400E47" w:rsidP="00677B0A">
            <w:pPr>
              <w:jc w:val="center"/>
              <w:rPr>
                <w:sz w:val="20"/>
              </w:rPr>
            </w:pPr>
          </w:p>
        </w:tc>
      </w:tr>
      <w:tr w:rsidR="00400E47" w14:paraId="4BBB627D" w14:textId="77777777" w:rsidTr="001C6C1E">
        <w:tc>
          <w:tcPr>
            <w:tcW w:w="3114" w:type="dxa"/>
          </w:tcPr>
          <w:p w14:paraId="16D8D40B" w14:textId="77777777" w:rsidR="00400E47" w:rsidRPr="009C4CB5" w:rsidRDefault="00400E47" w:rsidP="00677B0A">
            <w:pPr>
              <w:rPr>
                <w:sz w:val="20"/>
              </w:rPr>
            </w:pPr>
            <w:r w:rsidRPr="009C4CB5">
              <w:rPr>
                <w:sz w:val="20"/>
              </w:rPr>
              <w:t>Soil biomass productivity</w:t>
            </w:r>
          </w:p>
        </w:tc>
        <w:tc>
          <w:tcPr>
            <w:tcW w:w="1276" w:type="dxa"/>
          </w:tcPr>
          <w:p w14:paraId="174B693D" w14:textId="77777777" w:rsidR="00400E47" w:rsidRPr="009C4CB5" w:rsidRDefault="00400E47" w:rsidP="00677B0A">
            <w:pPr>
              <w:jc w:val="center"/>
              <w:rPr>
                <w:sz w:val="20"/>
              </w:rPr>
            </w:pPr>
            <w:r w:rsidRPr="009C4CB5">
              <w:rPr>
                <w:sz w:val="20"/>
              </w:rPr>
              <w:t>Poor</w:t>
            </w:r>
          </w:p>
        </w:tc>
        <w:tc>
          <w:tcPr>
            <w:tcW w:w="1275" w:type="dxa"/>
          </w:tcPr>
          <w:p w14:paraId="43110853" w14:textId="77777777" w:rsidR="00400E47" w:rsidRPr="009C4CB5" w:rsidRDefault="00400E47" w:rsidP="00677B0A">
            <w:pPr>
              <w:jc w:val="center"/>
              <w:rPr>
                <w:sz w:val="20"/>
              </w:rPr>
            </w:pPr>
            <w:r w:rsidRPr="009C4CB5">
              <w:rPr>
                <w:sz w:val="20"/>
              </w:rPr>
              <w:t>average</w:t>
            </w:r>
          </w:p>
        </w:tc>
        <w:tc>
          <w:tcPr>
            <w:tcW w:w="1701" w:type="dxa"/>
          </w:tcPr>
          <w:p w14:paraId="7F7936B5" w14:textId="77777777" w:rsidR="00400E47" w:rsidRPr="009C4CB5" w:rsidRDefault="00400E47" w:rsidP="00677B0A">
            <w:pPr>
              <w:jc w:val="center"/>
              <w:rPr>
                <w:sz w:val="20"/>
              </w:rPr>
            </w:pPr>
            <w:r w:rsidRPr="009C4CB5">
              <w:rPr>
                <w:sz w:val="20"/>
              </w:rPr>
              <w:t>good</w:t>
            </w:r>
          </w:p>
        </w:tc>
        <w:tc>
          <w:tcPr>
            <w:tcW w:w="1276" w:type="dxa"/>
          </w:tcPr>
          <w:p w14:paraId="6834C6CC" w14:textId="77777777" w:rsidR="00400E47" w:rsidRPr="009C4CB5" w:rsidRDefault="00400E47" w:rsidP="00677B0A">
            <w:pPr>
              <w:jc w:val="center"/>
              <w:rPr>
                <w:sz w:val="20"/>
              </w:rPr>
            </w:pPr>
          </w:p>
        </w:tc>
      </w:tr>
      <w:tr w:rsidR="00400E47" w14:paraId="7BFD22C9" w14:textId="77777777" w:rsidTr="001C6C1E">
        <w:tc>
          <w:tcPr>
            <w:tcW w:w="3114" w:type="dxa"/>
          </w:tcPr>
          <w:p w14:paraId="6EBE4234" w14:textId="77777777" w:rsidR="00400E47" w:rsidRPr="009C4CB5" w:rsidRDefault="00400E47" w:rsidP="00677B0A">
            <w:pPr>
              <w:rPr>
                <w:sz w:val="20"/>
              </w:rPr>
            </w:pPr>
            <w:r w:rsidRPr="009C4CB5">
              <w:rPr>
                <w:sz w:val="20"/>
              </w:rPr>
              <w:t>Land Use/Land cover</w:t>
            </w:r>
          </w:p>
        </w:tc>
        <w:tc>
          <w:tcPr>
            <w:tcW w:w="1276" w:type="dxa"/>
          </w:tcPr>
          <w:p w14:paraId="13FEBB35" w14:textId="77777777" w:rsidR="00400E47" w:rsidRPr="009C4CB5" w:rsidRDefault="00400E47" w:rsidP="00677B0A">
            <w:pPr>
              <w:jc w:val="center"/>
              <w:rPr>
                <w:sz w:val="20"/>
              </w:rPr>
            </w:pPr>
            <w:r w:rsidRPr="009C4CB5">
              <w:rPr>
                <w:sz w:val="20"/>
              </w:rPr>
              <w:t>Artificial</w:t>
            </w:r>
          </w:p>
        </w:tc>
        <w:tc>
          <w:tcPr>
            <w:tcW w:w="1275" w:type="dxa"/>
          </w:tcPr>
          <w:p w14:paraId="2E608C8A" w14:textId="77777777" w:rsidR="00400E47" w:rsidRPr="009C4CB5" w:rsidRDefault="00400E47" w:rsidP="00677B0A">
            <w:pPr>
              <w:jc w:val="center"/>
              <w:rPr>
                <w:sz w:val="20"/>
              </w:rPr>
            </w:pPr>
            <w:r w:rsidRPr="009C4CB5">
              <w:rPr>
                <w:sz w:val="20"/>
              </w:rPr>
              <w:t>Arable</w:t>
            </w:r>
          </w:p>
        </w:tc>
        <w:tc>
          <w:tcPr>
            <w:tcW w:w="1701" w:type="dxa"/>
          </w:tcPr>
          <w:p w14:paraId="48FC4B05" w14:textId="77777777" w:rsidR="00400E47" w:rsidRPr="009C4CB5" w:rsidRDefault="00400E47" w:rsidP="00677B0A">
            <w:pPr>
              <w:jc w:val="center"/>
              <w:rPr>
                <w:sz w:val="20"/>
              </w:rPr>
            </w:pPr>
            <w:r w:rsidRPr="009C4CB5">
              <w:rPr>
                <w:sz w:val="20"/>
              </w:rPr>
              <w:t>Permanent</w:t>
            </w:r>
            <w:r>
              <w:rPr>
                <w:sz w:val="20"/>
              </w:rPr>
              <w:t xml:space="preserve"> </w:t>
            </w:r>
            <w:r w:rsidRPr="009C4CB5">
              <w:rPr>
                <w:sz w:val="20"/>
              </w:rPr>
              <w:t>crops</w:t>
            </w:r>
          </w:p>
        </w:tc>
        <w:tc>
          <w:tcPr>
            <w:tcW w:w="1276" w:type="dxa"/>
          </w:tcPr>
          <w:p w14:paraId="11D6E433" w14:textId="77777777" w:rsidR="00400E47" w:rsidRPr="009C4CB5" w:rsidRDefault="00400E47" w:rsidP="00677B0A">
            <w:pPr>
              <w:jc w:val="center"/>
              <w:rPr>
                <w:sz w:val="20"/>
              </w:rPr>
            </w:pPr>
            <w:r w:rsidRPr="009C4CB5">
              <w:rPr>
                <w:sz w:val="20"/>
              </w:rPr>
              <w:t>Others</w:t>
            </w:r>
          </w:p>
        </w:tc>
      </w:tr>
    </w:tbl>
    <w:p w14:paraId="392C63F1" w14:textId="09367655" w:rsidR="00400E47" w:rsidRDefault="00400E47" w:rsidP="00714D8B">
      <w:pPr>
        <w:pStyle w:val="EEASource"/>
      </w:pPr>
      <w:r>
        <w:t>S</w:t>
      </w:r>
      <w:r w:rsidRPr="00AD735A">
        <w:t xml:space="preserve">ource: </w:t>
      </w:r>
      <w:r w:rsidR="00714D8B">
        <w:tab/>
      </w:r>
      <w:r w:rsidRPr="00AD735A">
        <w:t>Aksoy et al.</w:t>
      </w:r>
      <w:r>
        <w:t>,</w:t>
      </w:r>
      <w:r w:rsidRPr="00AD735A">
        <w:t xml:space="preserve"> </w:t>
      </w:r>
      <w:r>
        <w:t>(</w:t>
      </w:r>
      <w:r w:rsidRPr="00AD735A">
        <w:t>2017)</w:t>
      </w:r>
    </w:p>
    <w:p w14:paraId="7702F62E" w14:textId="77777777" w:rsidR="00400E47" w:rsidRDefault="00400E47" w:rsidP="00400E47">
      <w:pPr>
        <w:spacing w:before="120"/>
      </w:pPr>
    </w:p>
    <w:p w14:paraId="47AB368D" w14:textId="7EF19189" w:rsidR="00400E47" w:rsidRDefault="00400E47" w:rsidP="00400E47">
      <w:r>
        <w:t xml:space="preserve">A similar approach has also been suggested by Römbke et al. (2016) </w:t>
      </w:r>
      <w:r w:rsidRPr="000B6094">
        <w:t>and Hallin et al. (2016). However</w:t>
      </w:r>
      <w:r>
        <w:t>, they propose Operating Ranges (OR) for specific soil animals and microorganisms, defined as a range for a specific parameter (</w:t>
      </w:r>
      <w:r w:rsidR="00027A63">
        <w:t>e.g.,</w:t>
      </w:r>
      <w:r>
        <w:t xml:space="preserve"> temperature, pH), which is tolerated by that species. Romeu et al. (2016) provide an example of establishing these ranges across Europe under different land uses and in different biogeographical regions. The operating ranges for key soil organisms (species, groups) or functions could be adopted to evaluate the environmental performance of farms and the environmental efficiency of different agronomic practices and different environmental gradients. The cited studies have shown evidence that diversity and composition of faunal and microbial communities affect ecosystem functioning under fluctuating conditions.</w:t>
      </w:r>
    </w:p>
    <w:p w14:paraId="0E58922C" w14:textId="77777777" w:rsidR="00400E47" w:rsidRDefault="00400E47" w:rsidP="00400E47"/>
    <w:p w14:paraId="76EC5861" w14:textId="696DF52F" w:rsidR="00400E47" w:rsidRDefault="00400E47" w:rsidP="00400E47">
      <w:r>
        <w:t xml:space="preserve">The living conditions for ectomycorrhizal fungi in </w:t>
      </w:r>
      <w:r w:rsidR="00027A63">
        <w:t>European</w:t>
      </w:r>
      <w:r>
        <w:t xml:space="preserve"> forests were studied by Van der Linde et al (2018).</w:t>
      </w:r>
      <w:r w:rsidRPr="006D0D14">
        <w:t xml:space="preserve"> </w:t>
      </w:r>
      <w:r>
        <w:t>Because ectomycorrhizal fungi are strongly determined by the soil environment, thresholds could be determined for</w:t>
      </w:r>
      <w:r w:rsidRPr="00CB5AF4">
        <w:t xml:space="preserve"> key environmental variables</w:t>
      </w:r>
      <w:r>
        <w:t xml:space="preserve">, correlated with the abundance of the studied fungi. The </w:t>
      </w:r>
      <w:r>
        <w:lastRenderedPageBreak/>
        <w:t>authors investigated 1,406 operational taxonomic units (OTUs), from a total of 25,196 samples. Table 6-5 presents the results, which may serve as a baseline to assess future change and resilience of forest fungi.</w:t>
      </w:r>
    </w:p>
    <w:p w14:paraId="64077C7E" w14:textId="77777777" w:rsidR="00400E47" w:rsidRDefault="00400E47" w:rsidP="00400E47"/>
    <w:p w14:paraId="0E3FE656" w14:textId="3B146640" w:rsidR="00400E47" w:rsidRPr="00AD735A" w:rsidRDefault="00400E47" w:rsidP="001C6C1E">
      <w:pPr>
        <w:pStyle w:val="EEALabel"/>
      </w:pPr>
      <w:bookmarkStart w:id="324" w:name="_Toc83997526"/>
      <w:r w:rsidRPr="00AD735A">
        <w:t xml:space="preserve">Table </w:t>
      </w:r>
      <w:r w:rsidRPr="00AD735A">
        <w:fldChar w:fldCharType="begin"/>
      </w:r>
      <w:r w:rsidRPr="00AD735A">
        <w:instrText xml:space="preserve"> STYLEREF 1 \s </w:instrText>
      </w:r>
      <w:r w:rsidRPr="00AD735A">
        <w:fldChar w:fldCharType="separate"/>
      </w:r>
      <w:r w:rsidR="0067767C">
        <w:rPr>
          <w:noProof/>
        </w:rPr>
        <w:t>6</w:t>
      </w:r>
      <w:r w:rsidRPr="00AD735A">
        <w:fldChar w:fldCharType="end"/>
      </w:r>
      <w:r w:rsidRPr="00AD735A">
        <w:noBreakHyphen/>
      </w:r>
      <w:r w:rsidRPr="00AD735A">
        <w:fldChar w:fldCharType="begin"/>
      </w:r>
      <w:r w:rsidRPr="00AD735A">
        <w:instrText xml:space="preserve"> SEQ Table \* ARABIC \s 1 </w:instrText>
      </w:r>
      <w:r w:rsidRPr="00AD735A">
        <w:fldChar w:fldCharType="separate"/>
      </w:r>
      <w:r w:rsidR="0067767C">
        <w:rPr>
          <w:noProof/>
        </w:rPr>
        <w:t>5</w:t>
      </w:r>
      <w:r w:rsidRPr="00AD735A">
        <w:fldChar w:fldCharType="end"/>
      </w:r>
      <w:r w:rsidRPr="00AD735A">
        <w:t>:</w:t>
      </w:r>
      <w:r w:rsidRPr="00AD735A">
        <w:tab/>
        <w:t>Environmental thresholds for operational taxonomic units (OTUs) of ectomycorrhizal fungi</w:t>
      </w:r>
      <w:bookmarkEnd w:id="324"/>
      <w:r w:rsidRPr="00AD735A">
        <w:t xml:space="preserve"> </w:t>
      </w:r>
    </w:p>
    <w:p w14:paraId="1156805F" w14:textId="77777777" w:rsidR="001C6C1E" w:rsidRDefault="001C6C1E"/>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256"/>
        <w:gridCol w:w="2126"/>
        <w:gridCol w:w="2126"/>
      </w:tblGrid>
      <w:tr w:rsidR="00400E47" w:rsidRPr="00925044" w14:paraId="036F5E2A" w14:textId="77777777" w:rsidTr="001C6C1E">
        <w:tc>
          <w:tcPr>
            <w:tcW w:w="3256" w:type="dxa"/>
            <w:shd w:val="clear" w:color="auto" w:fill="F2F2F2" w:themeFill="background1" w:themeFillShade="F2"/>
          </w:tcPr>
          <w:p w14:paraId="44742EAF" w14:textId="77777777" w:rsidR="00400E47" w:rsidRPr="00925044" w:rsidRDefault="00400E47" w:rsidP="00677B0A">
            <w:pPr>
              <w:rPr>
                <w:b/>
                <w:bCs/>
                <w:sz w:val="20"/>
              </w:rPr>
            </w:pPr>
            <w:r w:rsidRPr="00925044">
              <w:rPr>
                <w:b/>
                <w:bCs/>
                <w:sz w:val="20"/>
              </w:rPr>
              <w:t>Variable</w:t>
            </w:r>
          </w:p>
        </w:tc>
        <w:tc>
          <w:tcPr>
            <w:tcW w:w="2126" w:type="dxa"/>
            <w:shd w:val="clear" w:color="auto" w:fill="F2F2F2" w:themeFill="background1" w:themeFillShade="F2"/>
          </w:tcPr>
          <w:p w14:paraId="382FC751" w14:textId="77777777" w:rsidR="00400E47" w:rsidRPr="00925044" w:rsidRDefault="00400E47" w:rsidP="00677B0A">
            <w:pPr>
              <w:jc w:val="center"/>
              <w:rPr>
                <w:b/>
                <w:bCs/>
                <w:sz w:val="20"/>
              </w:rPr>
            </w:pPr>
            <w:r w:rsidRPr="00925044">
              <w:rPr>
                <w:b/>
                <w:bCs/>
                <w:sz w:val="20"/>
              </w:rPr>
              <w:t>Decreasing OTUs</w:t>
            </w:r>
          </w:p>
        </w:tc>
        <w:tc>
          <w:tcPr>
            <w:tcW w:w="2126" w:type="dxa"/>
            <w:shd w:val="clear" w:color="auto" w:fill="F2F2F2" w:themeFill="background1" w:themeFillShade="F2"/>
          </w:tcPr>
          <w:p w14:paraId="1BFE3CCE" w14:textId="77777777" w:rsidR="00400E47" w:rsidRPr="00925044" w:rsidRDefault="00400E47" w:rsidP="00677B0A">
            <w:pPr>
              <w:jc w:val="center"/>
              <w:rPr>
                <w:b/>
                <w:bCs/>
                <w:sz w:val="20"/>
              </w:rPr>
            </w:pPr>
            <w:r w:rsidRPr="00925044">
              <w:rPr>
                <w:b/>
                <w:bCs/>
                <w:sz w:val="20"/>
              </w:rPr>
              <w:t>Increasing OTUs</w:t>
            </w:r>
          </w:p>
        </w:tc>
      </w:tr>
      <w:tr w:rsidR="00400E47" w14:paraId="21F0CF46" w14:textId="77777777" w:rsidTr="001C6C1E">
        <w:tc>
          <w:tcPr>
            <w:tcW w:w="3256" w:type="dxa"/>
          </w:tcPr>
          <w:p w14:paraId="627C34FE" w14:textId="77777777" w:rsidR="00400E47" w:rsidRPr="004E720B" w:rsidRDefault="00400E47" w:rsidP="00677B0A">
            <w:pPr>
              <w:rPr>
                <w:sz w:val="20"/>
              </w:rPr>
            </w:pPr>
            <w:r w:rsidRPr="004E720B">
              <w:rPr>
                <w:sz w:val="20"/>
              </w:rPr>
              <w:t>Nitrogen throughfall deposition</w:t>
            </w:r>
          </w:p>
        </w:tc>
        <w:tc>
          <w:tcPr>
            <w:tcW w:w="2126" w:type="dxa"/>
          </w:tcPr>
          <w:p w14:paraId="5209D5E7" w14:textId="77777777" w:rsidR="00400E47" w:rsidRPr="004E720B" w:rsidRDefault="00400E47" w:rsidP="00677B0A">
            <w:pPr>
              <w:jc w:val="center"/>
              <w:rPr>
                <w:sz w:val="20"/>
              </w:rPr>
            </w:pPr>
            <w:r w:rsidRPr="004E720B">
              <w:rPr>
                <w:sz w:val="20"/>
              </w:rPr>
              <w:t>5.8 kg N ha</w:t>
            </w:r>
            <w:r w:rsidRPr="004E720B">
              <w:rPr>
                <w:sz w:val="20"/>
                <w:vertAlign w:val="superscript"/>
              </w:rPr>
              <w:t>-1</w:t>
            </w:r>
            <w:r w:rsidRPr="004E720B">
              <w:rPr>
                <w:sz w:val="20"/>
              </w:rPr>
              <w:t>yr</w:t>
            </w:r>
            <w:r w:rsidRPr="004E720B">
              <w:rPr>
                <w:sz w:val="20"/>
                <w:vertAlign w:val="superscript"/>
              </w:rPr>
              <w:t>-1</w:t>
            </w:r>
          </w:p>
        </w:tc>
        <w:tc>
          <w:tcPr>
            <w:tcW w:w="2126" w:type="dxa"/>
          </w:tcPr>
          <w:p w14:paraId="5E5FF2C1" w14:textId="77777777" w:rsidR="00400E47" w:rsidRPr="004E720B" w:rsidRDefault="00400E47" w:rsidP="00677B0A">
            <w:pPr>
              <w:jc w:val="center"/>
              <w:rPr>
                <w:sz w:val="20"/>
              </w:rPr>
            </w:pPr>
            <w:r w:rsidRPr="004E720B">
              <w:rPr>
                <w:sz w:val="20"/>
              </w:rPr>
              <w:t>15.5 kg N ha</w:t>
            </w:r>
            <w:r w:rsidRPr="004E720B">
              <w:rPr>
                <w:sz w:val="20"/>
                <w:vertAlign w:val="superscript"/>
              </w:rPr>
              <w:t>-1</w:t>
            </w:r>
            <w:r w:rsidRPr="004E720B">
              <w:rPr>
                <w:sz w:val="20"/>
              </w:rPr>
              <w:t>yr</w:t>
            </w:r>
            <w:r w:rsidRPr="004E720B">
              <w:rPr>
                <w:sz w:val="20"/>
                <w:vertAlign w:val="superscript"/>
              </w:rPr>
              <w:t>-1</w:t>
            </w:r>
          </w:p>
        </w:tc>
      </w:tr>
      <w:tr w:rsidR="00400E47" w14:paraId="620E401F" w14:textId="77777777" w:rsidTr="001C6C1E">
        <w:tc>
          <w:tcPr>
            <w:tcW w:w="3256" w:type="dxa"/>
          </w:tcPr>
          <w:p w14:paraId="2E4C7F41" w14:textId="77777777" w:rsidR="00400E47" w:rsidRPr="004E720B" w:rsidRDefault="00400E47" w:rsidP="00677B0A">
            <w:pPr>
              <w:rPr>
                <w:sz w:val="20"/>
              </w:rPr>
            </w:pPr>
            <w:r w:rsidRPr="004E720B">
              <w:rPr>
                <w:sz w:val="20"/>
              </w:rPr>
              <w:t>Forest floor pH</w:t>
            </w:r>
          </w:p>
        </w:tc>
        <w:tc>
          <w:tcPr>
            <w:tcW w:w="4252" w:type="dxa"/>
            <w:gridSpan w:val="2"/>
          </w:tcPr>
          <w:p w14:paraId="47BABDC0" w14:textId="77777777" w:rsidR="00400E47" w:rsidRPr="004E720B" w:rsidRDefault="00400E47" w:rsidP="00677B0A">
            <w:pPr>
              <w:jc w:val="center"/>
              <w:rPr>
                <w:sz w:val="20"/>
              </w:rPr>
            </w:pPr>
            <w:r w:rsidRPr="004E720B">
              <w:rPr>
                <w:rFonts w:ascii="TimesNewRoman" w:eastAsiaTheme="minorEastAsia" w:hAnsi="TimesNewRoman" w:cs="TimesNewRoman"/>
                <w:sz w:val="20"/>
                <w:lang w:eastAsia="en-US"/>
              </w:rPr>
              <w:t>3.8</w:t>
            </w:r>
          </w:p>
        </w:tc>
      </w:tr>
      <w:tr w:rsidR="00400E47" w14:paraId="06934248" w14:textId="77777777" w:rsidTr="001C6C1E">
        <w:tc>
          <w:tcPr>
            <w:tcW w:w="3256" w:type="dxa"/>
          </w:tcPr>
          <w:p w14:paraId="57BEC924" w14:textId="77777777" w:rsidR="00400E47" w:rsidRPr="004E720B" w:rsidRDefault="00400E47" w:rsidP="00677B0A">
            <w:pPr>
              <w:jc w:val="left"/>
              <w:rPr>
                <w:sz w:val="20"/>
              </w:rPr>
            </w:pPr>
            <w:r w:rsidRPr="004E720B">
              <w:rPr>
                <w:sz w:val="20"/>
              </w:rPr>
              <w:t>Mean annual air temperature</w:t>
            </w:r>
          </w:p>
        </w:tc>
        <w:tc>
          <w:tcPr>
            <w:tcW w:w="2126" w:type="dxa"/>
          </w:tcPr>
          <w:p w14:paraId="4D3748C9" w14:textId="77777777" w:rsidR="00400E47" w:rsidRPr="004E720B" w:rsidRDefault="00400E47" w:rsidP="00677B0A">
            <w:pPr>
              <w:jc w:val="center"/>
              <w:rPr>
                <w:sz w:val="20"/>
              </w:rPr>
            </w:pPr>
            <w:r w:rsidRPr="004E720B">
              <w:rPr>
                <w:sz w:val="20"/>
              </w:rPr>
              <w:t>7.4°C</w:t>
            </w:r>
          </w:p>
        </w:tc>
        <w:tc>
          <w:tcPr>
            <w:tcW w:w="2126" w:type="dxa"/>
          </w:tcPr>
          <w:p w14:paraId="5CF037A3" w14:textId="77777777" w:rsidR="00400E47" w:rsidRPr="004E720B" w:rsidRDefault="00400E47" w:rsidP="00677B0A">
            <w:pPr>
              <w:jc w:val="center"/>
              <w:rPr>
                <w:sz w:val="20"/>
              </w:rPr>
            </w:pPr>
            <w:r w:rsidRPr="004E720B">
              <w:rPr>
                <w:sz w:val="20"/>
              </w:rPr>
              <w:t>9.1°C</w:t>
            </w:r>
          </w:p>
        </w:tc>
      </w:tr>
      <w:tr w:rsidR="00400E47" w14:paraId="6AC3643B" w14:textId="77777777" w:rsidTr="001C6C1E">
        <w:tc>
          <w:tcPr>
            <w:tcW w:w="3256" w:type="dxa"/>
          </w:tcPr>
          <w:p w14:paraId="5A62845E" w14:textId="77777777" w:rsidR="00400E47" w:rsidRPr="004E720B" w:rsidRDefault="00400E47" w:rsidP="00677B0A">
            <w:pPr>
              <w:rPr>
                <w:sz w:val="20"/>
              </w:rPr>
            </w:pPr>
            <w:r w:rsidRPr="004E720B">
              <w:rPr>
                <w:sz w:val="20"/>
              </w:rPr>
              <w:t>Potassium throughfall deposition</w:t>
            </w:r>
          </w:p>
        </w:tc>
        <w:tc>
          <w:tcPr>
            <w:tcW w:w="2126" w:type="dxa"/>
          </w:tcPr>
          <w:p w14:paraId="107CFD8B" w14:textId="77777777" w:rsidR="00400E47" w:rsidRPr="004E720B" w:rsidRDefault="00400E47" w:rsidP="00677B0A">
            <w:pPr>
              <w:jc w:val="center"/>
              <w:rPr>
                <w:sz w:val="20"/>
              </w:rPr>
            </w:pPr>
            <w:r w:rsidRPr="004E720B">
              <w:rPr>
                <w:sz w:val="20"/>
              </w:rPr>
              <w:t>6.9 kg K ha</w:t>
            </w:r>
            <w:r w:rsidRPr="004E720B">
              <w:rPr>
                <w:sz w:val="20"/>
                <w:vertAlign w:val="superscript"/>
              </w:rPr>
              <w:t>-1</w:t>
            </w:r>
            <w:r w:rsidRPr="004E720B">
              <w:rPr>
                <w:sz w:val="20"/>
              </w:rPr>
              <w:t>yr</w:t>
            </w:r>
            <w:r w:rsidRPr="004E720B">
              <w:rPr>
                <w:sz w:val="20"/>
                <w:vertAlign w:val="superscript"/>
              </w:rPr>
              <w:t>-1</w:t>
            </w:r>
          </w:p>
        </w:tc>
        <w:tc>
          <w:tcPr>
            <w:tcW w:w="2126" w:type="dxa"/>
          </w:tcPr>
          <w:p w14:paraId="2617667C" w14:textId="77777777" w:rsidR="00400E47" w:rsidRPr="004E720B" w:rsidRDefault="00400E47" w:rsidP="00677B0A">
            <w:pPr>
              <w:jc w:val="center"/>
              <w:rPr>
                <w:sz w:val="20"/>
              </w:rPr>
            </w:pPr>
            <w:r w:rsidRPr="004E720B">
              <w:rPr>
                <w:sz w:val="20"/>
              </w:rPr>
              <w:t>21.7 kg K ha</w:t>
            </w:r>
            <w:r w:rsidRPr="004E720B">
              <w:rPr>
                <w:sz w:val="20"/>
                <w:vertAlign w:val="superscript"/>
              </w:rPr>
              <w:t>-1</w:t>
            </w:r>
            <w:r w:rsidRPr="004E720B">
              <w:rPr>
                <w:sz w:val="20"/>
              </w:rPr>
              <w:t>yr</w:t>
            </w:r>
            <w:r w:rsidRPr="004E720B">
              <w:rPr>
                <w:sz w:val="20"/>
                <w:vertAlign w:val="superscript"/>
              </w:rPr>
              <w:t>-1</w:t>
            </w:r>
          </w:p>
        </w:tc>
      </w:tr>
      <w:tr w:rsidR="00400E47" w14:paraId="4257D09F" w14:textId="77777777" w:rsidTr="001C6C1E">
        <w:tc>
          <w:tcPr>
            <w:tcW w:w="3256" w:type="dxa"/>
          </w:tcPr>
          <w:p w14:paraId="64E92CAF" w14:textId="77777777" w:rsidR="00400E47" w:rsidRPr="004E720B" w:rsidRDefault="00400E47" w:rsidP="00677B0A">
            <w:pPr>
              <w:rPr>
                <w:sz w:val="20"/>
              </w:rPr>
            </w:pPr>
            <w:r w:rsidRPr="004E720B">
              <w:rPr>
                <w:sz w:val="20"/>
              </w:rPr>
              <w:t>Foliar N:P</w:t>
            </w:r>
          </w:p>
        </w:tc>
        <w:tc>
          <w:tcPr>
            <w:tcW w:w="2126" w:type="dxa"/>
          </w:tcPr>
          <w:p w14:paraId="60641C13" w14:textId="77777777" w:rsidR="00400E47" w:rsidRPr="004E720B" w:rsidRDefault="00400E47" w:rsidP="00677B0A">
            <w:pPr>
              <w:jc w:val="center"/>
              <w:rPr>
                <w:sz w:val="20"/>
              </w:rPr>
            </w:pPr>
            <w:r w:rsidRPr="004E720B">
              <w:rPr>
                <w:sz w:val="20"/>
              </w:rPr>
              <w:t>10.2</w:t>
            </w:r>
          </w:p>
        </w:tc>
        <w:tc>
          <w:tcPr>
            <w:tcW w:w="2126" w:type="dxa"/>
          </w:tcPr>
          <w:p w14:paraId="7B95F152" w14:textId="77777777" w:rsidR="00400E47" w:rsidRPr="004E720B" w:rsidRDefault="00400E47" w:rsidP="00677B0A">
            <w:pPr>
              <w:jc w:val="center"/>
              <w:rPr>
                <w:sz w:val="20"/>
              </w:rPr>
            </w:pPr>
            <w:r w:rsidRPr="004E720B">
              <w:rPr>
                <w:sz w:val="20"/>
              </w:rPr>
              <w:t>13.3</w:t>
            </w:r>
          </w:p>
        </w:tc>
      </w:tr>
    </w:tbl>
    <w:p w14:paraId="3DEB4B17" w14:textId="534D21FB" w:rsidR="00400E47" w:rsidRPr="00CF520A" w:rsidRDefault="001C6C1E" w:rsidP="001C6C1E">
      <w:pPr>
        <w:pStyle w:val="EEASource"/>
        <w:rPr>
          <w:strike/>
        </w:rPr>
      </w:pPr>
      <w:r>
        <w:t>S</w:t>
      </w:r>
      <w:r w:rsidRPr="00AD735A">
        <w:t xml:space="preserve">ource: </w:t>
      </w:r>
      <w:r>
        <w:tab/>
      </w:r>
      <w:r w:rsidRPr="00AD735A">
        <w:t>Van der Linde et al., 2018</w:t>
      </w:r>
    </w:p>
    <w:p w14:paraId="06AC7758" w14:textId="77777777" w:rsidR="00400E47" w:rsidRPr="00CF520A" w:rsidRDefault="00400E47" w:rsidP="00400E47">
      <w:pPr>
        <w:rPr>
          <w:strike/>
        </w:rPr>
      </w:pPr>
    </w:p>
    <w:p w14:paraId="3841604E" w14:textId="35EF1F04" w:rsidR="00C24D95" w:rsidRDefault="00C24D95">
      <w:pPr>
        <w:suppressAutoHyphens w:val="0"/>
        <w:jc w:val="left"/>
      </w:pPr>
      <w:r>
        <w:br w:type="page"/>
      </w:r>
    </w:p>
    <w:p w14:paraId="38415537" w14:textId="16D31167" w:rsidR="00F73B24" w:rsidRDefault="00F73B24" w:rsidP="00CB1493">
      <w:pPr>
        <w:pStyle w:val="berschrift1"/>
        <w:tabs>
          <w:tab w:val="clear" w:pos="567"/>
        </w:tabs>
        <w:spacing w:after="120"/>
        <w:ind w:left="567" w:hanging="567"/>
      </w:pPr>
      <w:bookmarkStart w:id="325" w:name="_Toc83997379"/>
      <w:r w:rsidRPr="00F73B24">
        <w:lastRenderedPageBreak/>
        <w:t>Soil erosion</w:t>
      </w:r>
      <w:bookmarkEnd w:id="325"/>
    </w:p>
    <w:tbl>
      <w:tblPr>
        <w:tblW w:w="0" w:type="auto"/>
        <w:shd w:val="clear" w:color="auto" w:fill="D9D9D9" w:themeFill="background1" w:themeFillShade="D9"/>
        <w:tblLook w:val="04A0" w:firstRow="1" w:lastRow="0" w:firstColumn="1" w:lastColumn="0" w:noHBand="0" w:noVBand="1"/>
      </w:tblPr>
      <w:tblGrid>
        <w:gridCol w:w="9406"/>
      </w:tblGrid>
      <w:tr w:rsidR="001E6773" w14:paraId="401F6F2F" w14:textId="77777777" w:rsidTr="000C1F05">
        <w:tc>
          <w:tcPr>
            <w:tcW w:w="9406" w:type="dxa"/>
            <w:shd w:val="clear" w:color="auto" w:fill="D9D9D9" w:themeFill="background1" w:themeFillShade="D9"/>
          </w:tcPr>
          <w:p w14:paraId="63B5C8A4" w14:textId="77777777" w:rsidR="001E6773" w:rsidRDefault="001E6773" w:rsidP="00CD55D6">
            <w:pPr>
              <w:pStyle w:val="EEAspacesm"/>
            </w:pPr>
          </w:p>
          <w:p w14:paraId="4FDF2F1E" w14:textId="250E8775" w:rsidR="001E6773" w:rsidRDefault="001E6773" w:rsidP="00653937">
            <w:r>
              <w:t xml:space="preserve">In this chapter the assessment of soil erosion by water is discussed. It specifically addresses rill- and interill erosion </w:t>
            </w:r>
            <w:r w:rsidRPr="0086031E">
              <w:t>and ephemeral gullying</w:t>
            </w:r>
            <w:r>
              <w:t xml:space="preserve">, which can be observed through large scale soil monitoring. </w:t>
            </w:r>
            <w:r w:rsidRPr="00505279">
              <w:t xml:space="preserve">In some parts of Europe, particularly the Mediterranean basin, permanent gullying and badlands are also important degradation forms. </w:t>
            </w:r>
            <w:r>
              <w:t xml:space="preserve">Soil erosion refers to the loss of fertile topsoil material after erosive rain event on sensitive soils, </w:t>
            </w:r>
            <w:r w:rsidR="00715773">
              <w:t xml:space="preserve">largely </w:t>
            </w:r>
            <w:r>
              <w:t xml:space="preserve">in the absence of </w:t>
            </w:r>
            <w:r w:rsidR="00F154C9">
              <w:t xml:space="preserve">sufficient </w:t>
            </w:r>
            <w:r>
              <w:t>vegetation cover. About 13% of arable soils in the European Union are affected by medium to high soil erosion</w:t>
            </w:r>
            <w:r w:rsidR="00DF3FC1">
              <w:t xml:space="preserve"> rates</w:t>
            </w:r>
            <w:r>
              <w:t xml:space="preserve">. </w:t>
            </w:r>
            <w:r w:rsidRPr="000F5666">
              <w:t>The main indicator for soil erosion is the rate of topsoil mass loss</w:t>
            </w:r>
            <w:r>
              <w:t>,</w:t>
            </w:r>
            <w:r w:rsidRPr="000F5666">
              <w:t xml:space="preserve"> which is usually expressed in </w:t>
            </w:r>
            <w:r w:rsidR="00DF3FC1" w:rsidRPr="00DF3FC1">
              <w:t>Mg ha</w:t>
            </w:r>
            <w:r w:rsidR="00DF3FC1" w:rsidRPr="00DF3FC1">
              <w:rPr>
                <w:vertAlign w:val="superscript"/>
              </w:rPr>
              <w:t>-1</w:t>
            </w:r>
            <w:r w:rsidR="00DF3FC1" w:rsidRPr="00DF3FC1">
              <w:t xml:space="preserve"> y</w:t>
            </w:r>
            <w:r w:rsidR="00DF3FC1" w:rsidRPr="00DF3FC1">
              <w:rPr>
                <w:vertAlign w:val="superscript"/>
              </w:rPr>
              <w:t>-1</w:t>
            </w:r>
            <w:r>
              <w:t>. While several generalized thresholds for unacceptable erosion levels were developed, the concept of soil loss tolerance and the implementation of a tiered monitoring is recommended here.</w:t>
            </w:r>
          </w:p>
        </w:tc>
      </w:tr>
    </w:tbl>
    <w:p w14:paraId="10F93D63" w14:textId="77777777" w:rsidR="001E6773" w:rsidRDefault="001E6773" w:rsidP="001E6773"/>
    <w:p w14:paraId="44B4B43D" w14:textId="27D618F3" w:rsidR="001E6773" w:rsidRDefault="001E6773" w:rsidP="001E6773">
      <w:r>
        <w:t xml:space="preserve">Soil erosion </w:t>
      </w:r>
      <w:r w:rsidRPr="00F969BB">
        <w:t xml:space="preserve">is the </w:t>
      </w:r>
      <w:r>
        <w:t>detachment</w:t>
      </w:r>
      <w:r w:rsidR="00BE3D31">
        <w:t xml:space="preserve">, </w:t>
      </w:r>
      <w:r w:rsidR="00BE3D31" w:rsidRPr="00BE3D31">
        <w:t>transport and sedimentatio</w:t>
      </w:r>
      <w:r w:rsidR="00BE3D31">
        <w:t>n</w:t>
      </w:r>
      <w:r>
        <w:t xml:space="preserve"> of soil particles by </w:t>
      </w:r>
      <w:r w:rsidRPr="00761BF7">
        <w:t>water or wind</w:t>
      </w:r>
      <w:r>
        <w:t>; i</w:t>
      </w:r>
      <w:r w:rsidRPr="00F969BB">
        <w:t>t</w:t>
      </w:r>
      <w:r>
        <w:t xml:space="preserve"> has negative impacts on all societal needs, soil functions and soil-related ecosystem services. Soil erosion is itself an important driver for other soil threats especially the increase of flood risk and the decrease of biodiversity and soil organic matter (Stolte, 2016), playing also an important but underestimated role in soil organic carbon cycling (Chappell et al., 2016). </w:t>
      </w:r>
      <w:r w:rsidRPr="00003FCD">
        <w:t xml:space="preserve">While climate, and in particular </w:t>
      </w:r>
      <w:r>
        <w:t xml:space="preserve">heavy </w:t>
      </w:r>
      <w:r w:rsidRPr="00003FCD">
        <w:t xml:space="preserve">rainfall, is the </w:t>
      </w:r>
      <w:r>
        <w:t xml:space="preserve">trigger </w:t>
      </w:r>
      <w:r w:rsidRPr="00003FCD">
        <w:t>for soil erosion by water</w:t>
      </w:r>
      <w:r>
        <w:t>,</w:t>
      </w:r>
      <w:r w:rsidRPr="00003FCD">
        <w:t xml:space="preserve"> in modern times </w:t>
      </w:r>
      <w:r>
        <w:t>agriculture</w:t>
      </w:r>
      <w:r w:rsidR="007E66AF">
        <w:t>,</w:t>
      </w:r>
      <w:r w:rsidR="007E66AF" w:rsidRPr="007E66AF">
        <w:t xml:space="preserve"> overgrazing, mining, and infrastructures</w:t>
      </w:r>
      <w:r>
        <w:t xml:space="preserve"> </w:t>
      </w:r>
      <w:r w:rsidRPr="00003FCD">
        <w:t xml:space="preserve">are the </w:t>
      </w:r>
      <w:r>
        <w:t>drivers for severe soil erosion</w:t>
      </w:r>
      <w:r w:rsidRPr="00003FCD">
        <w:t xml:space="preserve"> (Stolte et al. 2016)</w:t>
      </w:r>
      <w:r w:rsidR="000D7A67" w:rsidRPr="000D7A67">
        <w:t xml:space="preserve"> due to the non</w:t>
      </w:r>
      <w:r w:rsidR="000D7A67">
        <w:t>-</w:t>
      </w:r>
      <w:r w:rsidR="000D7A67" w:rsidRPr="000D7A67">
        <w:t>sustainable soil management</w:t>
      </w:r>
      <w:r w:rsidRPr="00003FCD">
        <w:t>.</w:t>
      </w:r>
      <w:r w:rsidR="00B2114C">
        <w:t xml:space="preserve"> </w:t>
      </w:r>
      <w:r w:rsidR="00B2114C" w:rsidRPr="00B2114C">
        <w:t>Soil erosion is not a problem if the rates are within the geological soil erosion rates</w:t>
      </w:r>
      <w:r w:rsidR="003348D0">
        <w:t>; climate change (</w:t>
      </w:r>
      <w:r w:rsidR="00357404">
        <w:t xml:space="preserve">increasing weather extremes) and unsustainable land management </w:t>
      </w:r>
      <w:r w:rsidR="00B2114C" w:rsidRPr="00B2114C">
        <w:t xml:space="preserve">induce the acceleration of the soil erosion rates. </w:t>
      </w:r>
      <w:r w:rsidR="00FE10BA">
        <w:t xml:space="preserve">Onsite effects of erosion often cause – among others – yield losses, up to 4% per 10 cm soil loss (Bakker et al., 2004). Large erosion events are often accompanied by substantial offsite damages (river and dam sedimentation, including </w:t>
      </w:r>
      <w:r w:rsidR="00FE10BA" w:rsidRPr="00FE10BA">
        <w:t>offsite pollution</w:t>
      </w:r>
      <w:r w:rsidR="00FE10BA">
        <w:t xml:space="preserve"> (Boardman 2006).</w:t>
      </w:r>
    </w:p>
    <w:p w14:paraId="79B51E2C" w14:textId="77777777" w:rsidR="0037472D" w:rsidRDefault="0037472D" w:rsidP="002B6D62">
      <w:pPr>
        <w:spacing w:before="120"/>
      </w:pPr>
    </w:p>
    <w:p w14:paraId="076784AD" w14:textId="1874EADD" w:rsidR="001E6773" w:rsidRDefault="001E6773" w:rsidP="001E6773">
      <w:pPr>
        <w:pStyle w:val="EEALabel"/>
        <w:rPr>
          <w:rFonts w:eastAsia="Calibri"/>
        </w:rPr>
      </w:pPr>
      <w:bookmarkStart w:id="326" w:name="_Toc55206030"/>
      <w:bookmarkStart w:id="327" w:name="_Toc83997527"/>
      <w:r>
        <w:t xml:space="preserve">Table </w:t>
      </w:r>
      <w:r w:rsidR="00C76C23">
        <w:fldChar w:fldCharType="begin"/>
      </w:r>
      <w:r w:rsidR="00C76C23">
        <w:instrText xml:space="preserve"> STYLEREF 1 \s </w:instrText>
      </w:r>
      <w:r w:rsidR="00C76C23">
        <w:fldChar w:fldCharType="separate"/>
      </w:r>
      <w:r w:rsidR="0067767C">
        <w:rPr>
          <w:noProof/>
        </w:rPr>
        <w:t>7</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r>
        <w:t>:</w:t>
      </w:r>
      <w:r>
        <w:rPr>
          <w:rFonts w:eastAsia="Calibri"/>
        </w:rPr>
        <w:tab/>
        <w:t>Relationship between soil erosion and key societal needs and soil functions</w:t>
      </w:r>
      <w:bookmarkEnd w:id="326"/>
      <w:bookmarkEnd w:id="327"/>
    </w:p>
    <w:p w14:paraId="6E104105" w14:textId="77777777" w:rsidR="004F0DA7" w:rsidRDefault="004F0DA7"/>
    <w:tbl>
      <w:tblPr>
        <w:tblW w:w="9356" w:type="dxa"/>
        <w:tblCellMar>
          <w:left w:w="70" w:type="dxa"/>
          <w:right w:w="70" w:type="dxa"/>
        </w:tblCellMar>
        <w:tblLook w:val="04A0" w:firstRow="1" w:lastRow="0" w:firstColumn="1" w:lastColumn="0" w:noHBand="0" w:noVBand="1"/>
      </w:tblPr>
      <w:tblGrid>
        <w:gridCol w:w="1600"/>
        <w:gridCol w:w="6338"/>
        <w:gridCol w:w="1418"/>
      </w:tblGrid>
      <w:tr w:rsidR="001E6773" w:rsidRPr="001455B4" w14:paraId="1ACBE5E8" w14:textId="77777777" w:rsidTr="004F0DA7">
        <w:trPr>
          <w:trHeight w:val="300"/>
        </w:trPr>
        <w:tc>
          <w:tcPr>
            <w:tcW w:w="1600" w:type="dxa"/>
            <w:tcBorders>
              <w:top w:val="single" w:sz="4" w:space="0" w:color="auto"/>
              <w:left w:val="nil"/>
              <w:bottom w:val="single" w:sz="4" w:space="0" w:color="auto"/>
              <w:right w:val="nil"/>
            </w:tcBorders>
            <w:shd w:val="pct10" w:color="auto" w:fill="auto"/>
            <w:noWrap/>
            <w:vAlign w:val="bottom"/>
            <w:hideMark/>
          </w:tcPr>
          <w:p w14:paraId="2959A4CF" w14:textId="77777777" w:rsidR="001E6773" w:rsidRPr="001455B4" w:rsidRDefault="001E6773" w:rsidP="00CD55D6">
            <w:pPr>
              <w:suppressAutoHyphens w:val="0"/>
              <w:jc w:val="left"/>
              <w:rPr>
                <w:b/>
                <w:bCs/>
                <w:color w:val="000000"/>
                <w:szCs w:val="22"/>
                <w:lang w:eastAsia="de-AT"/>
              </w:rPr>
            </w:pPr>
            <w:r w:rsidRPr="001455B4">
              <w:rPr>
                <w:b/>
                <w:bCs/>
                <w:color w:val="000000"/>
                <w:szCs w:val="22"/>
                <w:lang w:eastAsia="de-AT"/>
              </w:rPr>
              <w:t>Soil erosion</w:t>
            </w:r>
          </w:p>
        </w:tc>
        <w:tc>
          <w:tcPr>
            <w:tcW w:w="6338" w:type="dxa"/>
            <w:tcBorders>
              <w:top w:val="single" w:sz="4" w:space="0" w:color="auto"/>
              <w:left w:val="nil"/>
              <w:bottom w:val="single" w:sz="4" w:space="0" w:color="auto"/>
              <w:right w:val="nil"/>
            </w:tcBorders>
            <w:shd w:val="pct10" w:color="auto" w:fill="auto"/>
            <w:noWrap/>
            <w:vAlign w:val="bottom"/>
            <w:hideMark/>
          </w:tcPr>
          <w:p w14:paraId="6F14695F" w14:textId="77777777" w:rsidR="001E6773" w:rsidRPr="001455B4" w:rsidRDefault="001E6773" w:rsidP="00CD55D6">
            <w:pPr>
              <w:suppressAutoHyphens w:val="0"/>
              <w:jc w:val="left"/>
              <w:rPr>
                <w:b/>
                <w:bCs/>
                <w:color w:val="000000"/>
                <w:szCs w:val="22"/>
                <w:lang w:eastAsia="de-AT"/>
              </w:rPr>
            </w:pPr>
          </w:p>
        </w:tc>
        <w:tc>
          <w:tcPr>
            <w:tcW w:w="1418" w:type="dxa"/>
            <w:tcBorders>
              <w:top w:val="single" w:sz="4" w:space="0" w:color="auto"/>
              <w:left w:val="nil"/>
              <w:bottom w:val="single" w:sz="4" w:space="0" w:color="auto"/>
              <w:right w:val="nil"/>
            </w:tcBorders>
            <w:shd w:val="pct10" w:color="auto" w:fill="auto"/>
            <w:noWrap/>
            <w:vAlign w:val="bottom"/>
            <w:hideMark/>
          </w:tcPr>
          <w:p w14:paraId="7D1B48FC" w14:textId="77777777" w:rsidR="001E6773" w:rsidRPr="001455B4" w:rsidRDefault="001E6773" w:rsidP="00CD55D6">
            <w:pPr>
              <w:suppressAutoHyphens w:val="0"/>
              <w:jc w:val="left"/>
              <w:rPr>
                <w:rFonts w:ascii="Times New Roman" w:hAnsi="Times New Roman" w:cs="Times New Roman"/>
                <w:sz w:val="20"/>
                <w:lang w:eastAsia="de-AT"/>
              </w:rPr>
            </w:pPr>
          </w:p>
        </w:tc>
      </w:tr>
      <w:tr w:rsidR="001E6773" w:rsidRPr="001455B4" w14:paraId="7256883C" w14:textId="77777777" w:rsidTr="00D14DE5">
        <w:trPr>
          <w:trHeight w:val="300"/>
        </w:trPr>
        <w:tc>
          <w:tcPr>
            <w:tcW w:w="1600" w:type="dxa"/>
            <w:tcBorders>
              <w:top w:val="single" w:sz="4" w:space="0" w:color="auto"/>
              <w:bottom w:val="single" w:sz="4" w:space="0" w:color="auto"/>
            </w:tcBorders>
            <w:shd w:val="pct10" w:color="auto" w:fill="auto"/>
            <w:noWrap/>
            <w:vAlign w:val="bottom"/>
            <w:hideMark/>
          </w:tcPr>
          <w:p w14:paraId="61418A4A" w14:textId="77777777" w:rsidR="001E6773" w:rsidRPr="001455B4" w:rsidRDefault="001E6773" w:rsidP="00CD55D6">
            <w:pPr>
              <w:suppressAutoHyphens w:val="0"/>
              <w:jc w:val="left"/>
              <w:rPr>
                <w:b/>
                <w:bCs/>
                <w:color w:val="000000"/>
                <w:sz w:val="20"/>
                <w:lang w:eastAsia="de-AT"/>
              </w:rPr>
            </w:pPr>
            <w:r w:rsidRPr="001455B4">
              <w:rPr>
                <w:b/>
                <w:bCs/>
                <w:color w:val="000000"/>
                <w:sz w:val="20"/>
                <w:lang w:eastAsia="de-AT"/>
              </w:rPr>
              <w:t>Societal need</w:t>
            </w:r>
          </w:p>
        </w:tc>
        <w:tc>
          <w:tcPr>
            <w:tcW w:w="6338" w:type="dxa"/>
            <w:tcBorders>
              <w:top w:val="single" w:sz="4" w:space="0" w:color="auto"/>
              <w:bottom w:val="single" w:sz="4" w:space="0" w:color="auto"/>
            </w:tcBorders>
            <w:shd w:val="pct10" w:color="auto" w:fill="auto"/>
            <w:noWrap/>
            <w:vAlign w:val="bottom"/>
            <w:hideMark/>
          </w:tcPr>
          <w:p w14:paraId="2A632EBF" w14:textId="77777777" w:rsidR="001E6773" w:rsidRPr="001455B4" w:rsidRDefault="001E6773" w:rsidP="00CD55D6">
            <w:pPr>
              <w:suppressAutoHyphens w:val="0"/>
              <w:jc w:val="left"/>
              <w:rPr>
                <w:b/>
                <w:bCs/>
                <w:color w:val="000000"/>
                <w:sz w:val="20"/>
                <w:lang w:eastAsia="de-AT"/>
              </w:rPr>
            </w:pPr>
            <w:r w:rsidRPr="001455B4">
              <w:rPr>
                <w:b/>
                <w:bCs/>
                <w:color w:val="000000"/>
                <w:sz w:val="20"/>
                <w:lang w:eastAsia="de-AT"/>
              </w:rPr>
              <w:t>Soil service</w:t>
            </w:r>
          </w:p>
        </w:tc>
        <w:tc>
          <w:tcPr>
            <w:tcW w:w="1418" w:type="dxa"/>
            <w:tcBorders>
              <w:top w:val="single" w:sz="4" w:space="0" w:color="auto"/>
              <w:bottom w:val="single" w:sz="4" w:space="0" w:color="auto"/>
            </w:tcBorders>
            <w:shd w:val="pct10" w:color="auto" w:fill="auto"/>
            <w:noWrap/>
            <w:vAlign w:val="bottom"/>
            <w:hideMark/>
          </w:tcPr>
          <w:p w14:paraId="3A052483" w14:textId="77777777" w:rsidR="001E6773" w:rsidRPr="001455B4" w:rsidRDefault="001E6773" w:rsidP="00653937">
            <w:pPr>
              <w:pStyle w:val="EEATabcenterbold"/>
            </w:pPr>
            <w:r w:rsidRPr="001455B4">
              <w:t>impact</w:t>
            </w:r>
          </w:p>
        </w:tc>
      </w:tr>
      <w:tr w:rsidR="001E6773" w:rsidRPr="001455B4" w14:paraId="21B399BC" w14:textId="77777777" w:rsidTr="000A268E">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7CB54D0B" w14:textId="77777777" w:rsidR="001E6773" w:rsidRPr="001455B4" w:rsidRDefault="001E6773" w:rsidP="00653937">
            <w:pPr>
              <w:pStyle w:val="EEAtableleftbold"/>
              <w:rPr>
                <w:lang w:eastAsia="de-AT"/>
              </w:rPr>
            </w:pPr>
            <w:r w:rsidRPr="001455B4">
              <w:rPr>
                <w:lang w:eastAsia="de-AT"/>
              </w:rPr>
              <w:t>Biomass</w:t>
            </w:r>
          </w:p>
        </w:tc>
        <w:tc>
          <w:tcPr>
            <w:tcW w:w="6338" w:type="dxa"/>
            <w:tcBorders>
              <w:top w:val="single" w:sz="4" w:space="0" w:color="auto"/>
              <w:bottom w:val="single" w:sz="4" w:space="0" w:color="auto"/>
            </w:tcBorders>
            <w:shd w:val="clear" w:color="auto" w:fill="auto"/>
            <w:vAlign w:val="center"/>
            <w:hideMark/>
          </w:tcPr>
          <w:p w14:paraId="5259AAE3" w14:textId="77777777" w:rsidR="001E6773" w:rsidRPr="001455B4" w:rsidRDefault="001E6773" w:rsidP="00CD55D6">
            <w:pPr>
              <w:pStyle w:val="EEAtableleft"/>
              <w:rPr>
                <w:lang w:eastAsia="de-AT"/>
              </w:rPr>
            </w:pPr>
            <w:r w:rsidRPr="001455B4">
              <w:rPr>
                <w:lang w:eastAsia="de-AT"/>
              </w:rPr>
              <w:t>Wood &amp; fibre production</w:t>
            </w:r>
          </w:p>
        </w:tc>
        <w:tc>
          <w:tcPr>
            <w:tcW w:w="1418" w:type="dxa"/>
            <w:tcBorders>
              <w:top w:val="single" w:sz="4" w:space="0" w:color="auto"/>
              <w:bottom w:val="single" w:sz="4" w:space="0" w:color="auto"/>
            </w:tcBorders>
            <w:shd w:val="clear" w:color="000000" w:fill="FF0000"/>
            <w:noWrap/>
            <w:vAlign w:val="bottom"/>
            <w:hideMark/>
          </w:tcPr>
          <w:p w14:paraId="54FDA519"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2A77763B" w14:textId="77777777" w:rsidTr="000A268E">
        <w:trPr>
          <w:trHeight w:val="300"/>
        </w:trPr>
        <w:tc>
          <w:tcPr>
            <w:tcW w:w="1600" w:type="dxa"/>
            <w:vMerge/>
            <w:tcBorders>
              <w:top w:val="single" w:sz="4" w:space="0" w:color="auto"/>
              <w:bottom w:val="single" w:sz="4" w:space="0" w:color="auto"/>
            </w:tcBorders>
            <w:vAlign w:val="center"/>
            <w:hideMark/>
          </w:tcPr>
          <w:p w14:paraId="021D791F" w14:textId="77777777" w:rsidR="001E6773" w:rsidRPr="001455B4" w:rsidRDefault="001E6773" w:rsidP="00653937">
            <w:pPr>
              <w:pStyle w:val="EEAtableleftbold"/>
              <w:rPr>
                <w:lang w:eastAsia="de-AT"/>
              </w:rPr>
            </w:pPr>
          </w:p>
        </w:tc>
        <w:tc>
          <w:tcPr>
            <w:tcW w:w="6338" w:type="dxa"/>
            <w:tcBorders>
              <w:top w:val="single" w:sz="4" w:space="0" w:color="auto"/>
              <w:bottom w:val="single" w:sz="4" w:space="0" w:color="auto"/>
            </w:tcBorders>
            <w:shd w:val="clear" w:color="auto" w:fill="auto"/>
            <w:vAlign w:val="center"/>
            <w:hideMark/>
          </w:tcPr>
          <w:p w14:paraId="3FBC5A1A" w14:textId="77777777" w:rsidR="001E6773" w:rsidRPr="001455B4" w:rsidRDefault="001E6773" w:rsidP="00CD55D6">
            <w:pPr>
              <w:pStyle w:val="EEAtableleft"/>
              <w:rPr>
                <w:lang w:eastAsia="de-AT"/>
              </w:rPr>
            </w:pPr>
            <w:r w:rsidRPr="001455B4">
              <w:rPr>
                <w:lang w:eastAsia="de-AT"/>
              </w:rPr>
              <w:t>Growth of crops</w:t>
            </w:r>
          </w:p>
        </w:tc>
        <w:tc>
          <w:tcPr>
            <w:tcW w:w="1418" w:type="dxa"/>
            <w:tcBorders>
              <w:top w:val="single" w:sz="4" w:space="0" w:color="auto"/>
              <w:bottom w:val="single" w:sz="4" w:space="0" w:color="auto"/>
            </w:tcBorders>
            <w:shd w:val="clear" w:color="000000" w:fill="FF0000"/>
            <w:noWrap/>
            <w:vAlign w:val="bottom"/>
            <w:hideMark/>
          </w:tcPr>
          <w:p w14:paraId="37D967FF"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2AD34F79" w14:textId="77777777" w:rsidTr="000A268E">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43FF920C" w14:textId="77777777" w:rsidR="001E6773" w:rsidRPr="001455B4" w:rsidRDefault="001E6773" w:rsidP="00653937">
            <w:pPr>
              <w:pStyle w:val="EEAtableleftbold"/>
              <w:rPr>
                <w:lang w:eastAsia="de-AT"/>
              </w:rPr>
            </w:pPr>
            <w:r w:rsidRPr="001455B4">
              <w:rPr>
                <w:lang w:eastAsia="de-AT"/>
              </w:rPr>
              <w:t>Water</w:t>
            </w:r>
          </w:p>
        </w:tc>
        <w:tc>
          <w:tcPr>
            <w:tcW w:w="6338" w:type="dxa"/>
            <w:tcBorders>
              <w:top w:val="single" w:sz="4" w:space="0" w:color="auto"/>
              <w:bottom w:val="single" w:sz="4" w:space="0" w:color="auto"/>
            </w:tcBorders>
            <w:shd w:val="clear" w:color="auto" w:fill="auto"/>
            <w:vAlign w:val="center"/>
            <w:hideMark/>
          </w:tcPr>
          <w:p w14:paraId="3E929D51" w14:textId="77777777" w:rsidR="001E6773" w:rsidRPr="001455B4" w:rsidRDefault="001E6773" w:rsidP="00CD55D6">
            <w:pPr>
              <w:pStyle w:val="EEAtableleft"/>
              <w:rPr>
                <w:lang w:eastAsia="de-AT"/>
              </w:rPr>
            </w:pPr>
            <w:r w:rsidRPr="001455B4">
              <w:rPr>
                <w:lang w:eastAsia="de-AT"/>
              </w:rPr>
              <w:t>Filtering of contaminants</w:t>
            </w:r>
          </w:p>
        </w:tc>
        <w:tc>
          <w:tcPr>
            <w:tcW w:w="1418" w:type="dxa"/>
            <w:tcBorders>
              <w:top w:val="single" w:sz="4" w:space="0" w:color="auto"/>
              <w:bottom w:val="single" w:sz="4" w:space="0" w:color="auto"/>
            </w:tcBorders>
            <w:shd w:val="clear" w:color="000000" w:fill="FF0000"/>
            <w:noWrap/>
            <w:vAlign w:val="bottom"/>
            <w:hideMark/>
          </w:tcPr>
          <w:p w14:paraId="19AA06CB"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7D61864D" w14:textId="77777777" w:rsidTr="000A268E">
        <w:trPr>
          <w:trHeight w:val="300"/>
        </w:trPr>
        <w:tc>
          <w:tcPr>
            <w:tcW w:w="1600" w:type="dxa"/>
            <w:vMerge/>
            <w:tcBorders>
              <w:top w:val="single" w:sz="4" w:space="0" w:color="auto"/>
              <w:bottom w:val="single" w:sz="4" w:space="0" w:color="auto"/>
            </w:tcBorders>
            <w:vAlign w:val="center"/>
            <w:hideMark/>
          </w:tcPr>
          <w:p w14:paraId="079C9181" w14:textId="77777777" w:rsidR="001E6773" w:rsidRPr="001455B4" w:rsidRDefault="001E6773" w:rsidP="00653937">
            <w:pPr>
              <w:pStyle w:val="EEAtableleftbold"/>
              <w:rPr>
                <w:lang w:eastAsia="de-AT"/>
              </w:rPr>
            </w:pPr>
          </w:p>
        </w:tc>
        <w:tc>
          <w:tcPr>
            <w:tcW w:w="6338" w:type="dxa"/>
            <w:tcBorders>
              <w:top w:val="single" w:sz="4" w:space="0" w:color="auto"/>
              <w:bottom w:val="single" w:sz="4" w:space="0" w:color="auto"/>
            </w:tcBorders>
            <w:shd w:val="clear" w:color="auto" w:fill="auto"/>
            <w:vAlign w:val="center"/>
            <w:hideMark/>
          </w:tcPr>
          <w:p w14:paraId="1C86AC5A" w14:textId="77777777" w:rsidR="001E6773" w:rsidRPr="001455B4" w:rsidRDefault="001E6773" w:rsidP="00CD55D6">
            <w:pPr>
              <w:pStyle w:val="EEAtableleft"/>
              <w:rPr>
                <w:lang w:eastAsia="de-AT"/>
              </w:rPr>
            </w:pPr>
            <w:r w:rsidRPr="001455B4">
              <w:rPr>
                <w:lang w:eastAsia="de-AT"/>
              </w:rPr>
              <w:t>Water storage</w:t>
            </w:r>
          </w:p>
        </w:tc>
        <w:tc>
          <w:tcPr>
            <w:tcW w:w="1418" w:type="dxa"/>
            <w:tcBorders>
              <w:top w:val="single" w:sz="4" w:space="0" w:color="auto"/>
              <w:bottom w:val="single" w:sz="4" w:space="0" w:color="auto"/>
            </w:tcBorders>
            <w:shd w:val="clear" w:color="000000" w:fill="FF0000"/>
            <w:noWrap/>
            <w:vAlign w:val="bottom"/>
            <w:hideMark/>
          </w:tcPr>
          <w:p w14:paraId="758EABCB"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325D154E" w14:textId="77777777" w:rsidTr="000A268E">
        <w:trPr>
          <w:trHeight w:val="300"/>
        </w:trPr>
        <w:tc>
          <w:tcPr>
            <w:tcW w:w="1600" w:type="dxa"/>
            <w:tcBorders>
              <w:top w:val="single" w:sz="4" w:space="0" w:color="auto"/>
              <w:bottom w:val="single" w:sz="4" w:space="0" w:color="auto"/>
            </w:tcBorders>
            <w:shd w:val="clear" w:color="000000" w:fill="FFFFFF"/>
            <w:noWrap/>
            <w:vAlign w:val="center"/>
            <w:hideMark/>
          </w:tcPr>
          <w:p w14:paraId="216A260B" w14:textId="77777777" w:rsidR="001E6773" w:rsidRPr="001455B4" w:rsidRDefault="001E6773" w:rsidP="00653937">
            <w:pPr>
              <w:pStyle w:val="EEAtableleftbold"/>
              <w:rPr>
                <w:lang w:eastAsia="de-AT"/>
              </w:rPr>
            </w:pPr>
            <w:r w:rsidRPr="001455B4">
              <w:rPr>
                <w:lang w:eastAsia="de-AT"/>
              </w:rPr>
              <w:t>Climate</w:t>
            </w:r>
          </w:p>
        </w:tc>
        <w:tc>
          <w:tcPr>
            <w:tcW w:w="6338" w:type="dxa"/>
            <w:tcBorders>
              <w:top w:val="single" w:sz="4" w:space="0" w:color="auto"/>
              <w:bottom w:val="single" w:sz="4" w:space="0" w:color="auto"/>
            </w:tcBorders>
            <w:shd w:val="clear" w:color="auto" w:fill="auto"/>
            <w:vAlign w:val="center"/>
            <w:hideMark/>
          </w:tcPr>
          <w:p w14:paraId="00424765" w14:textId="77777777" w:rsidR="001E6773" w:rsidRPr="001455B4" w:rsidRDefault="001E6773" w:rsidP="00CD55D6">
            <w:pPr>
              <w:pStyle w:val="EEAtableleft"/>
              <w:rPr>
                <w:lang w:eastAsia="de-AT"/>
              </w:rPr>
            </w:pPr>
            <w:r w:rsidRPr="001455B4">
              <w:rPr>
                <w:lang w:eastAsia="de-AT"/>
              </w:rPr>
              <w:t>Carbon storage</w:t>
            </w:r>
          </w:p>
        </w:tc>
        <w:tc>
          <w:tcPr>
            <w:tcW w:w="1418" w:type="dxa"/>
            <w:tcBorders>
              <w:top w:val="single" w:sz="4" w:space="0" w:color="auto"/>
              <w:bottom w:val="single" w:sz="4" w:space="0" w:color="auto"/>
            </w:tcBorders>
            <w:shd w:val="clear" w:color="000000" w:fill="FF0000"/>
            <w:noWrap/>
            <w:vAlign w:val="bottom"/>
            <w:hideMark/>
          </w:tcPr>
          <w:p w14:paraId="09B9A78A"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6759EF11" w14:textId="77777777" w:rsidTr="000A268E">
        <w:trPr>
          <w:trHeight w:val="300"/>
        </w:trPr>
        <w:tc>
          <w:tcPr>
            <w:tcW w:w="1600" w:type="dxa"/>
            <w:tcBorders>
              <w:top w:val="single" w:sz="4" w:space="0" w:color="auto"/>
              <w:bottom w:val="single" w:sz="4" w:space="0" w:color="auto"/>
            </w:tcBorders>
            <w:shd w:val="clear" w:color="000000" w:fill="FFFFFF"/>
            <w:noWrap/>
            <w:vAlign w:val="center"/>
            <w:hideMark/>
          </w:tcPr>
          <w:p w14:paraId="38070DB8" w14:textId="77777777" w:rsidR="001E6773" w:rsidRPr="001455B4" w:rsidRDefault="001E6773" w:rsidP="00653937">
            <w:pPr>
              <w:pStyle w:val="EEAtableleftbold"/>
              <w:rPr>
                <w:lang w:eastAsia="de-AT"/>
              </w:rPr>
            </w:pPr>
            <w:r w:rsidRPr="001455B4">
              <w:rPr>
                <w:lang w:eastAsia="de-AT"/>
              </w:rPr>
              <w:t>Biodiversity</w:t>
            </w:r>
          </w:p>
        </w:tc>
        <w:tc>
          <w:tcPr>
            <w:tcW w:w="6338" w:type="dxa"/>
            <w:tcBorders>
              <w:top w:val="single" w:sz="4" w:space="0" w:color="auto"/>
              <w:bottom w:val="single" w:sz="4" w:space="0" w:color="auto"/>
            </w:tcBorders>
            <w:shd w:val="clear" w:color="auto" w:fill="auto"/>
            <w:vAlign w:val="center"/>
            <w:hideMark/>
          </w:tcPr>
          <w:p w14:paraId="01A625E0" w14:textId="77777777" w:rsidR="001E6773" w:rsidRPr="001455B4" w:rsidRDefault="001E6773" w:rsidP="00CD55D6">
            <w:pPr>
              <w:pStyle w:val="EEAtableleft"/>
              <w:rPr>
                <w:lang w:eastAsia="de-AT"/>
              </w:rPr>
            </w:pPr>
            <w:r w:rsidRPr="001455B4">
              <w:rPr>
                <w:lang w:eastAsia="de-AT"/>
              </w:rPr>
              <w:t>Habitat for plants</w:t>
            </w:r>
            <w:r>
              <w:rPr>
                <w:lang w:eastAsia="de-AT"/>
              </w:rPr>
              <w:t>.</w:t>
            </w:r>
            <w:r w:rsidRPr="001455B4">
              <w:rPr>
                <w:lang w:eastAsia="de-AT"/>
              </w:rPr>
              <w:t xml:space="preserve"> </w:t>
            </w:r>
            <w:proofErr w:type="gramStart"/>
            <w:r w:rsidRPr="001455B4">
              <w:rPr>
                <w:lang w:eastAsia="de-AT"/>
              </w:rPr>
              <w:t>insects</w:t>
            </w:r>
            <w:proofErr w:type="gramEnd"/>
            <w:r>
              <w:rPr>
                <w:lang w:eastAsia="de-AT"/>
              </w:rPr>
              <w:t>.</w:t>
            </w:r>
            <w:r w:rsidRPr="001455B4">
              <w:rPr>
                <w:lang w:eastAsia="de-AT"/>
              </w:rPr>
              <w:t xml:space="preserve"> </w:t>
            </w:r>
            <w:proofErr w:type="gramStart"/>
            <w:r w:rsidRPr="001455B4">
              <w:rPr>
                <w:lang w:eastAsia="de-AT"/>
              </w:rPr>
              <w:t>microbes</w:t>
            </w:r>
            <w:proofErr w:type="gramEnd"/>
            <w:r>
              <w:rPr>
                <w:lang w:eastAsia="de-AT"/>
              </w:rPr>
              <w:t>.</w:t>
            </w:r>
            <w:r w:rsidRPr="001455B4">
              <w:rPr>
                <w:lang w:eastAsia="de-AT"/>
              </w:rPr>
              <w:t xml:space="preserve"> funghi</w:t>
            </w:r>
          </w:p>
        </w:tc>
        <w:tc>
          <w:tcPr>
            <w:tcW w:w="1418" w:type="dxa"/>
            <w:tcBorders>
              <w:top w:val="single" w:sz="4" w:space="0" w:color="auto"/>
              <w:bottom w:val="single" w:sz="4" w:space="0" w:color="auto"/>
            </w:tcBorders>
            <w:shd w:val="clear" w:color="000000" w:fill="FF0000"/>
            <w:noWrap/>
            <w:vAlign w:val="bottom"/>
            <w:hideMark/>
          </w:tcPr>
          <w:p w14:paraId="5E07ABE2" w14:textId="77777777" w:rsidR="001E6773" w:rsidRPr="001455B4" w:rsidRDefault="001E6773" w:rsidP="00CD55D6">
            <w:pPr>
              <w:suppressAutoHyphens w:val="0"/>
              <w:jc w:val="center"/>
              <w:rPr>
                <w:b/>
                <w:bCs/>
                <w:color w:val="000000"/>
                <w:sz w:val="24"/>
                <w:szCs w:val="24"/>
                <w:lang w:eastAsia="de-AT"/>
              </w:rPr>
            </w:pPr>
            <w:r w:rsidRPr="001455B4">
              <w:rPr>
                <w:b/>
                <w:bCs/>
                <w:color w:val="000000"/>
                <w:sz w:val="24"/>
                <w:szCs w:val="24"/>
                <w:lang w:eastAsia="de-AT"/>
              </w:rPr>
              <w:t>-</w:t>
            </w:r>
          </w:p>
        </w:tc>
      </w:tr>
      <w:tr w:rsidR="001E6773" w:rsidRPr="001455B4" w14:paraId="63B2A2A8" w14:textId="77777777" w:rsidTr="000A268E">
        <w:trPr>
          <w:trHeight w:val="300"/>
        </w:trPr>
        <w:tc>
          <w:tcPr>
            <w:tcW w:w="1600" w:type="dxa"/>
            <w:vMerge w:val="restart"/>
            <w:tcBorders>
              <w:top w:val="single" w:sz="4" w:space="0" w:color="auto"/>
              <w:bottom w:val="single" w:sz="4" w:space="0" w:color="auto"/>
            </w:tcBorders>
            <w:shd w:val="clear" w:color="auto" w:fill="auto"/>
            <w:noWrap/>
            <w:vAlign w:val="center"/>
            <w:hideMark/>
          </w:tcPr>
          <w:p w14:paraId="00354F0C" w14:textId="77777777" w:rsidR="001E6773" w:rsidRPr="001455B4" w:rsidRDefault="001E6773" w:rsidP="00653937">
            <w:pPr>
              <w:pStyle w:val="EEAtableleftbold"/>
              <w:rPr>
                <w:lang w:eastAsia="de-AT"/>
              </w:rPr>
            </w:pPr>
            <w:r w:rsidRPr="001455B4">
              <w:rPr>
                <w:lang w:eastAsia="de-AT"/>
              </w:rPr>
              <w:t>Infrastructure</w:t>
            </w:r>
          </w:p>
        </w:tc>
        <w:tc>
          <w:tcPr>
            <w:tcW w:w="6338" w:type="dxa"/>
            <w:tcBorders>
              <w:top w:val="single" w:sz="4" w:space="0" w:color="auto"/>
              <w:bottom w:val="single" w:sz="4" w:space="0" w:color="auto"/>
            </w:tcBorders>
            <w:shd w:val="clear" w:color="auto" w:fill="auto"/>
            <w:vAlign w:val="center"/>
            <w:hideMark/>
          </w:tcPr>
          <w:p w14:paraId="18263A1B" w14:textId="77777777" w:rsidR="001E6773" w:rsidRPr="001455B4" w:rsidRDefault="001E6773" w:rsidP="00CD55D6">
            <w:pPr>
              <w:pStyle w:val="EEAtableleft"/>
              <w:rPr>
                <w:lang w:eastAsia="de-AT"/>
              </w:rPr>
            </w:pPr>
            <w:r w:rsidRPr="001455B4">
              <w:rPr>
                <w:lang w:eastAsia="de-AT"/>
              </w:rPr>
              <w:t>Platform for infrastructure</w:t>
            </w:r>
          </w:p>
        </w:tc>
        <w:tc>
          <w:tcPr>
            <w:tcW w:w="1418" w:type="dxa"/>
            <w:tcBorders>
              <w:top w:val="single" w:sz="4" w:space="0" w:color="auto"/>
              <w:bottom w:val="single" w:sz="4" w:space="0" w:color="auto"/>
            </w:tcBorders>
            <w:shd w:val="clear" w:color="000000" w:fill="FFFFFF"/>
            <w:noWrap/>
            <w:vAlign w:val="center"/>
            <w:hideMark/>
          </w:tcPr>
          <w:p w14:paraId="0D8FE0E0" w14:textId="01E91B79" w:rsidR="001E6773" w:rsidRPr="001455B4" w:rsidRDefault="001E6773" w:rsidP="00CD55D6">
            <w:pPr>
              <w:suppressAutoHyphens w:val="0"/>
              <w:jc w:val="center"/>
              <w:rPr>
                <w:color w:val="000000"/>
                <w:sz w:val="20"/>
                <w:lang w:eastAsia="de-AT"/>
              </w:rPr>
            </w:pPr>
            <w:r w:rsidRPr="001455B4">
              <w:rPr>
                <w:color w:val="000000"/>
                <w:sz w:val="20"/>
                <w:lang w:eastAsia="de-AT"/>
              </w:rPr>
              <w:t>indiff</w:t>
            </w:r>
            <w:r w:rsidR="000A268E">
              <w:rPr>
                <w:color w:val="000000"/>
                <w:sz w:val="20"/>
                <w:lang w:eastAsia="de-AT"/>
              </w:rPr>
              <w:t>erent</w:t>
            </w:r>
          </w:p>
        </w:tc>
      </w:tr>
      <w:tr w:rsidR="001E6773" w:rsidRPr="001455B4" w14:paraId="7771999A" w14:textId="77777777" w:rsidTr="000A268E">
        <w:trPr>
          <w:trHeight w:val="300"/>
        </w:trPr>
        <w:tc>
          <w:tcPr>
            <w:tcW w:w="1600" w:type="dxa"/>
            <w:vMerge/>
            <w:tcBorders>
              <w:top w:val="single" w:sz="4" w:space="0" w:color="auto"/>
              <w:bottom w:val="single" w:sz="4" w:space="0" w:color="auto"/>
            </w:tcBorders>
            <w:vAlign w:val="center"/>
            <w:hideMark/>
          </w:tcPr>
          <w:p w14:paraId="5716FCA6" w14:textId="77777777" w:rsidR="001E6773" w:rsidRPr="001455B4" w:rsidRDefault="001E6773" w:rsidP="00CD55D6">
            <w:pPr>
              <w:suppressAutoHyphens w:val="0"/>
              <w:jc w:val="left"/>
              <w:rPr>
                <w:b/>
                <w:bCs/>
                <w:sz w:val="20"/>
                <w:lang w:eastAsia="de-AT"/>
              </w:rPr>
            </w:pPr>
          </w:p>
        </w:tc>
        <w:tc>
          <w:tcPr>
            <w:tcW w:w="6338" w:type="dxa"/>
            <w:tcBorders>
              <w:top w:val="single" w:sz="4" w:space="0" w:color="auto"/>
              <w:bottom w:val="single" w:sz="4" w:space="0" w:color="auto"/>
            </w:tcBorders>
            <w:shd w:val="clear" w:color="auto" w:fill="auto"/>
            <w:vAlign w:val="center"/>
            <w:hideMark/>
          </w:tcPr>
          <w:p w14:paraId="27E754C2" w14:textId="77777777" w:rsidR="001E6773" w:rsidRPr="001455B4" w:rsidRDefault="001E6773" w:rsidP="00CD55D6">
            <w:pPr>
              <w:pStyle w:val="EEAtableleft"/>
              <w:rPr>
                <w:lang w:eastAsia="de-AT"/>
              </w:rPr>
            </w:pPr>
            <w:r w:rsidRPr="001455B4">
              <w:rPr>
                <w:lang w:eastAsia="de-AT"/>
              </w:rPr>
              <w:t xml:space="preserve">Storage of </w:t>
            </w:r>
            <w:r>
              <w:rPr>
                <w:lang w:eastAsia="de-AT"/>
              </w:rPr>
              <w:t>relocated material or artefacts  (excavated geological material, sediments, cables and pipelines, archaeological material)</w:t>
            </w:r>
          </w:p>
        </w:tc>
        <w:tc>
          <w:tcPr>
            <w:tcW w:w="1418" w:type="dxa"/>
            <w:tcBorders>
              <w:top w:val="single" w:sz="4" w:space="0" w:color="auto"/>
              <w:bottom w:val="single" w:sz="4" w:space="0" w:color="auto"/>
            </w:tcBorders>
            <w:shd w:val="clear" w:color="000000" w:fill="FFFFFF"/>
            <w:noWrap/>
            <w:vAlign w:val="center"/>
            <w:hideMark/>
          </w:tcPr>
          <w:p w14:paraId="70AB51E4" w14:textId="02E06B9C" w:rsidR="001E6773" w:rsidRPr="001455B4" w:rsidRDefault="001E6773" w:rsidP="00CD55D6">
            <w:pPr>
              <w:suppressAutoHyphens w:val="0"/>
              <w:jc w:val="center"/>
              <w:rPr>
                <w:color w:val="000000"/>
                <w:sz w:val="20"/>
                <w:lang w:eastAsia="de-AT"/>
              </w:rPr>
            </w:pPr>
            <w:r w:rsidRPr="001455B4">
              <w:rPr>
                <w:color w:val="000000"/>
                <w:sz w:val="20"/>
                <w:lang w:eastAsia="de-AT"/>
              </w:rPr>
              <w:t>indiff</w:t>
            </w:r>
            <w:r w:rsidR="000A268E">
              <w:rPr>
                <w:color w:val="000000"/>
                <w:sz w:val="20"/>
                <w:lang w:eastAsia="de-AT"/>
              </w:rPr>
              <w:t>erent</w:t>
            </w:r>
          </w:p>
        </w:tc>
      </w:tr>
    </w:tbl>
    <w:p w14:paraId="1D0182F0" w14:textId="77777777" w:rsidR="001E6773" w:rsidRDefault="001E6773" w:rsidP="001E6773"/>
    <w:p w14:paraId="16B4B9DF" w14:textId="7587D33E" w:rsidR="001E6773" w:rsidRDefault="001E6773" w:rsidP="001E6773">
      <w:pPr>
        <w:pStyle w:val="berschrift2"/>
      </w:pPr>
      <w:bookmarkStart w:id="328" w:name="_Toc63939971"/>
      <w:bookmarkStart w:id="329" w:name="_Toc83997380"/>
      <w:r w:rsidRPr="009710BD">
        <w:t xml:space="preserve">Erosion processes and </w:t>
      </w:r>
      <w:r>
        <w:t>challenges</w:t>
      </w:r>
      <w:r w:rsidRPr="009710BD">
        <w:t xml:space="preserve"> for soil monitoring</w:t>
      </w:r>
      <w:bookmarkEnd w:id="328"/>
      <w:bookmarkEnd w:id="329"/>
    </w:p>
    <w:p w14:paraId="0EA49D36" w14:textId="2509282B" w:rsidR="009D5972" w:rsidRPr="009D5972" w:rsidRDefault="00B030DC" w:rsidP="002C488D">
      <w:pPr>
        <w:pStyle w:val="berschrift2"/>
        <w:numPr>
          <w:ilvl w:val="2"/>
          <w:numId w:val="3"/>
        </w:numPr>
        <w:rPr>
          <w:rStyle w:val="FormatvorlageFormatvorlageberschrift3Zchn1"/>
        </w:rPr>
      </w:pPr>
      <w:bookmarkStart w:id="330" w:name="_Toc83997381"/>
      <w:r w:rsidRPr="00B030DC">
        <w:rPr>
          <w:rStyle w:val="FormatvorlageFormatvorlageberschrift3Zchn1"/>
        </w:rPr>
        <w:t>Types of soil erosion</w:t>
      </w:r>
      <w:bookmarkEnd w:id="330"/>
    </w:p>
    <w:p w14:paraId="01535EAD" w14:textId="77777777" w:rsidR="009D5972" w:rsidRDefault="009D5972" w:rsidP="001E6773"/>
    <w:p w14:paraId="70DB905A" w14:textId="0272988F" w:rsidR="001E6773" w:rsidRDefault="001E6773" w:rsidP="001E6773">
      <w:r w:rsidRPr="00156853">
        <w:t>Huber et al. (2008) distinguishes</w:t>
      </w:r>
      <w:r>
        <w:t xml:space="preserve"> various forms of erosion and processes leading to it:</w:t>
      </w:r>
    </w:p>
    <w:p w14:paraId="323DBB5E" w14:textId="77777777" w:rsidR="001E6773" w:rsidRDefault="001E6773" w:rsidP="000A268E">
      <w:pPr>
        <w:pStyle w:val="EEAbullet0"/>
        <w:ind w:left="720" w:hanging="720"/>
      </w:pPr>
      <w:r>
        <w:t xml:space="preserve">Water erosion: interrill (sheetwash), rill, ephemeral gully and piping </w:t>
      </w:r>
      <w:r w:rsidRPr="00A34403">
        <w:t xml:space="preserve">as well as ephemeral gullies </w:t>
      </w:r>
      <w:r>
        <w:t>(subsurface) erosion resulting from surface runoff of excess rain water or subsurface flow.</w:t>
      </w:r>
    </w:p>
    <w:p w14:paraId="0549C391" w14:textId="77777777" w:rsidR="001E6773" w:rsidRDefault="001E6773" w:rsidP="00B030DC">
      <w:pPr>
        <w:pStyle w:val="EEAbullet0"/>
      </w:pPr>
      <w:r>
        <w:t>Gully erosion</w:t>
      </w:r>
    </w:p>
    <w:p w14:paraId="79E050E9" w14:textId="77777777" w:rsidR="001E6773" w:rsidRDefault="001E6773" w:rsidP="00B030DC">
      <w:pPr>
        <w:pStyle w:val="EEAbullet0"/>
      </w:pPr>
      <w:r>
        <w:t>Wind erosion: strong air movements displacing loose soil particles</w:t>
      </w:r>
    </w:p>
    <w:p w14:paraId="2D8D0689" w14:textId="77777777" w:rsidR="001E6773" w:rsidRDefault="001E6773" w:rsidP="00B030DC">
      <w:pPr>
        <w:pStyle w:val="EEAbullet0"/>
      </w:pPr>
      <w:r>
        <w:lastRenderedPageBreak/>
        <w:t>Anthropogenic (Technic) erosion: i.e. tillage erosion (on-site soil loss after tillage of sloping land), harvesting erosion (off-site losses of soil adhering to the crop during harvest, mainly of</w:t>
      </w:r>
      <w:r w:rsidRPr="00F90116">
        <w:t xml:space="preserve"> </w:t>
      </w:r>
      <w:r>
        <w:t>root and tuber crops), erosion caused by trampling of livestock (on-site soil loss in combination with overgrazing and removal or reduction of vegetation cover, and especially on steep slopes, with subsequent soil displacement)</w:t>
      </w:r>
    </w:p>
    <w:p w14:paraId="3B1C3437" w14:textId="77777777" w:rsidR="00604E62" w:rsidRDefault="00604E62" w:rsidP="00653937"/>
    <w:p w14:paraId="16409468" w14:textId="2563692E" w:rsidR="001E6773" w:rsidRDefault="001E6773" w:rsidP="00653937">
      <w:r>
        <w:t xml:space="preserve">Monitoring these </w:t>
      </w:r>
      <w:r w:rsidR="003E2039">
        <w:t>different</w:t>
      </w:r>
      <w:r>
        <w:t xml:space="preserve"> forms of erosion is challenging, because they operate at different spatial and temportal scales (</w:t>
      </w:r>
      <w:r w:rsidRPr="00D22836">
        <w:t>Stroosnijder 2005</w:t>
      </w:r>
      <w:r>
        <w:t>). In addition, several processes ca</w:t>
      </w:r>
      <w:r w:rsidR="00692EA8">
        <w:t>n</w:t>
      </w:r>
      <w:r>
        <w:t xml:space="preserve"> also occur in parallel, or trigger each other, such as trampling and water erosion, water and tillage erosion, or water erosion and harvesting </w:t>
      </w:r>
      <w:r w:rsidRPr="00F32E9F">
        <w:t xml:space="preserve">erosion. </w:t>
      </w:r>
      <w:r w:rsidR="00F32E9F" w:rsidRPr="00F32E9F">
        <w:t xml:space="preserve">Boardman and </w:t>
      </w:r>
      <w:r w:rsidRPr="00F32E9F">
        <w:t>Poesen (200</w:t>
      </w:r>
      <w:r w:rsidR="00F32E9F" w:rsidRPr="00F32E9F">
        <w:t>6</w:t>
      </w:r>
      <w:r w:rsidRPr="00F32E9F">
        <w:t>) summarize</w:t>
      </w:r>
      <w:r>
        <w:t xml:space="preserve"> the relative importance of the main soil erosion processes </w:t>
      </w:r>
      <w:r w:rsidR="00D2571D">
        <w:t>for Europe</w:t>
      </w:r>
      <w:r>
        <w:t xml:space="preserve"> (</w:t>
      </w:r>
      <w:r w:rsidR="00D2571D">
        <w:t xml:space="preserve">typical erosion rates for Belgium are presented in </w:t>
      </w:r>
      <w:r w:rsidR="0037472D">
        <w:fldChar w:fldCharType="begin"/>
      </w:r>
      <w:r w:rsidR="0037472D">
        <w:instrText xml:space="preserve"> REF _Ref64641238 \h </w:instrText>
      </w:r>
      <w:r w:rsidR="00653937">
        <w:instrText xml:space="preserve"> \* MERGEFORMAT </w:instrText>
      </w:r>
      <w:r w:rsidR="0037472D">
        <w:fldChar w:fldCharType="separate"/>
      </w:r>
      <w:r w:rsidR="0067767C">
        <w:t xml:space="preserve">Table </w:t>
      </w:r>
      <w:r w:rsidR="0067767C">
        <w:rPr>
          <w:noProof/>
        </w:rPr>
        <w:t>7</w:t>
      </w:r>
      <w:r w:rsidR="0067767C">
        <w:rPr>
          <w:noProof/>
        </w:rPr>
        <w:noBreakHyphen/>
        <w:t>2</w:t>
      </w:r>
      <w:r w:rsidR="0037472D">
        <w:fldChar w:fldCharType="end"/>
      </w:r>
      <w:r>
        <w:t>).</w:t>
      </w:r>
      <w:r w:rsidRPr="00354C52">
        <w:t xml:space="preserve"> </w:t>
      </w:r>
      <w:r>
        <w:t xml:space="preserve">The most extensive form of erosion in Europe is </w:t>
      </w:r>
      <w:r w:rsidRPr="001A1D40">
        <w:rPr>
          <w:b/>
          <w:bCs/>
        </w:rPr>
        <w:t>water erosion</w:t>
      </w:r>
      <w:r>
        <w:t xml:space="preserve">, in particular </w:t>
      </w:r>
      <w:r w:rsidRPr="001A1D40">
        <w:rPr>
          <w:b/>
          <w:bCs/>
        </w:rPr>
        <w:t>rill erosion</w:t>
      </w:r>
      <w:r>
        <w:t xml:space="preserve">. </w:t>
      </w:r>
      <w:r w:rsidRPr="00CB305C">
        <w:t>For soil loss due to crop harvest (sugar beet and potato)</w:t>
      </w:r>
      <w:r>
        <w:t>,</w:t>
      </w:r>
      <w:r w:rsidRPr="00CB305C">
        <w:t xml:space="preserve"> see Panagos et al. </w:t>
      </w:r>
      <w:r>
        <w:t>(</w:t>
      </w:r>
      <w:r w:rsidR="00C919A3">
        <w:t>2020</w:t>
      </w:r>
      <w:r>
        <w:t>).</w:t>
      </w:r>
      <w:r w:rsidRPr="00CB305C">
        <w:t xml:space="preserve"> </w:t>
      </w:r>
      <w:r>
        <w:t xml:space="preserve">Poesen et al. (2018) also list other forms of erosion which deserve attention: subsurface erosion resulting in piping and </w:t>
      </w:r>
      <w:r w:rsidR="009855CA">
        <w:t>tunnelling</w:t>
      </w:r>
      <w:r>
        <w:t xml:space="preserve">, land </w:t>
      </w:r>
      <w:r w:rsidR="009855CA">
        <w:t>levelling</w:t>
      </w:r>
      <w:r>
        <w:t>, soil quarrying and trench digging. Some of these forms are related to the urban</w:t>
      </w:r>
      <w:r w:rsidR="00B61F96">
        <w:t xml:space="preserve"> sprawl</w:t>
      </w:r>
      <w:r>
        <w:t>, and are often combined with soil relocation for construction projects.</w:t>
      </w:r>
      <w:r w:rsidR="00D97752">
        <w:t xml:space="preserve"> </w:t>
      </w:r>
      <w:r w:rsidR="001A05F3" w:rsidRPr="001A05F3">
        <w:t xml:space="preserve">Soil erosion </w:t>
      </w:r>
      <w:r w:rsidR="00AE48DA">
        <w:t xml:space="preserve">also occurs along the embankments </w:t>
      </w:r>
      <w:r w:rsidR="001A05F3" w:rsidRPr="001A05F3">
        <w:t>of road and railway</w:t>
      </w:r>
      <w:r w:rsidR="00AE48DA">
        <w:t>, as well as touristic</w:t>
      </w:r>
      <w:r w:rsidR="00911A4F">
        <w:t>,</w:t>
      </w:r>
      <w:r w:rsidR="00AE48DA">
        <w:t xml:space="preserve"> </w:t>
      </w:r>
      <w:r w:rsidR="00911A4F">
        <w:t xml:space="preserve">infrastructure </w:t>
      </w:r>
      <w:r w:rsidR="001A05F3" w:rsidRPr="001A05F3">
        <w:t>(Seutloali and Beckedahl, 2015; Salesa and Cerdà, 2020).</w:t>
      </w:r>
    </w:p>
    <w:p w14:paraId="468A1D11" w14:textId="77777777" w:rsidR="001E6773" w:rsidRDefault="001E6773" w:rsidP="00B61F96">
      <w:pPr>
        <w:spacing w:before="120"/>
      </w:pPr>
    </w:p>
    <w:p w14:paraId="3B89F35C" w14:textId="70E49C4E" w:rsidR="001E6773" w:rsidRDefault="001E6773" w:rsidP="001E6773">
      <w:pPr>
        <w:pStyle w:val="EEALabel"/>
        <w:rPr>
          <w:rFonts w:eastAsia="Calibri"/>
        </w:rPr>
      </w:pPr>
      <w:bookmarkStart w:id="331" w:name="_Ref64641238"/>
      <w:bookmarkStart w:id="332" w:name="_Toc83997528"/>
      <w:r>
        <w:t xml:space="preserve">Table </w:t>
      </w:r>
      <w:r w:rsidR="00C76C23">
        <w:fldChar w:fldCharType="begin"/>
      </w:r>
      <w:r w:rsidR="00C76C23">
        <w:instrText xml:space="preserve"> STYLEREF 1 \s </w:instrText>
      </w:r>
      <w:r w:rsidR="00C76C23">
        <w:fldChar w:fldCharType="separate"/>
      </w:r>
      <w:r w:rsidR="0067767C">
        <w:rPr>
          <w:noProof/>
        </w:rPr>
        <w:t>7</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331"/>
      <w:r>
        <w:t>:</w:t>
      </w:r>
      <w:r>
        <w:rPr>
          <w:rFonts w:eastAsia="Calibri"/>
        </w:rPr>
        <w:tab/>
      </w:r>
      <w:r w:rsidRPr="008E325D">
        <w:rPr>
          <w:rFonts w:eastAsia="Calibri"/>
        </w:rPr>
        <w:t>Mean annual rates of soil loss from different erosion processes for cropland in central Belgium</w:t>
      </w:r>
      <w:bookmarkEnd w:id="332"/>
      <w:r w:rsidRPr="008E325D">
        <w:rPr>
          <w:rFonts w:eastAsia="Calibri"/>
        </w:rPr>
        <w:t xml:space="preserve"> </w:t>
      </w:r>
    </w:p>
    <w:p w14:paraId="3649F6A0" w14:textId="77777777" w:rsidR="001E6773" w:rsidRDefault="001E6773" w:rsidP="001E6773">
      <w:pPr>
        <w:ind w:left="993" w:hanging="993"/>
      </w:pPr>
    </w:p>
    <w:tbl>
      <w:tblPr>
        <w:tblStyle w:val="Tabellenraster"/>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3964"/>
        <w:gridCol w:w="1422"/>
        <w:gridCol w:w="1701"/>
      </w:tblGrid>
      <w:tr w:rsidR="001E6773" w14:paraId="27785448" w14:textId="77777777" w:rsidTr="00B030DC">
        <w:tc>
          <w:tcPr>
            <w:tcW w:w="3964" w:type="dxa"/>
            <w:shd w:val="pct10" w:color="auto" w:fill="auto"/>
            <w:vAlign w:val="center"/>
          </w:tcPr>
          <w:p w14:paraId="4E8728AC" w14:textId="77777777" w:rsidR="001E6773" w:rsidRPr="00B030DC" w:rsidRDefault="001E6773" w:rsidP="00653937">
            <w:pPr>
              <w:pStyle w:val="EEAtableleftbold"/>
            </w:pPr>
            <w:r w:rsidRPr="00B030DC">
              <w:t>Process</w:t>
            </w:r>
          </w:p>
        </w:tc>
        <w:tc>
          <w:tcPr>
            <w:tcW w:w="1134" w:type="dxa"/>
            <w:shd w:val="pct10" w:color="auto" w:fill="auto"/>
            <w:vAlign w:val="center"/>
          </w:tcPr>
          <w:p w14:paraId="32303271" w14:textId="77777777" w:rsidR="001E6773" w:rsidRDefault="001E6773" w:rsidP="00B030DC">
            <w:pPr>
              <w:pStyle w:val="EEATabcenterbold"/>
            </w:pPr>
            <w:r>
              <w:t>Soil loss (t/ha/yr)</w:t>
            </w:r>
          </w:p>
        </w:tc>
        <w:tc>
          <w:tcPr>
            <w:tcW w:w="1701" w:type="dxa"/>
            <w:shd w:val="pct10" w:color="auto" w:fill="auto"/>
            <w:vAlign w:val="center"/>
          </w:tcPr>
          <w:p w14:paraId="7E0BD85D" w14:textId="77777777" w:rsidR="001E6773" w:rsidRDefault="001E6773" w:rsidP="00B030DC">
            <w:pPr>
              <w:pStyle w:val="EEATabcenterbold"/>
            </w:pPr>
            <w:r>
              <w:t>Fraction of total soil loss (%)</w:t>
            </w:r>
          </w:p>
        </w:tc>
      </w:tr>
      <w:tr w:rsidR="001E6773" w14:paraId="325ABD47" w14:textId="77777777" w:rsidTr="00B030DC">
        <w:tc>
          <w:tcPr>
            <w:tcW w:w="3964" w:type="dxa"/>
          </w:tcPr>
          <w:p w14:paraId="4E462898" w14:textId="77777777" w:rsidR="001E6773" w:rsidRDefault="001E6773" w:rsidP="00B030DC">
            <w:pPr>
              <w:pStyle w:val="EEAtableleft"/>
            </w:pPr>
            <w:r>
              <w:t>Water erosion</w:t>
            </w:r>
          </w:p>
        </w:tc>
        <w:tc>
          <w:tcPr>
            <w:tcW w:w="1134" w:type="dxa"/>
          </w:tcPr>
          <w:p w14:paraId="74903245" w14:textId="77777777" w:rsidR="001E6773" w:rsidRDefault="001E6773" w:rsidP="00B030DC">
            <w:pPr>
              <w:pStyle w:val="EEATabcenter"/>
            </w:pPr>
          </w:p>
        </w:tc>
        <w:tc>
          <w:tcPr>
            <w:tcW w:w="1701" w:type="dxa"/>
          </w:tcPr>
          <w:p w14:paraId="5AE58636" w14:textId="77777777" w:rsidR="001E6773" w:rsidRDefault="001E6773" w:rsidP="00B030DC">
            <w:pPr>
              <w:pStyle w:val="EEATabcenter"/>
            </w:pPr>
          </w:p>
        </w:tc>
      </w:tr>
      <w:tr w:rsidR="001E6773" w14:paraId="21A7653B" w14:textId="77777777" w:rsidTr="00B030DC">
        <w:tc>
          <w:tcPr>
            <w:tcW w:w="3964" w:type="dxa"/>
          </w:tcPr>
          <w:p w14:paraId="5E1C29B4" w14:textId="77777777" w:rsidR="001E6773" w:rsidRDefault="001E6773" w:rsidP="00B030DC">
            <w:pPr>
              <w:pStyle w:val="EEAtableleft"/>
            </w:pPr>
            <w:r>
              <w:t>Sheet and rill erosion</w:t>
            </w:r>
          </w:p>
        </w:tc>
        <w:tc>
          <w:tcPr>
            <w:tcW w:w="1134" w:type="dxa"/>
          </w:tcPr>
          <w:p w14:paraId="7978C138" w14:textId="77777777" w:rsidR="001E6773" w:rsidRDefault="001E6773" w:rsidP="00B030DC">
            <w:pPr>
              <w:pStyle w:val="EEATabcenter"/>
            </w:pPr>
            <w:r>
              <w:tab/>
              <w:t>6.9</w:t>
            </w:r>
          </w:p>
        </w:tc>
        <w:tc>
          <w:tcPr>
            <w:tcW w:w="1701" w:type="dxa"/>
          </w:tcPr>
          <w:p w14:paraId="28997197" w14:textId="77777777" w:rsidR="001E6773" w:rsidRDefault="001E6773" w:rsidP="00B030DC">
            <w:pPr>
              <w:pStyle w:val="EEATabcenter"/>
            </w:pPr>
            <w:r>
              <w:tab/>
              <w:t>26.5</w:t>
            </w:r>
          </w:p>
        </w:tc>
      </w:tr>
      <w:tr w:rsidR="001E6773" w14:paraId="17EFB749" w14:textId="77777777" w:rsidTr="00B030DC">
        <w:tc>
          <w:tcPr>
            <w:tcW w:w="3964" w:type="dxa"/>
          </w:tcPr>
          <w:p w14:paraId="2DE344D4" w14:textId="77777777" w:rsidR="001E6773" w:rsidRDefault="001E6773" w:rsidP="00B030DC">
            <w:pPr>
              <w:pStyle w:val="EEAtableleft"/>
            </w:pPr>
            <w:r>
              <w:t>Ephemeral gully erosion</w:t>
            </w:r>
          </w:p>
        </w:tc>
        <w:tc>
          <w:tcPr>
            <w:tcW w:w="1134" w:type="dxa"/>
          </w:tcPr>
          <w:p w14:paraId="02D43BEE" w14:textId="77777777" w:rsidR="001E6773" w:rsidRDefault="001E6773" w:rsidP="00B030DC">
            <w:pPr>
              <w:pStyle w:val="EEATabcenter"/>
            </w:pPr>
            <w:r>
              <w:tab/>
              <w:t>5.4</w:t>
            </w:r>
          </w:p>
        </w:tc>
        <w:tc>
          <w:tcPr>
            <w:tcW w:w="1701" w:type="dxa"/>
          </w:tcPr>
          <w:p w14:paraId="230BD4CE" w14:textId="77777777" w:rsidR="001E6773" w:rsidRDefault="001E6773" w:rsidP="00B030DC">
            <w:pPr>
              <w:pStyle w:val="EEATabcenter"/>
            </w:pPr>
            <w:r>
              <w:tab/>
              <w:t>20.8</w:t>
            </w:r>
          </w:p>
        </w:tc>
      </w:tr>
      <w:tr w:rsidR="001E6773" w14:paraId="5B5E8E9E" w14:textId="77777777" w:rsidTr="00B030DC">
        <w:tc>
          <w:tcPr>
            <w:tcW w:w="3964" w:type="dxa"/>
          </w:tcPr>
          <w:p w14:paraId="62572AD5" w14:textId="77777777" w:rsidR="001E6773" w:rsidRDefault="001E6773" w:rsidP="00B030DC">
            <w:pPr>
              <w:pStyle w:val="EEAtableleft"/>
            </w:pPr>
            <w:r>
              <w:t>Tillage erosion</w:t>
            </w:r>
          </w:p>
        </w:tc>
        <w:tc>
          <w:tcPr>
            <w:tcW w:w="1134" w:type="dxa"/>
          </w:tcPr>
          <w:p w14:paraId="451319E0" w14:textId="77777777" w:rsidR="001E6773" w:rsidRDefault="001E6773" w:rsidP="00B030DC">
            <w:pPr>
              <w:pStyle w:val="EEATabcenter"/>
            </w:pPr>
            <w:r>
              <w:tab/>
              <w:t>8.7</w:t>
            </w:r>
          </w:p>
        </w:tc>
        <w:tc>
          <w:tcPr>
            <w:tcW w:w="1701" w:type="dxa"/>
          </w:tcPr>
          <w:p w14:paraId="08D480D1" w14:textId="77777777" w:rsidR="001E6773" w:rsidRDefault="001E6773" w:rsidP="00B030DC">
            <w:pPr>
              <w:pStyle w:val="EEATabcenter"/>
            </w:pPr>
            <w:r>
              <w:tab/>
              <w:t>33.5</w:t>
            </w:r>
          </w:p>
        </w:tc>
      </w:tr>
      <w:tr w:rsidR="001E6773" w14:paraId="77D3232C" w14:textId="77777777" w:rsidTr="00B030DC">
        <w:tc>
          <w:tcPr>
            <w:tcW w:w="3964" w:type="dxa"/>
          </w:tcPr>
          <w:p w14:paraId="5592222F" w14:textId="77777777" w:rsidR="001E6773" w:rsidRDefault="001E6773" w:rsidP="00B030DC">
            <w:pPr>
              <w:pStyle w:val="EEAtableleft"/>
            </w:pPr>
            <w:r>
              <w:t>Soil loss by crop harvesting</w:t>
            </w:r>
          </w:p>
        </w:tc>
        <w:tc>
          <w:tcPr>
            <w:tcW w:w="1134" w:type="dxa"/>
          </w:tcPr>
          <w:p w14:paraId="6236364B" w14:textId="77777777" w:rsidR="001E6773" w:rsidRDefault="001E6773" w:rsidP="00B030DC">
            <w:pPr>
              <w:pStyle w:val="EEATabcenter"/>
            </w:pPr>
            <w:r>
              <w:tab/>
              <w:t>5.0</w:t>
            </w:r>
          </w:p>
        </w:tc>
        <w:tc>
          <w:tcPr>
            <w:tcW w:w="1701" w:type="dxa"/>
          </w:tcPr>
          <w:p w14:paraId="54CDD78D" w14:textId="77777777" w:rsidR="001E6773" w:rsidRDefault="001E6773" w:rsidP="00B030DC">
            <w:pPr>
              <w:pStyle w:val="EEATabcenter"/>
            </w:pPr>
            <w:r>
              <w:tab/>
              <w:t>19.2</w:t>
            </w:r>
          </w:p>
        </w:tc>
      </w:tr>
      <w:tr w:rsidR="001E6773" w14:paraId="21C64519" w14:textId="77777777" w:rsidTr="00B030DC">
        <w:tc>
          <w:tcPr>
            <w:tcW w:w="3964" w:type="dxa"/>
          </w:tcPr>
          <w:p w14:paraId="79F93ED9" w14:textId="77777777" w:rsidR="001E6773" w:rsidRDefault="001E6773" w:rsidP="00B030DC">
            <w:pPr>
              <w:pStyle w:val="EEAtableleft"/>
            </w:pPr>
            <w:r>
              <w:t>Total</w:t>
            </w:r>
          </w:p>
        </w:tc>
        <w:tc>
          <w:tcPr>
            <w:tcW w:w="1134" w:type="dxa"/>
          </w:tcPr>
          <w:p w14:paraId="69ED1260" w14:textId="77777777" w:rsidR="001E6773" w:rsidRDefault="001E6773" w:rsidP="00B030DC">
            <w:pPr>
              <w:pStyle w:val="EEATabcenter"/>
            </w:pPr>
            <w:r>
              <w:tab/>
              <w:t>26.0</w:t>
            </w:r>
          </w:p>
        </w:tc>
        <w:tc>
          <w:tcPr>
            <w:tcW w:w="1701" w:type="dxa"/>
          </w:tcPr>
          <w:p w14:paraId="46E6DD58" w14:textId="77777777" w:rsidR="001E6773" w:rsidRDefault="001E6773" w:rsidP="00B030DC">
            <w:pPr>
              <w:pStyle w:val="EEATabcenter"/>
            </w:pPr>
            <w:r>
              <w:tab/>
              <w:t>100.0</w:t>
            </w:r>
          </w:p>
        </w:tc>
      </w:tr>
    </w:tbl>
    <w:p w14:paraId="4E55988A" w14:textId="5552C96A" w:rsidR="001E6773" w:rsidRDefault="00B030DC" w:rsidP="001C6C1E">
      <w:pPr>
        <w:pStyle w:val="EEASource"/>
      </w:pPr>
      <w:r w:rsidRPr="00C919A3">
        <w:rPr>
          <w:rFonts w:eastAsia="Calibri"/>
          <w:b/>
        </w:rPr>
        <w:t>Source:</w:t>
      </w:r>
      <w:r>
        <w:rPr>
          <w:rFonts w:eastAsia="Calibri"/>
        </w:rPr>
        <w:t xml:space="preserve"> </w:t>
      </w:r>
      <w:r w:rsidR="00C919A3">
        <w:rPr>
          <w:rFonts w:eastAsia="Calibri"/>
        </w:rPr>
        <w:tab/>
      </w:r>
      <w:r w:rsidRPr="008E325D">
        <w:rPr>
          <w:rFonts w:eastAsia="Calibri"/>
        </w:rPr>
        <w:t xml:space="preserve">Poesen et al. </w:t>
      </w:r>
      <w:r>
        <w:rPr>
          <w:rFonts w:eastAsia="Calibri"/>
        </w:rPr>
        <w:t>(</w:t>
      </w:r>
      <w:r w:rsidRPr="008E325D">
        <w:rPr>
          <w:rFonts w:eastAsia="Calibri"/>
        </w:rPr>
        <w:t>2018)</w:t>
      </w:r>
    </w:p>
    <w:p w14:paraId="4928DBA3" w14:textId="134C3678" w:rsidR="00B030DC" w:rsidRDefault="00B030DC" w:rsidP="001E6773"/>
    <w:p w14:paraId="44C9B269" w14:textId="7C6CEE1B" w:rsidR="001E6773" w:rsidRDefault="001E6773" w:rsidP="00653937">
      <w:r>
        <w:t xml:space="preserve">The different erosion types vary considerably between locations. According to </w:t>
      </w:r>
      <w:r w:rsidRPr="003135BB">
        <w:t>Boardman and Poesen</w:t>
      </w:r>
      <w:r w:rsidR="00D2571D">
        <w:t xml:space="preserve"> (</w:t>
      </w:r>
      <w:r w:rsidRPr="003135BB">
        <w:t>2006</w:t>
      </w:r>
      <w:r>
        <w:t xml:space="preserve">), gully erosion in the Mediterranean region can account for 10–80% of the total erosion on cultivated and grazed land, whereas rill erosion can clearly dominate in temperate areas where erosive rainfall events are less frequent and </w:t>
      </w:r>
      <w:r w:rsidRPr="00562E1A">
        <w:t>strong</w:t>
      </w:r>
      <w:r w:rsidR="00E675E1">
        <w:t xml:space="preserve">; this has consequences for </w:t>
      </w:r>
      <w:r w:rsidR="00CB2C1C">
        <w:t>the development of an effective and reliable monitoring system</w:t>
      </w:r>
      <w:r w:rsidRPr="00562E1A">
        <w:t>.</w:t>
      </w:r>
      <w:r>
        <w:t xml:space="preserve"> However, erosive rainfalls are believed to increase with climate change in all parts of Europe </w:t>
      </w:r>
      <w:r w:rsidRPr="0041032B">
        <w:t xml:space="preserve">(see </w:t>
      </w:r>
      <w:r w:rsidRPr="00E617DB">
        <w:t>also Burt et al., 2015, for</w:t>
      </w:r>
      <w:r w:rsidRPr="0041032B">
        <w:t xml:space="preserve"> a case study in England)</w:t>
      </w:r>
      <w:r>
        <w:t>.</w:t>
      </w:r>
      <w:r w:rsidR="00416EEA">
        <w:t xml:space="preserve"> </w:t>
      </w:r>
      <w:r>
        <w:t>The type of soil erosion which prevails at specific climatic conditions, management type (</w:t>
      </w:r>
      <w:r w:rsidR="00416EEA">
        <w:t>e.g.,</w:t>
      </w:r>
      <w:r>
        <w:t xml:space="preserve"> root crops), site or region, how erosion can be best monitored.</w:t>
      </w:r>
    </w:p>
    <w:p w14:paraId="08CE3C8A" w14:textId="77777777" w:rsidR="001E6773" w:rsidRDefault="001E6773" w:rsidP="00653937"/>
    <w:p w14:paraId="6906967D" w14:textId="153A4C8A" w:rsidR="00B030DC" w:rsidRPr="009D5972" w:rsidRDefault="00145864" w:rsidP="002C488D">
      <w:pPr>
        <w:pStyle w:val="berschrift2"/>
        <w:numPr>
          <w:ilvl w:val="2"/>
          <w:numId w:val="3"/>
        </w:numPr>
        <w:rPr>
          <w:rStyle w:val="FormatvorlageFormatvorlageberschrift3Zchn1"/>
        </w:rPr>
      </w:pPr>
      <w:bookmarkStart w:id="333" w:name="_Toc83997382"/>
      <w:r w:rsidRPr="00145864">
        <w:rPr>
          <w:rStyle w:val="FormatvorlageFormatvorlageberschrift3Zchn1"/>
        </w:rPr>
        <w:t>Soil erosion and ecosystem services</w:t>
      </w:r>
      <w:bookmarkEnd w:id="333"/>
      <w:r w:rsidRPr="00145864">
        <w:rPr>
          <w:rStyle w:val="FormatvorlageFormatvorlageberschrift3Zchn1"/>
        </w:rPr>
        <w:t xml:space="preserve"> </w:t>
      </w:r>
    </w:p>
    <w:p w14:paraId="6AB43132" w14:textId="77777777" w:rsidR="00B030DC" w:rsidRDefault="00B030DC" w:rsidP="001E6773"/>
    <w:p w14:paraId="39111C54" w14:textId="75E94BD5" w:rsidR="001E6773" w:rsidRDefault="001E6773" w:rsidP="001E6773">
      <w:r>
        <w:t xml:space="preserve">The role of soils and ecosystem services </w:t>
      </w:r>
      <w:r w:rsidRPr="00C919A3">
        <w:t xml:space="preserve">has been introduced in </w:t>
      </w:r>
      <w:r w:rsidR="00C919A3">
        <w:t>c</w:t>
      </w:r>
      <w:r w:rsidRPr="00C919A3">
        <w:t xml:space="preserve">hapter </w:t>
      </w:r>
      <w:r w:rsidR="00C919A3" w:rsidRPr="00C919A3">
        <w:fldChar w:fldCharType="begin"/>
      </w:r>
      <w:r w:rsidR="00C919A3" w:rsidRPr="00C919A3">
        <w:instrText xml:space="preserve"> REF _Ref64641959 \r \h </w:instrText>
      </w:r>
      <w:r w:rsidR="00C919A3">
        <w:instrText xml:space="preserve"> \* MERGEFORMAT </w:instrText>
      </w:r>
      <w:r w:rsidR="00C919A3" w:rsidRPr="00C919A3">
        <w:fldChar w:fldCharType="separate"/>
      </w:r>
      <w:r w:rsidR="0067767C">
        <w:t>1.2</w:t>
      </w:r>
      <w:r w:rsidR="00C919A3" w:rsidRPr="00C919A3">
        <w:fldChar w:fldCharType="end"/>
      </w:r>
      <w:r w:rsidRPr="00C919A3">
        <w:t>. With</w:t>
      </w:r>
      <w:r>
        <w:t xml:space="preserve"> regard to soil erosion, specific ecosystem</w:t>
      </w:r>
      <w:r w:rsidRPr="00FB254B">
        <w:t xml:space="preserve"> services </w:t>
      </w:r>
      <w:r>
        <w:t xml:space="preserve">affected include </w:t>
      </w:r>
      <w:r w:rsidRPr="00FB254B">
        <w:t>crop growth, water filtration and water flow regulation and fresh water provision</w:t>
      </w:r>
      <w:r>
        <w:t>.</w:t>
      </w:r>
      <w:r w:rsidRPr="00FB254B" w:rsidDel="00EA098C">
        <w:t xml:space="preserve"> </w:t>
      </w:r>
      <w:r>
        <w:t>The c</w:t>
      </w:r>
      <w:r w:rsidRPr="000A4C94">
        <w:t>ontrol of erosion rates</w:t>
      </w:r>
      <w:r>
        <w:t xml:space="preserve"> </w:t>
      </w:r>
      <w:r w:rsidRPr="000A4C94">
        <w:t xml:space="preserve">is a regulating </w:t>
      </w:r>
      <w:r>
        <w:t>ecosystem service by itself, representing the reduction of soil loss by ecosystems, more particularly of the vegetation covering the ground, compared to bare soil (Guerra et al. 2014). Impacts of soil erosion on soil-related ecosystem services can be monitored or modelled, and then serves as proxy to estimate the negative effects of soil erosion, and to define thresholds on tolerable soil loss rates.</w:t>
      </w:r>
    </w:p>
    <w:p w14:paraId="6078A57F" w14:textId="77777777" w:rsidR="001E6773" w:rsidRDefault="001E6773" w:rsidP="001E6773"/>
    <w:p w14:paraId="0F71D0F5" w14:textId="62FFD3FB" w:rsidR="001E6773" w:rsidRDefault="001E6773" w:rsidP="001E6773">
      <w:r>
        <w:lastRenderedPageBreak/>
        <w:t>Soil erosion causes the thinning of top soil, with subsequent decreases in SOM and waterholding capacity and subsequent negative long-term effects on various biological and chemical soil processes. Both parameters are key for the before-</w:t>
      </w:r>
      <w:r w:rsidR="00FA056E">
        <w:t>mentioned</w:t>
      </w:r>
      <w:r>
        <w:t xml:space="preserve"> soil-related ecosystem services. This is reflected also in the study of erosion effects on ecosystem services by </w:t>
      </w:r>
      <w:r w:rsidRPr="00573988">
        <w:t>Steinhoff-Knopp</w:t>
      </w:r>
      <w:r>
        <w:t xml:space="preserve"> et al. (2020). There, subindicators for the soil-related ecosystem services were quantified (</w:t>
      </w:r>
      <w:r w:rsidRPr="00591C23">
        <w:t>crop provision</w:t>
      </w:r>
      <w:r>
        <w:t xml:space="preserve">, </w:t>
      </w:r>
      <w:r w:rsidRPr="00591C23">
        <w:t>water filtration</w:t>
      </w:r>
      <w:r>
        <w:t xml:space="preserve">, </w:t>
      </w:r>
      <w:r w:rsidRPr="00591C23">
        <w:t>water flow regulation</w:t>
      </w:r>
      <w:r>
        <w:t xml:space="preserve">, </w:t>
      </w:r>
      <w:r w:rsidRPr="00591C23">
        <w:t>fresh water provisioning</w:t>
      </w:r>
      <w:r>
        <w:t xml:space="preserve">), using pedotransfer functions based on local soil properties, management and climate (Mueller and Waldeck, 2011; </w:t>
      </w:r>
      <w:r w:rsidRPr="00107120">
        <w:t>Mueller et al.</w:t>
      </w:r>
      <w:r>
        <w:t>,</w:t>
      </w:r>
      <w:r w:rsidRPr="00107120">
        <w:t xml:space="preserve"> 2013</w:t>
      </w:r>
      <w:r>
        <w:t>)</w:t>
      </w:r>
      <w:r w:rsidRPr="00591C23">
        <w:t>.</w:t>
      </w:r>
      <w:r>
        <w:t xml:space="preserve"> Therefore, the approach is site-specific and takes into account the spatial variability of covariates which determine the degree of soil erosion. With the help of an evaluation matrix, the authors could quantify the potential supply of soil-related ecosystem services of degraded soils (</w:t>
      </w:r>
      <w:r w:rsidR="0037472D">
        <w:fldChar w:fldCharType="begin"/>
      </w:r>
      <w:r w:rsidR="0037472D">
        <w:instrText xml:space="preserve"> REF _Ref64641309 \h </w:instrText>
      </w:r>
      <w:r w:rsidR="0037472D">
        <w:fldChar w:fldCharType="separate"/>
      </w:r>
      <w:r w:rsidR="0067767C">
        <w:t xml:space="preserve">Table </w:t>
      </w:r>
      <w:r w:rsidR="0067767C">
        <w:rPr>
          <w:noProof/>
        </w:rPr>
        <w:t>7</w:t>
      </w:r>
      <w:r w:rsidR="0067767C">
        <w:noBreakHyphen/>
      </w:r>
      <w:r w:rsidR="0067767C">
        <w:rPr>
          <w:noProof/>
        </w:rPr>
        <w:t>3</w:t>
      </w:r>
      <w:r w:rsidR="0037472D">
        <w:fldChar w:fldCharType="end"/>
      </w:r>
      <w:r>
        <w:t xml:space="preserve">) and evaluate the impact of soil erosion on soil-related ecosystem services. </w:t>
      </w:r>
    </w:p>
    <w:p w14:paraId="1C69F5FD" w14:textId="77777777" w:rsidR="001E6773" w:rsidRDefault="001E6773" w:rsidP="001E6773"/>
    <w:p w14:paraId="280E9A1E" w14:textId="02516B1A" w:rsidR="001E6773" w:rsidRDefault="001E6773" w:rsidP="001E6773">
      <w:r>
        <w:t xml:space="preserve">Within this concept, the reduction of ecosystem service supply after erosion can be quantified based on the changes of soil properties caused by the loss of fertile topsoil from erosion. </w:t>
      </w:r>
      <w:r w:rsidRPr="00BD62D6">
        <w:t>If a min</w:t>
      </w:r>
      <w:r>
        <w:t xml:space="preserve">imum good status of </w:t>
      </w:r>
      <w:r w:rsidRPr="00C919A3">
        <w:t xml:space="preserve">potential ecosystem service supply is set as a target, site-specific </w:t>
      </w:r>
      <w:r w:rsidRPr="00C919A3">
        <w:rPr>
          <w:b/>
          <w:bCs/>
        </w:rPr>
        <w:t xml:space="preserve">limits for </w:t>
      </w:r>
      <w:r w:rsidR="00811F8D" w:rsidRPr="00C919A3">
        <w:rPr>
          <w:b/>
          <w:bCs/>
        </w:rPr>
        <w:t>tolerable</w:t>
      </w:r>
      <w:r w:rsidRPr="00C919A3">
        <w:rPr>
          <w:b/>
          <w:bCs/>
        </w:rPr>
        <w:t xml:space="preserve"> erosion rates</w:t>
      </w:r>
      <w:r w:rsidRPr="00C919A3">
        <w:t xml:space="preserve"> can be derived (see </w:t>
      </w:r>
      <w:r w:rsidR="00C919A3" w:rsidRPr="00C919A3">
        <w:t>c</w:t>
      </w:r>
      <w:r w:rsidRPr="00C919A3">
        <w:t xml:space="preserve">hapter </w:t>
      </w:r>
      <w:r w:rsidR="00C919A3" w:rsidRPr="00C919A3">
        <w:fldChar w:fldCharType="begin"/>
      </w:r>
      <w:r w:rsidR="00C919A3" w:rsidRPr="00C919A3">
        <w:instrText xml:space="preserve"> REF _Ref64642014 \r \h </w:instrText>
      </w:r>
      <w:r w:rsidR="00C919A3">
        <w:instrText xml:space="preserve"> \* MERGEFORMAT </w:instrText>
      </w:r>
      <w:r w:rsidR="00C919A3" w:rsidRPr="00C919A3">
        <w:fldChar w:fldCharType="separate"/>
      </w:r>
      <w:r w:rsidR="0067767C">
        <w:t>7.3</w:t>
      </w:r>
      <w:r w:rsidR="00C919A3" w:rsidRPr="00C919A3">
        <w:fldChar w:fldCharType="end"/>
      </w:r>
      <w:r w:rsidRPr="00C919A3">
        <w:t>). It has to</w:t>
      </w:r>
      <w:r>
        <w:t xml:space="preserve"> be emphasised, that the underlaying matrix of subindicators requires validation for soil and climatic conditions outside the case study in Northern Germany. The approach can be easily extended to other parts of Europe where spatial estimates of erosion rates are available.</w:t>
      </w:r>
    </w:p>
    <w:p w14:paraId="533B3502" w14:textId="77777777" w:rsidR="001E6773" w:rsidRDefault="001E6773" w:rsidP="001E6773"/>
    <w:p w14:paraId="216D6BD7" w14:textId="77777777" w:rsidR="001E6773" w:rsidRDefault="001E6773" w:rsidP="001E6773"/>
    <w:p w14:paraId="7DCECFF9" w14:textId="54155366" w:rsidR="001E6773" w:rsidRPr="00BF6D3F" w:rsidRDefault="0037472D" w:rsidP="001E6773">
      <w:pPr>
        <w:pStyle w:val="EEALabel"/>
        <w:spacing w:after="120"/>
        <w:rPr>
          <w:rFonts w:eastAsia="Calibri"/>
        </w:rPr>
      </w:pPr>
      <w:bookmarkStart w:id="334" w:name="_Ref64641309"/>
      <w:bookmarkStart w:id="335" w:name="_Toc83997529"/>
      <w:r>
        <w:t xml:space="preserve">Table </w:t>
      </w:r>
      <w:r w:rsidR="00C76C23">
        <w:fldChar w:fldCharType="begin"/>
      </w:r>
      <w:r w:rsidR="00C76C23">
        <w:instrText xml:space="preserve"> STYLEREF 1 \s </w:instrText>
      </w:r>
      <w:r w:rsidR="00C76C23">
        <w:fldChar w:fldCharType="separate"/>
      </w:r>
      <w:r w:rsidR="0067767C">
        <w:rPr>
          <w:noProof/>
        </w:rPr>
        <w:t>7</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3</w:t>
      </w:r>
      <w:r w:rsidR="00C76C23">
        <w:fldChar w:fldCharType="end"/>
      </w:r>
      <w:bookmarkEnd w:id="334"/>
      <w:r>
        <w:t>:</w:t>
      </w:r>
      <w:r>
        <w:rPr>
          <w:rFonts w:eastAsia="Calibri"/>
        </w:rPr>
        <w:tab/>
      </w:r>
      <w:r w:rsidR="001E6773">
        <w:rPr>
          <w:rFonts w:eastAsia="Calibri"/>
        </w:rPr>
        <w:t xml:space="preserve">Indicators for </w:t>
      </w:r>
      <w:r w:rsidR="001E6773" w:rsidRPr="001C6F02">
        <w:rPr>
          <w:rFonts w:eastAsia="Calibri"/>
        </w:rPr>
        <w:t>soil-related ecosystem services</w:t>
      </w:r>
      <w:r w:rsidR="001E6773" w:rsidRPr="008E325D">
        <w:rPr>
          <w:rFonts w:eastAsia="Calibri"/>
        </w:rPr>
        <w:t xml:space="preserve"> </w:t>
      </w:r>
      <w:r w:rsidR="001E6773">
        <w:rPr>
          <w:rFonts w:eastAsia="Calibri"/>
        </w:rPr>
        <w:t>in Northern Germany as affected by soil erosion</w:t>
      </w:r>
      <w:bookmarkEnd w:id="335"/>
    </w:p>
    <w:tbl>
      <w:tblPr>
        <w:tblW w:w="9781" w:type="dxa"/>
        <w:tblInd w:w="-5"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096"/>
        <w:gridCol w:w="1134"/>
        <w:gridCol w:w="1260"/>
        <w:gridCol w:w="905"/>
        <w:gridCol w:w="992"/>
        <w:gridCol w:w="1134"/>
        <w:gridCol w:w="1134"/>
        <w:gridCol w:w="1135"/>
        <w:gridCol w:w="991"/>
      </w:tblGrid>
      <w:tr w:rsidR="001E6773" w:rsidRPr="00E31898" w14:paraId="1FA6D6EA" w14:textId="77777777" w:rsidTr="00145864">
        <w:trPr>
          <w:trHeight w:val="221"/>
        </w:trPr>
        <w:tc>
          <w:tcPr>
            <w:tcW w:w="1096" w:type="dxa"/>
            <w:vMerge w:val="restart"/>
            <w:shd w:val="pct10" w:color="auto" w:fill="auto"/>
            <w:tcMar>
              <w:left w:w="28" w:type="dxa"/>
              <w:right w:w="28" w:type="dxa"/>
            </w:tcMar>
            <w:vAlign w:val="center"/>
          </w:tcPr>
          <w:p w14:paraId="020D7E7E" w14:textId="77777777" w:rsidR="001E6773" w:rsidRPr="00145864" w:rsidRDefault="001E6773" w:rsidP="00653937">
            <w:pPr>
              <w:pStyle w:val="EEAtableleftbold"/>
              <w:rPr>
                <w:lang w:eastAsia="en-US"/>
              </w:rPr>
            </w:pPr>
            <w:r w:rsidRPr="00145864">
              <w:rPr>
                <w:lang w:val="en-US" w:eastAsia="en-US"/>
              </w:rPr>
              <w:t>Ecosystem service</w:t>
            </w:r>
          </w:p>
        </w:tc>
        <w:tc>
          <w:tcPr>
            <w:tcW w:w="1134" w:type="dxa"/>
            <w:vMerge w:val="restart"/>
            <w:shd w:val="pct10" w:color="auto" w:fill="auto"/>
            <w:tcMar>
              <w:left w:w="28" w:type="dxa"/>
              <w:right w:w="28" w:type="dxa"/>
            </w:tcMar>
            <w:vAlign w:val="center"/>
          </w:tcPr>
          <w:p w14:paraId="5ABA6523" w14:textId="77777777" w:rsidR="001E6773" w:rsidRPr="00145864" w:rsidRDefault="001E6773" w:rsidP="00653937">
            <w:pPr>
              <w:pStyle w:val="EEAtableleftbold"/>
              <w:rPr>
                <w:lang w:val="en-US" w:eastAsia="en-US"/>
              </w:rPr>
            </w:pPr>
            <w:r w:rsidRPr="00145864">
              <w:rPr>
                <w:lang w:val="en-US" w:eastAsia="en-US"/>
              </w:rPr>
              <w:t>Indicator</w:t>
            </w:r>
          </w:p>
        </w:tc>
        <w:tc>
          <w:tcPr>
            <w:tcW w:w="1260" w:type="dxa"/>
            <w:vMerge w:val="restart"/>
            <w:shd w:val="pct10" w:color="auto" w:fill="auto"/>
            <w:vAlign w:val="center"/>
          </w:tcPr>
          <w:p w14:paraId="3BC6E6DB" w14:textId="77777777" w:rsidR="001E6773" w:rsidRPr="00145864" w:rsidRDefault="001E6773" w:rsidP="00653937">
            <w:pPr>
              <w:pStyle w:val="EEAtableleftbold"/>
              <w:rPr>
                <w:lang w:eastAsia="en-US"/>
              </w:rPr>
            </w:pPr>
            <w:r w:rsidRPr="00145864">
              <w:rPr>
                <w:lang w:val="en-US" w:eastAsia="en-US"/>
              </w:rPr>
              <w:t>Specifi-cation</w:t>
            </w:r>
          </w:p>
        </w:tc>
        <w:tc>
          <w:tcPr>
            <w:tcW w:w="6291" w:type="dxa"/>
            <w:gridSpan w:val="6"/>
            <w:shd w:val="pct10" w:color="auto" w:fill="auto"/>
            <w:tcMar>
              <w:left w:w="28" w:type="dxa"/>
              <w:right w:w="28" w:type="dxa"/>
            </w:tcMar>
          </w:tcPr>
          <w:p w14:paraId="589322B1" w14:textId="77777777" w:rsidR="001E6773" w:rsidRPr="00E31898" w:rsidRDefault="001E6773" w:rsidP="00145864">
            <w:pPr>
              <w:pStyle w:val="EEATabcenterbold"/>
            </w:pPr>
            <w:r>
              <w:rPr>
                <w:lang w:val="en-US"/>
              </w:rPr>
              <w:t>Status ecosystem service supply</w:t>
            </w:r>
          </w:p>
        </w:tc>
      </w:tr>
      <w:tr w:rsidR="001E6773" w:rsidRPr="00E31898" w14:paraId="660F11D7" w14:textId="77777777" w:rsidTr="00145864">
        <w:trPr>
          <w:trHeight w:val="221"/>
        </w:trPr>
        <w:tc>
          <w:tcPr>
            <w:tcW w:w="1096" w:type="dxa"/>
            <w:vMerge/>
            <w:shd w:val="pct10" w:color="auto" w:fill="auto"/>
            <w:tcMar>
              <w:left w:w="28" w:type="dxa"/>
              <w:right w:w="28" w:type="dxa"/>
            </w:tcMar>
          </w:tcPr>
          <w:p w14:paraId="5E8F9716" w14:textId="77777777" w:rsidR="001E6773" w:rsidRPr="00145864" w:rsidRDefault="001E6773" w:rsidP="00145864">
            <w:pPr>
              <w:pStyle w:val="EEAtableleft"/>
              <w:rPr>
                <w:b/>
                <w:bCs/>
                <w:lang w:val="en-US" w:eastAsia="en-US"/>
              </w:rPr>
            </w:pPr>
          </w:p>
        </w:tc>
        <w:tc>
          <w:tcPr>
            <w:tcW w:w="1134" w:type="dxa"/>
            <w:vMerge/>
            <w:shd w:val="pct10" w:color="auto" w:fill="auto"/>
            <w:tcMar>
              <w:left w:w="28" w:type="dxa"/>
              <w:right w:w="28" w:type="dxa"/>
            </w:tcMar>
          </w:tcPr>
          <w:p w14:paraId="45A41D27" w14:textId="77777777" w:rsidR="001E6773" w:rsidRPr="00E31898" w:rsidRDefault="001E6773" w:rsidP="00145864">
            <w:pPr>
              <w:pStyle w:val="EEAtableleft"/>
              <w:rPr>
                <w:lang w:eastAsia="en-US"/>
              </w:rPr>
            </w:pPr>
          </w:p>
        </w:tc>
        <w:tc>
          <w:tcPr>
            <w:tcW w:w="1260" w:type="dxa"/>
            <w:vMerge/>
            <w:shd w:val="pct10" w:color="auto" w:fill="auto"/>
          </w:tcPr>
          <w:p w14:paraId="43FF4C2A" w14:textId="77777777" w:rsidR="001E6773" w:rsidRPr="00226D5B" w:rsidRDefault="001E6773" w:rsidP="00145864">
            <w:pPr>
              <w:pStyle w:val="EEAtableleft"/>
              <w:rPr>
                <w:lang w:val="en-US" w:eastAsia="en-US"/>
              </w:rPr>
            </w:pPr>
          </w:p>
        </w:tc>
        <w:tc>
          <w:tcPr>
            <w:tcW w:w="905" w:type="dxa"/>
            <w:shd w:val="pct10" w:color="auto" w:fill="auto"/>
            <w:tcMar>
              <w:left w:w="28" w:type="dxa"/>
              <w:right w:w="28" w:type="dxa"/>
            </w:tcMar>
          </w:tcPr>
          <w:p w14:paraId="3419CFC9"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0</w:t>
            </w:r>
          </w:p>
          <w:p w14:paraId="5D451468" w14:textId="77777777" w:rsidR="001E6773" w:rsidRPr="00226D5B" w:rsidRDefault="001E6773" w:rsidP="00CD55D6">
            <w:pPr>
              <w:suppressAutoHyphens w:val="0"/>
              <w:autoSpaceDE w:val="0"/>
              <w:autoSpaceDN w:val="0"/>
              <w:adjustRightInd w:val="0"/>
              <w:jc w:val="center"/>
              <w:rPr>
                <w:rFonts w:eastAsiaTheme="minorEastAsia"/>
                <w:color w:val="000000"/>
                <w:sz w:val="20"/>
                <w:lang w:eastAsia="en-US"/>
              </w:rPr>
            </w:pPr>
            <w:r w:rsidRPr="00E31898">
              <w:rPr>
                <w:rFonts w:eastAsiaTheme="minorEastAsia"/>
                <w:color w:val="000000"/>
                <w:sz w:val="20"/>
                <w:lang w:eastAsia="en-US"/>
              </w:rPr>
              <w:t>no</w:t>
            </w:r>
          </w:p>
        </w:tc>
        <w:tc>
          <w:tcPr>
            <w:tcW w:w="992" w:type="dxa"/>
            <w:shd w:val="pct10" w:color="auto" w:fill="auto"/>
            <w:tcMar>
              <w:left w:w="28" w:type="dxa"/>
              <w:right w:w="28" w:type="dxa"/>
            </w:tcMar>
          </w:tcPr>
          <w:p w14:paraId="3E2CB113"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1</w:t>
            </w:r>
          </w:p>
          <w:p w14:paraId="5391F0D4" w14:textId="77777777" w:rsidR="001E6773" w:rsidRPr="00226D5B" w:rsidRDefault="001E6773" w:rsidP="00CD55D6">
            <w:pPr>
              <w:suppressAutoHyphens w:val="0"/>
              <w:autoSpaceDE w:val="0"/>
              <w:autoSpaceDN w:val="0"/>
              <w:adjustRightInd w:val="0"/>
              <w:jc w:val="center"/>
              <w:rPr>
                <w:rFonts w:eastAsiaTheme="minorEastAsia"/>
                <w:color w:val="000000"/>
                <w:sz w:val="20"/>
                <w:lang w:eastAsia="en-US"/>
              </w:rPr>
            </w:pPr>
            <w:r w:rsidRPr="00E31898">
              <w:rPr>
                <w:rFonts w:eastAsiaTheme="minorEastAsia"/>
                <w:color w:val="000000"/>
                <w:sz w:val="20"/>
                <w:lang w:eastAsia="en-US"/>
              </w:rPr>
              <w:t>very low</w:t>
            </w:r>
          </w:p>
        </w:tc>
        <w:tc>
          <w:tcPr>
            <w:tcW w:w="1134" w:type="dxa"/>
            <w:shd w:val="pct10" w:color="auto" w:fill="auto"/>
            <w:tcMar>
              <w:left w:w="28" w:type="dxa"/>
              <w:right w:w="28" w:type="dxa"/>
            </w:tcMar>
          </w:tcPr>
          <w:p w14:paraId="20D0E76F"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2</w:t>
            </w:r>
          </w:p>
          <w:p w14:paraId="094B4ED1" w14:textId="77777777" w:rsidR="001E6773" w:rsidRPr="00226D5B" w:rsidRDefault="001E6773" w:rsidP="00CD55D6">
            <w:pPr>
              <w:suppressAutoHyphens w:val="0"/>
              <w:autoSpaceDE w:val="0"/>
              <w:autoSpaceDN w:val="0"/>
              <w:adjustRightInd w:val="0"/>
              <w:jc w:val="center"/>
              <w:rPr>
                <w:rFonts w:eastAsiaTheme="minorEastAsia"/>
                <w:color w:val="000000"/>
                <w:sz w:val="20"/>
                <w:lang w:eastAsia="en-US"/>
              </w:rPr>
            </w:pPr>
            <w:r w:rsidRPr="00E31898">
              <w:rPr>
                <w:rFonts w:eastAsiaTheme="minorEastAsia"/>
                <w:color w:val="000000"/>
                <w:sz w:val="20"/>
                <w:lang w:eastAsia="en-US"/>
              </w:rPr>
              <w:t>low</w:t>
            </w:r>
          </w:p>
        </w:tc>
        <w:tc>
          <w:tcPr>
            <w:tcW w:w="1134" w:type="dxa"/>
            <w:shd w:val="pct10" w:color="auto" w:fill="auto"/>
            <w:tcMar>
              <w:left w:w="28" w:type="dxa"/>
              <w:right w:w="28" w:type="dxa"/>
            </w:tcMar>
          </w:tcPr>
          <w:p w14:paraId="291B51F6"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3</w:t>
            </w:r>
          </w:p>
          <w:p w14:paraId="18242063" w14:textId="77777777" w:rsidR="001E6773" w:rsidRPr="00E31898"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color w:val="000000"/>
                <w:sz w:val="20"/>
                <w:lang w:eastAsia="en-US"/>
              </w:rPr>
              <w:t>medium</w:t>
            </w:r>
          </w:p>
        </w:tc>
        <w:tc>
          <w:tcPr>
            <w:tcW w:w="1135" w:type="dxa"/>
            <w:shd w:val="pct10" w:color="auto" w:fill="auto"/>
            <w:tcMar>
              <w:left w:w="28" w:type="dxa"/>
              <w:right w:w="28" w:type="dxa"/>
            </w:tcMar>
          </w:tcPr>
          <w:p w14:paraId="3CFB3D86"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4</w:t>
            </w:r>
          </w:p>
          <w:p w14:paraId="0D740311" w14:textId="77777777" w:rsidR="001E6773" w:rsidRPr="00E31898"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color w:val="000000"/>
                <w:sz w:val="20"/>
                <w:lang w:eastAsia="en-US"/>
              </w:rPr>
              <w:t>high</w:t>
            </w:r>
          </w:p>
        </w:tc>
        <w:tc>
          <w:tcPr>
            <w:tcW w:w="991" w:type="dxa"/>
            <w:shd w:val="pct10" w:color="auto" w:fill="auto"/>
            <w:tcMar>
              <w:left w:w="28" w:type="dxa"/>
              <w:right w:w="28" w:type="dxa"/>
            </w:tcMar>
          </w:tcPr>
          <w:p w14:paraId="36A65E4C" w14:textId="77777777" w:rsidR="001E6773" w:rsidRDefault="001E6773" w:rsidP="00CD55D6">
            <w:pPr>
              <w:suppressAutoHyphens w:val="0"/>
              <w:autoSpaceDE w:val="0"/>
              <w:autoSpaceDN w:val="0"/>
              <w:adjustRightInd w:val="0"/>
              <w:jc w:val="center"/>
              <w:rPr>
                <w:rFonts w:eastAsiaTheme="minorEastAsia"/>
                <w:b/>
                <w:bCs/>
                <w:color w:val="000000"/>
                <w:sz w:val="20"/>
                <w:lang w:eastAsia="en-US"/>
              </w:rPr>
            </w:pPr>
            <w:r w:rsidRPr="00E31898">
              <w:rPr>
                <w:rFonts w:eastAsiaTheme="minorEastAsia"/>
                <w:b/>
                <w:bCs/>
                <w:color w:val="000000"/>
                <w:sz w:val="20"/>
                <w:lang w:eastAsia="en-US"/>
              </w:rPr>
              <w:t>5</w:t>
            </w:r>
          </w:p>
          <w:p w14:paraId="277C4927" w14:textId="77777777" w:rsidR="001E6773" w:rsidRPr="00226D5B" w:rsidRDefault="001E6773" w:rsidP="00CD55D6">
            <w:pPr>
              <w:suppressAutoHyphens w:val="0"/>
              <w:autoSpaceDE w:val="0"/>
              <w:autoSpaceDN w:val="0"/>
              <w:adjustRightInd w:val="0"/>
              <w:jc w:val="center"/>
              <w:rPr>
                <w:rFonts w:eastAsiaTheme="minorEastAsia"/>
                <w:color w:val="000000"/>
                <w:sz w:val="20"/>
                <w:lang w:eastAsia="en-US"/>
              </w:rPr>
            </w:pPr>
            <w:r w:rsidRPr="00E31898">
              <w:rPr>
                <w:rFonts w:eastAsiaTheme="minorEastAsia"/>
                <w:color w:val="000000"/>
                <w:sz w:val="20"/>
                <w:lang w:eastAsia="en-US"/>
              </w:rPr>
              <w:t>very high</w:t>
            </w:r>
          </w:p>
        </w:tc>
      </w:tr>
      <w:tr w:rsidR="001E6773" w:rsidRPr="00E31898" w14:paraId="18DAFA89" w14:textId="77777777" w:rsidTr="00145864">
        <w:trPr>
          <w:trHeight w:val="343"/>
        </w:trPr>
        <w:tc>
          <w:tcPr>
            <w:tcW w:w="1096" w:type="dxa"/>
            <w:tcMar>
              <w:left w:w="28" w:type="dxa"/>
              <w:right w:w="28" w:type="dxa"/>
            </w:tcMar>
          </w:tcPr>
          <w:p w14:paraId="6B2C598B" w14:textId="77777777" w:rsidR="001E6773" w:rsidRPr="00145864" w:rsidRDefault="001E6773" w:rsidP="00653937">
            <w:pPr>
              <w:pStyle w:val="EEAtableleftbold"/>
              <w:rPr>
                <w:lang w:eastAsia="en-US"/>
              </w:rPr>
            </w:pPr>
            <w:r w:rsidRPr="00145864">
              <w:rPr>
                <w:lang w:eastAsia="en-US"/>
              </w:rPr>
              <w:t>Crop provision</w:t>
            </w:r>
          </w:p>
        </w:tc>
        <w:tc>
          <w:tcPr>
            <w:tcW w:w="1134" w:type="dxa"/>
            <w:tcMar>
              <w:left w:w="28" w:type="dxa"/>
              <w:right w:w="28" w:type="dxa"/>
            </w:tcMar>
          </w:tcPr>
          <w:p w14:paraId="1F740DAD" w14:textId="77777777" w:rsidR="001E6773" w:rsidRPr="00E31898" w:rsidRDefault="001E6773" w:rsidP="00145864">
            <w:pPr>
              <w:pStyle w:val="EEAtableleft"/>
              <w:rPr>
                <w:lang w:eastAsia="en-US"/>
              </w:rPr>
            </w:pPr>
            <w:r w:rsidRPr="00E31898">
              <w:rPr>
                <w:lang w:eastAsia="en-US"/>
              </w:rPr>
              <w:t xml:space="preserve">potential arable yield </w:t>
            </w:r>
          </w:p>
        </w:tc>
        <w:tc>
          <w:tcPr>
            <w:tcW w:w="1260" w:type="dxa"/>
          </w:tcPr>
          <w:p w14:paraId="423D7A24" w14:textId="77777777" w:rsidR="001E6773" w:rsidRPr="00E31898" w:rsidRDefault="001E6773" w:rsidP="00145864">
            <w:pPr>
              <w:pStyle w:val="EEAtableleft"/>
              <w:rPr>
                <w:lang w:eastAsia="en-US"/>
              </w:rPr>
            </w:pPr>
            <w:r>
              <w:rPr>
                <w:lang w:val="en-US" w:eastAsia="en-US"/>
              </w:rPr>
              <w:t xml:space="preserve">Potential yield </w:t>
            </w:r>
            <w:r w:rsidRPr="00E31898">
              <w:rPr>
                <w:lang w:eastAsia="en-US"/>
              </w:rPr>
              <w:t>winter barley</w:t>
            </w:r>
            <w:r>
              <w:rPr>
                <w:lang w:val="en-US" w:eastAsia="en-US"/>
              </w:rPr>
              <w:t xml:space="preserve"> [</w:t>
            </w:r>
            <w:r w:rsidRPr="00E31898">
              <w:rPr>
                <w:lang w:eastAsia="en-US"/>
              </w:rPr>
              <w:t>t/ha]</w:t>
            </w:r>
          </w:p>
        </w:tc>
        <w:tc>
          <w:tcPr>
            <w:tcW w:w="905" w:type="dxa"/>
            <w:tcMar>
              <w:left w:w="28" w:type="dxa"/>
              <w:right w:w="28" w:type="dxa"/>
            </w:tcMar>
            <w:vAlign w:val="center"/>
          </w:tcPr>
          <w:p w14:paraId="4B839E2E" w14:textId="77777777" w:rsidR="001E6773" w:rsidRPr="00E31898" w:rsidRDefault="001E6773" w:rsidP="00145864">
            <w:pPr>
              <w:pStyle w:val="EEATabcenter"/>
              <w:rPr>
                <w:lang w:eastAsia="en-US"/>
              </w:rPr>
            </w:pPr>
            <w:r w:rsidRPr="00E31898">
              <w:rPr>
                <w:lang w:eastAsia="en-US"/>
              </w:rPr>
              <w:t>0</w:t>
            </w:r>
          </w:p>
        </w:tc>
        <w:tc>
          <w:tcPr>
            <w:tcW w:w="992" w:type="dxa"/>
            <w:tcMar>
              <w:left w:w="28" w:type="dxa"/>
              <w:right w:w="28" w:type="dxa"/>
            </w:tcMar>
            <w:vAlign w:val="center"/>
          </w:tcPr>
          <w:p w14:paraId="13582228" w14:textId="77777777" w:rsidR="001E6773" w:rsidRPr="00E31898" w:rsidRDefault="001E6773" w:rsidP="00145864">
            <w:pPr>
              <w:pStyle w:val="EEATabcenter"/>
              <w:rPr>
                <w:lang w:eastAsia="en-US"/>
              </w:rPr>
            </w:pPr>
            <w:r w:rsidRPr="00E31898">
              <w:rPr>
                <w:lang w:eastAsia="en-US"/>
              </w:rPr>
              <w:t>≤ 2500</w:t>
            </w:r>
          </w:p>
        </w:tc>
        <w:tc>
          <w:tcPr>
            <w:tcW w:w="1134" w:type="dxa"/>
            <w:tcMar>
              <w:left w:w="28" w:type="dxa"/>
              <w:right w:w="28" w:type="dxa"/>
            </w:tcMar>
            <w:vAlign w:val="center"/>
          </w:tcPr>
          <w:p w14:paraId="37230B09" w14:textId="77777777" w:rsidR="001E6773" w:rsidRPr="00E31898" w:rsidRDefault="001E6773" w:rsidP="00145864">
            <w:pPr>
              <w:pStyle w:val="EEATabcenter"/>
              <w:rPr>
                <w:lang w:eastAsia="en-US"/>
              </w:rPr>
            </w:pPr>
            <w:r w:rsidRPr="00E31898">
              <w:rPr>
                <w:lang w:eastAsia="en-US"/>
              </w:rPr>
              <w:t xml:space="preserve">2500 </w:t>
            </w:r>
            <w:r>
              <w:rPr>
                <w:lang w:val="en-US" w:eastAsia="en-US"/>
              </w:rPr>
              <w:t>-</w:t>
            </w:r>
            <w:r w:rsidRPr="00E31898">
              <w:rPr>
                <w:lang w:eastAsia="en-US"/>
              </w:rPr>
              <w:t xml:space="preserve"> 2875</w:t>
            </w:r>
          </w:p>
        </w:tc>
        <w:tc>
          <w:tcPr>
            <w:tcW w:w="1134" w:type="dxa"/>
            <w:tcMar>
              <w:left w:w="28" w:type="dxa"/>
              <w:right w:w="28" w:type="dxa"/>
            </w:tcMar>
            <w:vAlign w:val="center"/>
          </w:tcPr>
          <w:p w14:paraId="566B1C14" w14:textId="77777777" w:rsidR="001E6773" w:rsidRPr="00E31898" w:rsidRDefault="001E6773" w:rsidP="00145864">
            <w:pPr>
              <w:pStyle w:val="EEATabcenter"/>
              <w:rPr>
                <w:lang w:eastAsia="en-US"/>
              </w:rPr>
            </w:pPr>
            <w:r w:rsidRPr="00E31898">
              <w:rPr>
                <w:lang w:eastAsia="en-US"/>
              </w:rPr>
              <w:t xml:space="preserve">2875 </w:t>
            </w:r>
            <w:r>
              <w:rPr>
                <w:lang w:val="en-US" w:eastAsia="en-US"/>
              </w:rPr>
              <w:t>-</w:t>
            </w:r>
            <w:r w:rsidRPr="00E31898">
              <w:rPr>
                <w:lang w:eastAsia="en-US"/>
              </w:rPr>
              <w:t xml:space="preserve"> 3250</w:t>
            </w:r>
          </w:p>
        </w:tc>
        <w:tc>
          <w:tcPr>
            <w:tcW w:w="1135" w:type="dxa"/>
            <w:tcMar>
              <w:left w:w="28" w:type="dxa"/>
              <w:right w:w="28" w:type="dxa"/>
            </w:tcMar>
            <w:vAlign w:val="center"/>
          </w:tcPr>
          <w:p w14:paraId="662113DD" w14:textId="77777777" w:rsidR="001E6773" w:rsidRPr="00E31898" w:rsidRDefault="001E6773" w:rsidP="00145864">
            <w:pPr>
              <w:pStyle w:val="EEATabcenter"/>
              <w:rPr>
                <w:lang w:eastAsia="en-US"/>
              </w:rPr>
            </w:pPr>
            <w:r w:rsidRPr="00E31898">
              <w:rPr>
                <w:lang w:eastAsia="en-US"/>
              </w:rPr>
              <w:t xml:space="preserve">3250 </w:t>
            </w:r>
            <w:r>
              <w:rPr>
                <w:lang w:val="en-US" w:eastAsia="en-US"/>
              </w:rPr>
              <w:t>-</w:t>
            </w:r>
            <w:r w:rsidRPr="00E31898">
              <w:rPr>
                <w:lang w:eastAsia="en-US"/>
              </w:rPr>
              <w:t xml:space="preserve"> 3625</w:t>
            </w:r>
          </w:p>
        </w:tc>
        <w:tc>
          <w:tcPr>
            <w:tcW w:w="991" w:type="dxa"/>
            <w:tcMar>
              <w:left w:w="28" w:type="dxa"/>
              <w:right w:w="28" w:type="dxa"/>
            </w:tcMar>
            <w:vAlign w:val="center"/>
          </w:tcPr>
          <w:p w14:paraId="1E03F501" w14:textId="77777777" w:rsidR="001E6773" w:rsidRPr="00E31898" w:rsidRDefault="001E6773" w:rsidP="00145864">
            <w:pPr>
              <w:pStyle w:val="EEATabcenter"/>
              <w:rPr>
                <w:lang w:eastAsia="en-US"/>
              </w:rPr>
            </w:pPr>
            <w:r w:rsidRPr="00E31898">
              <w:rPr>
                <w:lang w:eastAsia="en-US"/>
              </w:rPr>
              <w:t>≥ 3625</w:t>
            </w:r>
          </w:p>
        </w:tc>
      </w:tr>
      <w:tr w:rsidR="001E6773" w:rsidRPr="00E31898" w14:paraId="32A1339F" w14:textId="77777777" w:rsidTr="00145864">
        <w:trPr>
          <w:trHeight w:val="465"/>
        </w:trPr>
        <w:tc>
          <w:tcPr>
            <w:tcW w:w="1096" w:type="dxa"/>
            <w:tcMar>
              <w:left w:w="28" w:type="dxa"/>
              <w:right w:w="28" w:type="dxa"/>
            </w:tcMar>
          </w:tcPr>
          <w:p w14:paraId="23CA2513" w14:textId="77777777" w:rsidR="001E6773" w:rsidRPr="00145864" w:rsidRDefault="001E6773" w:rsidP="00653937">
            <w:pPr>
              <w:pStyle w:val="EEAtableleftbold"/>
              <w:rPr>
                <w:lang w:eastAsia="en-US"/>
              </w:rPr>
            </w:pPr>
            <w:r w:rsidRPr="00145864">
              <w:rPr>
                <w:lang w:eastAsia="en-US"/>
              </w:rPr>
              <w:t>Water filtration</w:t>
            </w:r>
          </w:p>
        </w:tc>
        <w:tc>
          <w:tcPr>
            <w:tcW w:w="1134" w:type="dxa"/>
            <w:tcMar>
              <w:left w:w="28" w:type="dxa"/>
              <w:right w:w="28" w:type="dxa"/>
            </w:tcMar>
          </w:tcPr>
          <w:p w14:paraId="1CFD126F" w14:textId="77777777" w:rsidR="001E6773" w:rsidRPr="00E31898" w:rsidRDefault="001E6773" w:rsidP="00145864">
            <w:pPr>
              <w:pStyle w:val="EEAtableleft"/>
              <w:rPr>
                <w:lang w:eastAsia="en-US"/>
              </w:rPr>
            </w:pPr>
            <w:r>
              <w:rPr>
                <w:lang w:val="en-US" w:eastAsia="en-US"/>
              </w:rPr>
              <w:t>N</w:t>
            </w:r>
            <w:r w:rsidRPr="00E31898">
              <w:rPr>
                <w:lang w:eastAsia="en-US"/>
              </w:rPr>
              <w:t>itrate leaching vulnerability</w:t>
            </w:r>
          </w:p>
        </w:tc>
        <w:tc>
          <w:tcPr>
            <w:tcW w:w="1260" w:type="dxa"/>
          </w:tcPr>
          <w:p w14:paraId="33B8FF92" w14:textId="77777777" w:rsidR="001E6773" w:rsidRPr="00226D5B" w:rsidRDefault="001E6773" w:rsidP="00145864">
            <w:pPr>
              <w:pStyle w:val="EEAtableleft"/>
              <w:rPr>
                <w:lang w:val="en-US" w:eastAsia="en-US"/>
              </w:rPr>
            </w:pPr>
            <w:r w:rsidRPr="00E31898">
              <w:rPr>
                <w:lang w:eastAsia="en-US"/>
              </w:rPr>
              <w:t>Water exchange rate [%/a</w:t>
            </w:r>
            <w:r>
              <w:rPr>
                <w:lang w:val="en-US" w:eastAsia="en-US"/>
              </w:rPr>
              <w:t>]</w:t>
            </w:r>
          </w:p>
        </w:tc>
        <w:tc>
          <w:tcPr>
            <w:tcW w:w="905" w:type="dxa"/>
            <w:tcMar>
              <w:left w:w="28" w:type="dxa"/>
              <w:right w:w="28" w:type="dxa"/>
            </w:tcMar>
            <w:vAlign w:val="center"/>
          </w:tcPr>
          <w:p w14:paraId="5B31564F" w14:textId="77777777" w:rsidR="001E6773" w:rsidRPr="001D5AFD" w:rsidRDefault="001E6773" w:rsidP="00145864">
            <w:pPr>
              <w:pStyle w:val="EEATabcenter"/>
              <w:rPr>
                <w:lang w:val="en-US" w:eastAsia="en-US"/>
              </w:rPr>
            </w:pPr>
            <w:r>
              <w:rPr>
                <w:lang w:val="en-US" w:eastAsia="en-US"/>
              </w:rPr>
              <w:t>0</w:t>
            </w:r>
          </w:p>
        </w:tc>
        <w:tc>
          <w:tcPr>
            <w:tcW w:w="992" w:type="dxa"/>
            <w:tcMar>
              <w:left w:w="28" w:type="dxa"/>
              <w:right w:w="28" w:type="dxa"/>
            </w:tcMar>
            <w:vAlign w:val="center"/>
          </w:tcPr>
          <w:p w14:paraId="0EC8FF7A" w14:textId="77777777" w:rsidR="001E6773" w:rsidRPr="00E31898" w:rsidRDefault="001E6773" w:rsidP="00145864">
            <w:pPr>
              <w:pStyle w:val="EEATabcenter"/>
              <w:rPr>
                <w:lang w:eastAsia="en-US"/>
              </w:rPr>
            </w:pPr>
            <w:r w:rsidRPr="00E31898">
              <w:rPr>
                <w:lang w:eastAsia="en-US"/>
              </w:rPr>
              <w:t>≥ 250</w:t>
            </w:r>
          </w:p>
        </w:tc>
        <w:tc>
          <w:tcPr>
            <w:tcW w:w="1134" w:type="dxa"/>
            <w:tcMar>
              <w:left w:w="28" w:type="dxa"/>
              <w:right w:w="28" w:type="dxa"/>
            </w:tcMar>
            <w:vAlign w:val="center"/>
          </w:tcPr>
          <w:p w14:paraId="4FFD9894" w14:textId="77777777" w:rsidR="001E6773" w:rsidRPr="00E31898" w:rsidRDefault="001E6773" w:rsidP="00145864">
            <w:pPr>
              <w:pStyle w:val="EEATabcenter"/>
              <w:rPr>
                <w:lang w:eastAsia="en-US"/>
              </w:rPr>
            </w:pPr>
            <w:r w:rsidRPr="00E31898">
              <w:rPr>
                <w:lang w:eastAsia="en-US"/>
              </w:rPr>
              <w:t xml:space="preserve">150 </w:t>
            </w:r>
            <w:r>
              <w:rPr>
                <w:lang w:val="en-US" w:eastAsia="en-US"/>
              </w:rPr>
              <w:t>-</w:t>
            </w:r>
            <w:r w:rsidRPr="00E31898">
              <w:rPr>
                <w:lang w:eastAsia="en-US"/>
              </w:rPr>
              <w:t xml:space="preserve"> 250</w:t>
            </w:r>
          </w:p>
        </w:tc>
        <w:tc>
          <w:tcPr>
            <w:tcW w:w="1134" w:type="dxa"/>
            <w:tcMar>
              <w:left w:w="28" w:type="dxa"/>
              <w:right w:w="28" w:type="dxa"/>
            </w:tcMar>
            <w:vAlign w:val="center"/>
          </w:tcPr>
          <w:p w14:paraId="4ED33484" w14:textId="77777777" w:rsidR="001E6773" w:rsidRPr="00E31898" w:rsidRDefault="001E6773" w:rsidP="00145864">
            <w:pPr>
              <w:pStyle w:val="EEATabcenter"/>
              <w:rPr>
                <w:lang w:eastAsia="en-US"/>
              </w:rPr>
            </w:pPr>
            <w:r w:rsidRPr="00E31898">
              <w:rPr>
                <w:lang w:eastAsia="en-US"/>
              </w:rPr>
              <w:t xml:space="preserve">100 </w:t>
            </w:r>
            <w:r>
              <w:rPr>
                <w:lang w:val="en-US" w:eastAsia="en-US"/>
              </w:rPr>
              <w:t>-</w:t>
            </w:r>
            <w:r w:rsidRPr="00E31898">
              <w:rPr>
                <w:lang w:eastAsia="en-US"/>
              </w:rPr>
              <w:t xml:space="preserve"> 150</w:t>
            </w:r>
          </w:p>
        </w:tc>
        <w:tc>
          <w:tcPr>
            <w:tcW w:w="1135" w:type="dxa"/>
            <w:tcMar>
              <w:left w:w="28" w:type="dxa"/>
              <w:right w:w="28" w:type="dxa"/>
            </w:tcMar>
            <w:vAlign w:val="center"/>
          </w:tcPr>
          <w:p w14:paraId="17928220" w14:textId="77777777" w:rsidR="001E6773" w:rsidRPr="00E31898" w:rsidRDefault="001E6773" w:rsidP="00145864">
            <w:pPr>
              <w:pStyle w:val="EEATabcenter"/>
              <w:rPr>
                <w:lang w:eastAsia="en-US"/>
              </w:rPr>
            </w:pPr>
            <w:r w:rsidRPr="00E31898">
              <w:rPr>
                <w:lang w:eastAsia="en-US"/>
              </w:rPr>
              <w:t xml:space="preserve">70 </w:t>
            </w:r>
            <w:r>
              <w:rPr>
                <w:lang w:val="en-US" w:eastAsia="en-US"/>
              </w:rPr>
              <w:t>-</w:t>
            </w:r>
            <w:r w:rsidRPr="00E31898">
              <w:rPr>
                <w:lang w:eastAsia="en-US"/>
              </w:rPr>
              <w:t xml:space="preserve"> 100</w:t>
            </w:r>
          </w:p>
        </w:tc>
        <w:tc>
          <w:tcPr>
            <w:tcW w:w="991" w:type="dxa"/>
            <w:tcMar>
              <w:left w:w="28" w:type="dxa"/>
              <w:right w:w="28" w:type="dxa"/>
            </w:tcMar>
            <w:vAlign w:val="center"/>
          </w:tcPr>
          <w:p w14:paraId="6A96B4C1" w14:textId="77777777" w:rsidR="001E6773" w:rsidRPr="00E31898" w:rsidRDefault="001E6773" w:rsidP="00145864">
            <w:pPr>
              <w:pStyle w:val="EEATabcenter"/>
              <w:rPr>
                <w:lang w:eastAsia="en-US"/>
              </w:rPr>
            </w:pPr>
            <w:r w:rsidRPr="00E31898">
              <w:rPr>
                <w:lang w:eastAsia="en-US"/>
              </w:rPr>
              <w:t>&lt; 70</w:t>
            </w:r>
          </w:p>
        </w:tc>
      </w:tr>
      <w:tr w:rsidR="001E6773" w:rsidRPr="00E31898" w14:paraId="476F4F8E" w14:textId="77777777" w:rsidTr="00145864">
        <w:trPr>
          <w:trHeight w:val="344"/>
        </w:trPr>
        <w:tc>
          <w:tcPr>
            <w:tcW w:w="1096" w:type="dxa"/>
            <w:tcMar>
              <w:left w:w="28" w:type="dxa"/>
              <w:right w:w="28" w:type="dxa"/>
            </w:tcMar>
          </w:tcPr>
          <w:p w14:paraId="6D4616A1" w14:textId="77777777" w:rsidR="001E6773" w:rsidRPr="00145864" w:rsidRDefault="001E6773" w:rsidP="00653937">
            <w:pPr>
              <w:pStyle w:val="EEAtableleftbold"/>
              <w:rPr>
                <w:lang w:eastAsia="en-US"/>
              </w:rPr>
            </w:pPr>
            <w:r w:rsidRPr="00145864">
              <w:rPr>
                <w:lang w:eastAsia="en-US"/>
              </w:rPr>
              <w:t>Water flow regulation</w:t>
            </w:r>
          </w:p>
        </w:tc>
        <w:tc>
          <w:tcPr>
            <w:tcW w:w="1134" w:type="dxa"/>
            <w:tcMar>
              <w:left w:w="28" w:type="dxa"/>
              <w:right w:w="28" w:type="dxa"/>
            </w:tcMar>
          </w:tcPr>
          <w:p w14:paraId="34DEFD59" w14:textId="77777777" w:rsidR="001E6773" w:rsidRPr="00E31898" w:rsidRDefault="001E6773" w:rsidP="00145864">
            <w:pPr>
              <w:pStyle w:val="EEAtableleft"/>
              <w:rPr>
                <w:lang w:eastAsia="en-US"/>
              </w:rPr>
            </w:pPr>
            <w:r w:rsidRPr="00E31898">
              <w:rPr>
                <w:lang w:eastAsia="en-US"/>
              </w:rPr>
              <w:t xml:space="preserve">Water storage capacity </w:t>
            </w:r>
          </w:p>
        </w:tc>
        <w:tc>
          <w:tcPr>
            <w:tcW w:w="1260" w:type="dxa"/>
          </w:tcPr>
          <w:p w14:paraId="69AA17AC" w14:textId="77777777" w:rsidR="001E6773" w:rsidRDefault="001E6773" w:rsidP="00145864">
            <w:pPr>
              <w:pStyle w:val="EEAtableleft"/>
              <w:rPr>
                <w:lang w:val="en-US" w:eastAsia="en-US"/>
              </w:rPr>
            </w:pPr>
            <w:r w:rsidRPr="00486006">
              <w:rPr>
                <w:lang w:eastAsia="en-US"/>
              </w:rPr>
              <w:t xml:space="preserve">potential storable water </w:t>
            </w:r>
            <w:r w:rsidRPr="00E31898">
              <w:rPr>
                <w:lang w:eastAsia="en-US"/>
              </w:rPr>
              <w:t>[mm]</w:t>
            </w:r>
          </w:p>
        </w:tc>
        <w:tc>
          <w:tcPr>
            <w:tcW w:w="905" w:type="dxa"/>
            <w:tcMar>
              <w:left w:w="28" w:type="dxa"/>
              <w:right w:w="28" w:type="dxa"/>
            </w:tcMar>
            <w:vAlign w:val="center"/>
          </w:tcPr>
          <w:p w14:paraId="3D5B013E" w14:textId="77777777" w:rsidR="001E6773" w:rsidRPr="00226D5B" w:rsidRDefault="001E6773" w:rsidP="00145864">
            <w:pPr>
              <w:pStyle w:val="EEATabcenter"/>
              <w:rPr>
                <w:lang w:val="en-US" w:eastAsia="en-US"/>
              </w:rPr>
            </w:pPr>
            <w:r>
              <w:rPr>
                <w:lang w:val="en-US" w:eastAsia="en-US"/>
              </w:rPr>
              <w:t>0</w:t>
            </w:r>
          </w:p>
        </w:tc>
        <w:tc>
          <w:tcPr>
            <w:tcW w:w="992" w:type="dxa"/>
            <w:tcMar>
              <w:left w:w="28" w:type="dxa"/>
              <w:right w:w="28" w:type="dxa"/>
            </w:tcMar>
            <w:vAlign w:val="center"/>
          </w:tcPr>
          <w:p w14:paraId="674B869B" w14:textId="77777777" w:rsidR="001E6773" w:rsidRPr="00E31898" w:rsidRDefault="001E6773" w:rsidP="00145864">
            <w:pPr>
              <w:pStyle w:val="EEATabcenter"/>
              <w:rPr>
                <w:lang w:eastAsia="en-US"/>
              </w:rPr>
            </w:pPr>
            <w:r w:rsidRPr="00E31898">
              <w:rPr>
                <w:lang w:eastAsia="en-US"/>
              </w:rPr>
              <w:t>&lt; 50</w:t>
            </w:r>
          </w:p>
        </w:tc>
        <w:tc>
          <w:tcPr>
            <w:tcW w:w="1134" w:type="dxa"/>
            <w:tcMar>
              <w:left w:w="28" w:type="dxa"/>
              <w:right w:w="28" w:type="dxa"/>
            </w:tcMar>
            <w:vAlign w:val="center"/>
          </w:tcPr>
          <w:p w14:paraId="5777D567" w14:textId="77777777" w:rsidR="001E6773" w:rsidRPr="00E31898" w:rsidRDefault="001E6773" w:rsidP="00145864">
            <w:pPr>
              <w:pStyle w:val="EEATabcenter"/>
              <w:rPr>
                <w:lang w:eastAsia="en-US"/>
              </w:rPr>
            </w:pPr>
            <w:r w:rsidRPr="00E31898">
              <w:rPr>
                <w:lang w:eastAsia="en-US"/>
              </w:rPr>
              <w:t xml:space="preserve">50 </w:t>
            </w:r>
            <w:r>
              <w:rPr>
                <w:lang w:val="en-US" w:eastAsia="en-US"/>
              </w:rPr>
              <w:t>-</w:t>
            </w:r>
            <w:r w:rsidRPr="00E31898">
              <w:rPr>
                <w:lang w:eastAsia="en-US"/>
              </w:rPr>
              <w:t xml:space="preserve"> 90</w:t>
            </w:r>
          </w:p>
        </w:tc>
        <w:tc>
          <w:tcPr>
            <w:tcW w:w="1134" w:type="dxa"/>
            <w:tcMar>
              <w:left w:w="28" w:type="dxa"/>
              <w:right w:w="28" w:type="dxa"/>
            </w:tcMar>
            <w:vAlign w:val="center"/>
          </w:tcPr>
          <w:p w14:paraId="2B42BC3E" w14:textId="77777777" w:rsidR="001E6773" w:rsidRPr="00E31898" w:rsidRDefault="001E6773" w:rsidP="00145864">
            <w:pPr>
              <w:pStyle w:val="EEATabcenter"/>
              <w:rPr>
                <w:lang w:eastAsia="en-US"/>
              </w:rPr>
            </w:pPr>
            <w:r w:rsidRPr="00E31898">
              <w:rPr>
                <w:lang w:eastAsia="en-US"/>
              </w:rPr>
              <w:t xml:space="preserve">90 </w:t>
            </w:r>
            <w:r>
              <w:rPr>
                <w:lang w:val="en-US" w:eastAsia="en-US"/>
              </w:rPr>
              <w:t>-</w:t>
            </w:r>
            <w:r w:rsidRPr="00E31898">
              <w:rPr>
                <w:lang w:eastAsia="en-US"/>
              </w:rPr>
              <w:t xml:space="preserve"> 140</w:t>
            </w:r>
          </w:p>
        </w:tc>
        <w:tc>
          <w:tcPr>
            <w:tcW w:w="1135" w:type="dxa"/>
            <w:tcMar>
              <w:left w:w="28" w:type="dxa"/>
              <w:right w:w="28" w:type="dxa"/>
            </w:tcMar>
            <w:vAlign w:val="center"/>
          </w:tcPr>
          <w:p w14:paraId="3A3C589C" w14:textId="77777777" w:rsidR="001E6773" w:rsidRPr="00E31898" w:rsidRDefault="001E6773" w:rsidP="00145864">
            <w:pPr>
              <w:pStyle w:val="EEATabcenter"/>
              <w:rPr>
                <w:lang w:eastAsia="en-US"/>
              </w:rPr>
            </w:pPr>
            <w:r w:rsidRPr="00E31898">
              <w:rPr>
                <w:lang w:eastAsia="en-US"/>
              </w:rPr>
              <w:t xml:space="preserve">140 </w:t>
            </w:r>
            <w:r>
              <w:rPr>
                <w:lang w:val="en-US" w:eastAsia="en-US"/>
              </w:rPr>
              <w:t>-</w:t>
            </w:r>
            <w:r w:rsidRPr="00E31898">
              <w:rPr>
                <w:lang w:eastAsia="en-US"/>
              </w:rPr>
              <w:t xml:space="preserve"> 200</w:t>
            </w:r>
          </w:p>
        </w:tc>
        <w:tc>
          <w:tcPr>
            <w:tcW w:w="991" w:type="dxa"/>
            <w:tcMar>
              <w:left w:w="28" w:type="dxa"/>
              <w:right w:w="28" w:type="dxa"/>
            </w:tcMar>
            <w:vAlign w:val="center"/>
          </w:tcPr>
          <w:p w14:paraId="38203A74" w14:textId="77777777" w:rsidR="001E6773" w:rsidRPr="00E31898" w:rsidRDefault="001E6773" w:rsidP="00145864">
            <w:pPr>
              <w:pStyle w:val="EEATabcenter"/>
              <w:rPr>
                <w:lang w:eastAsia="en-US"/>
              </w:rPr>
            </w:pPr>
            <w:r w:rsidRPr="00E31898">
              <w:rPr>
                <w:lang w:eastAsia="en-US"/>
              </w:rPr>
              <w:t>≥ 200</w:t>
            </w:r>
          </w:p>
        </w:tc>
      </w:tr>
      <w:tr w:rsidR="001E6773" w:rsidRPr="00E31898" w14:paraId="418DD4EA" w14:textId="77777777" w:rsidTr="00145864">
        <w:trPr>
          <w:trHeight w:val="343"/>
        </w:trPr>
        <w:tc>
          <w:tcPr>
            <w:tcW w:w="1096" w:type="dxa"/>
            <w:tcMar>
              <w:left w:w="28" w:type="dxa"/>
              <w:right w:w="28" w:type="dxa"/>
            </w:tcMar>
          </w:tcPr>
          <w:p w14:paraId="144BC525" w14:textId="77777777" w:rsidR="001E6773" w:rsidRPr="00145864" w:rsidRDefault="001E6773" w:rsidP="00653937">
            <w:pPr>
              <w:pStyle w:val="EEAtableleftbold"/>
              <w:rPr>
                <w:lang w:eastAsia="en-US"/>
              </w:rPr>
            </w:pPr>
            <w:r w:rsidRPr="00145864">
              <w:rPr>
                <w:lang w:eastAsia="en-US"/>
              </w:rPr>
              <w:t>Fresh water provision</w:t>
            </w:r>
          </w:p>
        </w:tc>
        <w:tc>
          <w:tcPr>
            <w:tcW w:w="1134" w:type="dxa"/>
            <w:tcMar>
              <w:left w:w="28" w:type="dxa"/>
              <w:right w:w="28" w:type="dxa"/>
            </w:tcMar>
          </w:tcPr>
          <w:p w14:paraId="39D6C5A7" w14:textId="77777777" w:rsidR="001E6773" w:rsidRPr="00E31898" w:rsidRDefault="001E6773" w:rsidP="00145864">
            <w:pPr>
              <w:pStyle w:val="EEAtableleft"/>
              <w:rPr>
                <w:lang w:eastAsia="en-US"/>
              </w:rPr>
            </w:pPr>
            <w:r w:rsidRPr="00E31898">
              <w:rPr>
                <w:lang w:eastAsia="en-US"/>
              </w:rPr>
              <w:t xml:space="preserve">Percolation rate </w:t>
            </w:r>
          </w:p>
        </w:tc>
        <w:tc>
          <w:tcPr>
            <w:tcW w:w="1260" w:type="dxa"/>
          </w:tcPr>
          <w:p w14:paraId="7F696DC2" w14:textId="77777777" w:rsidR="001E6773" w:rsidRDefault="001E6773" w:rsidP="00145864">
            <w:pPr>
              <w:pStyle w:val="EEAtableleft"/>
              <w:rPr>
                <w:lang w:val="en-US" w:eastAsia="en-US"/>
              </w:rPr>
            </w:pPr>
            <w:r w:rsidRPr="00E31898">
              <w:rPr>
                <w:lang w:eastAsia="en-US"/>
              </w:rPr>
              <w:t>Percolat</w:t>
            </w:r>
            <w:r>
              <w:rPr>
                <w:lang w:val="en-US" w:eastAsia="en-US"/>
              </w:rPr>
              <w:t>ed water</w:t>
            </w:r>
            <w:r w:rsidRPr="00E31898">
              <w:rPr>
                <w:lang w:eastAsia="en-US"/>
              </w:rPr>
              <w:t xml:space="preserve"> [mm/a]</w:t>
            </w:r>
          </w:p>
        </w:tc>
        <w:tc>
          <w:tcPr>
            <w:tcW w:w="905" w:type="dxa"/>
            <w:tcMar>
              <w:left w:w="28" w:type="dxa"/>
              <w:right w:w="28" w:type="dxa"/>
            </w:tcMar>
            <w:vAlign w:val="center"/>
          </w:tcPr>
          <w:p w14:paraId="0AA4A05E" w14:textId="77777777" w:rsidR="001E6773" w:rsidRPr="00226D5B" w:rsidRDefault="001E6773" w:rsidP="00145864">
            <w:pPr>
              <w:pStyle w:val="EEATabcenter"/>
              <w:rPr>
                <w:lang w:val="en-US" w:eastAsia="en-US"/>
              </w:rPr>
            </w:pPr>
            <w:r>
              <w:rPr>
                <w:lang w:val="en-US" w:eastAsia="en-US"/>
              </w:rPr>
              <w:t>0</w:t>
            </w:r>
          </w:p>
        </w:tc>
        <w:tc>
          <w:tcPr>
            <w:tcW w:w="992" w:type="dxa"/>
            <w:tcMar>
              <w:left w:w="28" w:type="dxa"/>
              <w:right w:w="28" w:type="dxa"/>
            </w:tcMar>
            <w:vAlign w:val="center"/>
          </w:tcPr>
          <w:p w14:paraId="68A8F769" w14:textId="77777777" w:rsidR="001E6773" w:rsidRPr="00E31898" w:rsidRDefault="001E6773" w:rsidP="00145864">
            <w:pPr>
              <w:pStyle w:val="EEATabcenter"/>
              <w:rPr>
                <w:lang w:eastAsia="en-US"/>
              </w:rPr>
            </w:pPr>
            <w:r w:rsidRPr="00E31898">
              <w:rPr>
                <w:lang w:eastAsia="en-US"/>
              </w:rPr>
              <w:t>&lt; 200</w:t>
            </w:r>
          </w:p>
        </w:tc>
        <w:tc>
          <w:tcPr>
            <w:tcW w:w="1134" w:type="dxa"/>
            <w:tcMar>
              <w:left w:w="28" w:type="dxa"/>
              <w:right w:w="28" w:type="dxa"/>
            </w:tcMar>
            <w:vAlign w:val="center"/>
          </w:tcPr>
          <w:p w14:paraId="35285900" w14:textId="77777777" w:rsidR="001E6773" w:rsidRPr="00E31898" w:rsidRDefault="001E6773" w:rsidP="00145864">
            <w:pPr>
              <w:pStyle w:val="EEATabcenter"/>
              <w:rPr>
                <w:lang w:eastAsia="en-US"/>
              </w:rPr>
            </w:pPr>
            <w:r w:rsidRPr="00E31898">
              <w:rPr>
                <w:lang w:eastAsia="en-US"/>
              </w:rPr>
              <w:t>200 to &lt; 250</w:t>
            </w:r>
          </w:p>
        </w:tc>
        <w:tc>
          <w:tcPr>
            <w:tcW w:w="1134" w:type="dxa"/>
            <w:tcMar>
              <w:left w:w="28" w:type="dxa"/>
              <w:right w:w="28" w:type="dxa"/>
            </w:tcMar>
            <w:vAlign w:val="center"/>
          </w:tcPr>
          <w:p w14:paraId="67EB3761" w14:textId="77777777" w:rsidR="001E6773" w:rsidRPr="00E31898" w:rsidRDefault="001E6773" w:rsidP="00145864">
            <w:pPr>
              <w:pStyle w:val="EEATabcenter"/>
              <w:rPr>
                <w:lang w:eastAsia="en-US"/>
              </w:rPr>
            </w:pPr>
            <w:r w:rsidRPr="00E31898">
              <w:rPr>
                <w:lang w:eastAsia="en-US"/>
              </w:rPr>
              <w:t>250 to &lt; 300</w:t>
            </w:r>
          </w:p>
        </w:tc>
        <w:tc>
          <w:tcPr>
            <w:tcW w:w="1135" w:type="dxa"/>
            <w:tcMar>
              <w:left w:w="28" w:type="dxa"/>
              <w:right w:w="28" w:type="dxa"/>
            </w:tcMar>
            <w:vAlign w:val="center"/>
          </w:tcPr>
          <w:p w14:paraId="45B87109" w14:textId="77777777" w:rsidR="001E6773" w:rsidRPr="00E31898" w:rsidRDefault="001E6773" w:rsidP="00145864">
            <w:pPr>
              <w:pStyle w:val="EEATabcenter"/>
              <w:rPr>
                <w:lang w:eastAsia="en-US"/>
              </w:rPr>
            </w:pPr>
            <w:r w:rsidRPr="00E31898">
              <w:rPr>
                <w:lang w:eastAsia="en-US"/>
              </w:rPr>
              <w:t>300 to &lt; 350</w:t>
            </w:r>
          </w:p>
        </w:tc>
        <w:tc>
          <w:tcPr>
            <w:tcW w:w="991" w:type="dxa"/>
            <w:tcMar>
              <w:left w:w="28" w:type="dxa"/>
              <w:right w:w="28" w:type="dxa"/>
            </w:tcMar>
            <w:vAlign w:val="center"/>
          </w:tcPr>
          <w:p w14:paraId="4FD53638" w14:textId="77777777" w:rsidR="001E6773" w:rsidRPr="00E31898" w:rsidRDefault="001E6773" w:rsidP="00145864">
            <w:pPr>
              <w:pStyle w:val="EEATabcenter"/>
              <w:rPr>
                <w:lang w:eastAsia="en-US"/>
              </w:rPr>
            </w:pPr>
            <w:r w:rsidRPr="00E31898">
              <w:rPr>
                <w:lang w:eastAsia="en-US"/>
              </w:rPr>
              <w:t>≥ 350</w:t>
            </w:r>
          </w:p>
        </w:tc>
      </w:tr>
    </w:tbl>
    <w:p w14:paraId="792DF54A" w14:textId="0B6483DE" w:rsidR="001E6773" w:rsidRDefault="00145864" w:rsidP="001C6C1E">
      <w:pPr>
        <w:pStyle w:val="EEASource"/>
      </w:pPr>
      <w:r w:rsidRPr="00145864">
        <w:rPr>
          <w:b/>
        </w:rPr>
        <w:t>Source:</w:t>
      </w:r>
      <w:r>
        <w:t xml:space="preserve"> </w:t>
      </w:r>
      <w:r>
        <w:tab/>
      </w:r>
      <w:r>
        <w:rPr>
          <w:rFonts w:eastAsia="Calibri"/>
        </w:rPr>
        <w:t xml:space="preserve">modified from </w:t>
      </w:r>
      <w:r w:rsidRPr="00E07076">
        <w:rPr>
          <w:rFonts w:eastAsia="Calibri"/>
        </w:rPr>
        <w:t xml:space="preserve">Steinhoff-Knopp et al. </w:t>
      </w:r>
      <w:r>
        <w:rPr>
          <w:rFonts w:eastAsia="Calibri"/>
        </w:rPr>
        <w:t>(2</w:t>
      </w:r>
      <w:r w:rsidRPr="00E07076">
        <w:rPr>
          <w:rFonts w:eastAsia="Calibri"/>
        </w:rPr>
        <w:t>020</w:t>
      </w:r>
      <w:r w:rsidRPr="008E325D">
        <w:rPr>
          <w:rFonts w:eastAsia="Calibri"/>
        </w:rPr>
        <w:t>)</w:t>
      </w:r>
    </w:p>
    <w:p w14:paraId="46260C7E" w14:textId="77777777" w:rsidR="00145864" w:rsidRDefault="00145864" w:rsidP="001E6773"/>
    <w:p w14:paraId="73280161" w14:textId="39F632A1" w:rsidR="001E6773" w:rsidRDefault="001E6773" w:rsidP="001E6773">
      <w:r>
        <w:t xml:space="preserve">With these subindicators spatially </w:t>
      </w:r>
      <w:r w:rsidR="00811F8D">
        <w:t>quantified</w:t>
      </w:r>
      <w:r>
        <w:t>, the effect of erosion on ecosystem services can be derived after GIS overlay with spatial erosion surveys. Erosion rates can be assigned to each class of ecosystem services supply, thus be used as thresholds.</w:t>
      </w:r>
    </w:p>
    <w:p w14:paraId="3F508409" w14:textId="548E830A" w:rsidR="00145864" w:rsidRDefault="00145864" w:rsidP="001E6773"/>
    <w:p w14:paraId="2518561A" w14:textId="3E95E032" w:rsidR="00145864" w:rsidRPr="009D5972" w:rsidRDefault="00145864" w:rsidP="002C488D">
      <w:pPr>
        <w:pStyle w:val="berschrift2"/>
        <w:numPr>
          <w:ilvl w:val="2"/>
          <w:numId w:val="3"/>
        </w:numPr>
        <w:rPr>
          <w:rStyle w:val="FormatvorlageFormatvorlageberschrift3Zchn1"/>
        </w:rPr>
      </w:pPr>
      <w:bookmarkStart w:id="336" w:name="_Toc83997383"/>
      <w:r w:rsidRPr="00145864">
        <w:rPr>
          <w:rStyle w:val="FormatvorlageFormatvorlageberschrift3Zchn1"/>
        </w:rPr>
        <w:t>On-site and off-site effects of soil erosion</w:t>
      </w:r>
      <w:bookmarkEnd w:id="336"/>
    </w:p>
    <w:p w14:paraId="796853BE" w14:textId="77777777" w:rsidR="001E6773" w:rsidRDefault="001E6773" w:rsidP="001E6773"/>
    <w:p w14:paraId="326188ED" w14:textId="7E3239B9" w:rsidR="001E6773" w:rsidRDefault="001E6773" w:rsidP="001E6773">
      <w:r>
        <w:t xml:space="preserve">The main </w:t>
      </w:r>
      <w:r w:rsidRPr="00BF1541">
        <w:rPr>
          <w:b/>
          <w:bCs/>
        </w:rPr>
        <w:t>on-site effect</w:t>
      </w:r>
      <w:r>
        <w:t xml:space="preserve"> is the reduction of soil quality, induced by the loss of fertile top soil (see 7.1.2). However, these on-site effects are typically accompanied by off-site effects: the eroded material is transported by wind and water to adjacent and remote locations, along spatial gradients such as slopes and water runoff channels, sedimenting in catchments and river deltas, dams and other water harvesting installations, </w:t>
      </w:r>
      <w:r w:rsidR="00B23A78">
        <w:t>harbours</w:t>
      </w:r>
      <w:r>
        <w:t>, and – as muddy floods – damaging buildings, adjacent properties, and other infrastructure (</w:t>
      </w:r>
      <w:r w:rsidR="00FA056E">
        <w:t>e.g</w:t>
      </w:r>
      <w:r w:rsidR="00FA056E" w:rsidRPr="00830CBE">
        <w:t>.,</w:t>
      </w:r>
      <w:r w:rsidRPr="00830CBE">
        <w:t xml:space="preserve"> Verstaeten </w:t>
      </w:r>
      <w:r w:rsidR="00830CBE">
        <w:t xml:space="preserve">et al., </w:t>
      </w:r>
      <w:r w:rsidRPr="00830CBE">
        <w:t>2006). Eroded</w:t>
      </w:r>
      <w:r>
        <w:t xml:space="preserve"> soil is also known to </w:t>
      </w:r>
      <w:r w:rsidRPr="00DB4D94">
        <w:t>clog</w:t>
      </w:r>
      <w:r>
        <w:t xml:space="preserve"> up </w:t>
      </w:r>
      <w:r w:rsidRPr="00DB4D94">
        <w:t>drainage system</w:t>
      </w:r>
      <w:r>
        <w:t>s, which could r</w:t>
      </w:r>
      <w:r w:rsidRPr="00DB4D94">
        <w:t>esult in overflow</w:t>
      </w:r>
      <w:r>
        <w:t xml:space="preserve"> and</w:t>
      </w:r>
      <w:r w:rsidRPr="00DB4D94">
        <w:t xml:space="preserve"> washout</w:t>
      </w:r>
      <w:r>
        <w:t xml:space="preserve">, and subsequently its failure (WHO 1991). It can even contribute to </w:t>
      </w:r>
      <w:r>
        <w:lastRenderedPageBreak/>
        <w:t>the pollution of public water supply. If coupled with p</w:t>
      </w:r>
      <w:r w:rsidRPr="00286308">
        <w:t>oor drainage maintenance</w:t>
      </w:r>
      <w:r>
        <w:t xml:space="preserve">, </w:t>
      </w:r>
      <w:r w:rsidRPr="00286308">
        <w:t>the lifetime of pavement</w:t>
      </w:r>
      <w:r>
        <w:t>s</w:t>
      </w:r>
      <w:r w:rsidRPr="00286308">
        <w:t xml:space="preserve"> </w:t>
      </w:r>
      <w:r>
        <w:t>can be affected (</w:t>
      </w:r>
      <w:r w:rsidR="00182B60">
        <w:t>e.g.,</w:t>
      </w:r>
      <w:r>
        <w:t xml:space="preserve"> deformations, frost heave).</w:t>
      </w:r>
      <w:r w:rsidRPr="00E71EDC">
        <w:t xml:space="preserve"> </w:t>
      </w:r>
      <w:r w:rsidRPr="00F61FA1">
        <w:t xml:space="preserve">Road and sedimentation clearance </w:t>
      </w:r>
      <w:r>
        <w:t xml:space="preserve">operations </w:t>
      </w:r>
      <w:r w:rsidRPr="00F61FA1">
        <w:t>are needed</w:t>
      </w:r>
      <w:r>
        <w:t xml:space="preserve">, causing significant cost. A recent regional scale </w:t>
      </w:r>
      <w:r w:rsidR="00FA056E">
        <w:t>modelling</w:t>
      </w:r>
      <w:r>
        <w:t xml:space="preserve"> study on lateral C fluxes (Nadeu et al., 2015) indicates that while lateral export of C from cropland through erosion may have approximately the same magnitude as additional C sequestration in C depleted eroded soils. </w:t>
      </w:r>
    </w:p>
    <w:p w14:paraId="08F7328F" w14:textId="77777777" w:rsidR="00B340F4" w:rsidRDefault="00B340F4" w:rsidP="001E6773"/>
    <w:p w14:paraId="1059D04C" w14:textId="77777777" w:rsidR="001E6773" w:rsidRPr="009D5972" w:rsidRDefault="001E6773" w:rsidP="002C488D">
      <w:pPr>
        <w:pStyle w:val="berschrift2"/>
        <w:numPr>
          <w:ilvl w:val="2"/>
          <w:numId w:val="3"/>
        </w:numPr>
        <w:rPr>
          <w:rStyle w:val="FormatvorlageFormatvorlageberschrift3Zchn1"/>
        </w:rPr>
      </w:pPr>
      <w:bookmarkStart w:id="337" w:name="_Toc63939975"/>
      <w:bookmarkStart w:id="338" w:name="_Toc83997384"/>
      <w:r w:rsidRPr="009D5972">
        <w:rPr>
          <w:rStyle w:val="FormatvorlageFormatvorlageberschrift3Zchn1"/>
        </w:rPr>
        <w:t>Status of soil erosion by water</w:t>
      </w:r>
      <w:bookmarkEnd w:id="337"/>
      <w:bookmarkEnd w:id="338"/>
    </w:p>
    <w:p w14:paraId="60989ACC" w14:textId="77777777" w:rsidR="001E6773" w:rsidRDefault="001E6773" w:rsidP="001E6773"/>
    <w:p w14:paraId="59775DDF" w14:textId="77777777" w:rsidR="001E6773" w:rsidRDefault="001E6773" w:rsidP="001E6773">
      <w:r>
        <w:t xml:space="preserve">Soil erosion is among the eight soil threats listed within the Soil Thematic Strategy of the European Commission (EC, 2006); it is one of most widespread forms of soil degradation especially in agricultural areas. Hot spots include the south-eastern and eastern European as well as the Mediterranean region </w:t>
      </w:r>
      <w:r w:rsidRPr="00CC4F83">
        <w:t>(Kirkby et al. 2004,</w:t>
      </w:r>
      <w:r>
        <w:t xml:space="preserve"> based on predictions using the PESERA model). In the latter, this is because of the </w:t>
      </w:r>
      <w:r w:rsidRPr="00A878CD">
        <w:t xml:space="preserve">high rain erosivity </w:t>
      </w:r>
      <w:r>
        <w:t>during winter months (when coupled with lack of proper soil cover by crops).</w:t>
      </w:r>
      <w:r w:rsidRPr="00A878CD">
        <w:t xml:space="preserve"> </w:t>
      </w:r>
    </w:p>
    <w:p w14:paraId="53592514" w14:textId="77777777" w:rsidR="001E6773" w:rsidRDefault="001E6773" w:rsidP="001E6773"/>
    <w:p w14:paraId="1DF04DC7" w14:textId="417C537B" w:rsidR="001E6773" w:rsidRDefault="001E6773" w:rsidP="001E6773">
      <w:r>
        <w:t>Several recent publications summarize the state of erosion for the agricultural area for the whole of the EU (</w:t>
      </w:r>
      <w:r w:rsidRPr="002E0468">
        <w:t>Veerman et al.,</w:t>
      </w:r>
      <w:r w:rsidRPr="00011F24">
        <w:rPr>
          <w:strike/>
        </w:rPr>
        <w:t xml:space="preserve"> </w:t>
      </w:r>
      <w:r>
        <w:t>2020</w:t>
      </w:r>
      <w:r w:rsidRPr="002E0468">
        <w:t xml:space="preserve">; EEA, </w:t>
      </w:r>
      <w:r w:rsidR="00C919A3" w:rsidRPr="002E0468">
        <w:t>2019</w:t>
      </w:r>
      <w:r>
        <w:t xml:space="preserve">). These reports essentially go back to the works of Panagos et al. (2015 and 2020). There, soil loss has been estimated using the empirical prediction model RUSLE (Revised Universal Soil Loss Equation). </w:t>
      </w:r>
      <w:r w:rsidRPr="00A6390F">
        <w:t>Accor</w:t>
      </w:r>
      <w:r>
        <w:t>ding to Panagos et al. (2015), t</w:t>
      </w:r>
      <w:r w:rsidRPr="00CA62E3">
        <w:t>he mean soil loss rate in the European Union’s water erosion-prone lands (agricultural, forests and semi-natural areas) was found to be 2.46 t</w:t>
      </w:r>
      <w:r>
        <w:t>/</w:t>
      </w:r>
      <w:r w:rsidRPr="00CA62E3">
        <w:t>ha</w:t>
      </w:r>
      <w:r>
        <w:t>/</w:t>
      </w:r>
      <w:r w:rsidRPr="00CA62E3">
        <w:t>yr, resulting in a total soil loss of 970 Mt annually.</w:t>
      </w:r>
      <w:r>
        <w:t xml:space="preserve"> Roughly</w:t>
      </w:r>
      <w:r w:rsidRPr="00754B22">
        <w:t xml:space="preserve"> 25% of the EU land </w:t>
      </w:r>
      <w:r>
        <w:t xml:space="preserve">are shows </w:t>
      </w:r>
      <w:r w:rsidRPr="00754B22">
        <w:t xml:space="preserve">erosion rates </w:t>
      </w:r>
      <w:r>
        <w:t xml:space="preserve">&gt; </w:t>
      </w:r>
      <w:r w:rsidRPr="00754B22">
        <w:t>2 t ha</w:t>
      </w:r>
      <w:r>
        <w:t>/yr, while ca.</w:t>
      </w:r>
      <w:r w:rsidRPr="00754B22">
        <w:t xml:space="preserve"> 6% of agricultural </w:t>
      </w:r>
      <w:r>
        <w:t xml:space="preserve">area shows </w:t>
      </w:r>
      <w:r w:rsidRPr="00754B22">
        <w:t>severe erosion (11 t ha</w:t>
      </w:r>
      <w:r>
        <w:t>/yr</w:t>
      </w:r>
      <w:r w:rsidRPr="00754B22">
        <w:t>)</w:t>
      </w:r>
      <w:r>
        <w:t xml:space="preserve"> (Panagos et al. 2020)</w:t>
      </w:r>
      <w:r w:rsidRPr="00754B22">
        <w:t>.</w:t>
      </w:r>
    </w:p>
    <w:p w14:paraId="26E49925" w14:textId="77777777" w:rsidR="001E6773" w:rsidRDefault="001E6773" w:rsidP="001E6773"/>
    <w:p w14:paraId="2AD3EFB8" w14:textId="3D84DD29" w:rsidR="001E6773" w:rsidRDefault="001E6773" w:rsidP="001E6773">
      <w:r>
        <w:t>Several authors have summarized erosion rates from upscaled local observations or plot measurements (e.g.</w:t>
      </w:r>
      <w:r w:rsidR="00F07090">
        <w:t>,</w:t>
      </w:r>
      <w:r>
        <w:t xml:space="preserve"> </w:t>
      </w:r>
      <w:r w:rsidRPr="001773B9">
        <w:t>Gobin et al. 2004).</w:t>
      </w:r>
      <w:r>
        <w:t xml:space="preserve"> These results show that it is inaccurate to operate with average values rather than ranges of values, provided that few critical erosive events increase the medians for otherwise insignificant erosion levels. Nevertheless, Cerdan et al. (2010) conclude an </w:t>
      </w:r>
      <w:r w:rsidRPr="00A6390F">
        <w:t xml:space="preserve">average erosion rate for arable land </w:t>
      </w:r>
      <w:r w:rsidR="002E0468">
        <w:t>across</w:t>
      </w:r>
      <w:r w:rsidRPr="00A6390F">
        <w:t xml:space="preserve"> Europe to be 3.6 t/ha/year</w:t>
      </w:r>
      <w:r>
        <w:rPr>
          <w:rStyle w:val="Funotenzeichen"/>
        </w:rPr>
        <w:footnoteReference w:id="46"/>
      </w:r>
      <w:r w:rsidRPr="00A6390F">
        <w:t>, with a peak of 17.4 t/ha/year for vineyards. Assuming an average soil bulk density of 1.5 g/cm</w:t>
      </w:r>
      <w:r w:rsidRPr="00A6390F">
        <w:rPr>
          <w:vertAlign w:val="superscript"/>
        </w:rPr>
        <w:t>3</w:t>
      </w:r>
      <w:r w:rsidRPr="00A6390F">
        <w:t>, this translates respectively to a loss of 0.2</w:t>
      </w:r>
      <w:r>
        <w:t> </w:t>
      </w:r>
      <w:r w:rsidRPr="00A6390F">
        <w:t>mm and 1.2</w:t>
      </w:r>
      <w:r>
        <w:t xml:space="preserve"> </w:t>
      </w:r>
      <w:r w:rsidRPr="00A6390F">
        <w:t xml:space="preserve">mm of topsoil </w:t>
      </w:r>
      <w:r>
        <w:t xml:space="preserve">loss </w:t>
      </w:r>
      <w:r w:rsidRPr="00A6390F">
        <w:t xml:space="preserve">per hectare per year. </w:t>
      </w:r>
      <w:r>
        <w:t xml:space="preserve">Considering the typically slow rates of natural soil development from weathering and soil formation processes, estimated to be 0.05–0.5mm year (Wakatsuki and Rasyidin, 1992, cited from Gobin et al. 2004), any soil loss of more than 1 t/ha year can be considered as irreversible. Cerdan et al. (2010) estimate that 70% of the total erosion occurs in 15% of the area; thus, the erosion rate strongly varies across Europe and is likely to occur in hotspots at much higher rates than the average. </w:t>
      </w:r>
    </w:p>
    <w:p w14:paraId="1FA02011" w14:textId="77777777" w:rsidR="001E6773" w:rsidRDefault="001E6773" w:rsidP="001E6773"/>
    <w:p w14:paraId="5CFAE4D2" w14:textId="77777777" w:rsidR="001E6773" w:rsidRDefault="001E6773" w:rsidP="001E6773">
      <w:r w:rsidRPr="00723D77">
        <w:t>Darmendrail et al. (2004)</w:t>
      </w:r>
      <w:r>
        <w:t xml:space="preserve"> present the results for 14 surveyed localities in the UK, totalling 4.8 Mio ha, and an average annual erosion rate of 0.86 t/ha. For comparison, the modelled rates of erosion in the UK, based on Panagos et al. (2015) amounts to 2.38 t/ha/yr across all land uses, and 1.04 t/ha/yr for arable land (cited </w:t>
      </w:r>
      <w:r w:rsidRPr="00562E1A">
        <w:t xml:space="preserve">from </w:t>
      </w:r>
      <w:r w:rsidRPr="008E5A98">
        <w:t>Evans and Boardman 2016; higher</w:t>
      </w:r>
      <w:r w:rsidRPr="00A81FAE">
        <w:t xml:space="preserve"> rates from modelling did not spatially correspond to the field measurements</w:t>
      </w:r>
      <w:r>
        <w:t xml:space="preserve">). For seven investigation areas in Northern Germany, an average </w:t>
      </w:r>
      <w:r w:rsidRPr="00C92142">
        <w:t>0.85 t</w:t>
      </w:r>
      <w:r>
        <w:t>/</w:t>
      </w:r>
      <w:r w:rsidRPr="00C92142">
        <w:t>ha</w:t>
      </w:r>
      <w:r>
        <w:t>/yr was found from field observations (</w:t>
      </w:r>
      <w:r w:rsidRPr="00C92142">
        <w:t>Steinhoff-Knopp</w:t>
      </w:r>
      <w:r>
        <w:t xml:space="preserve"> and</w:t>
      </w:r>
      <w:r w:rsidRPr="00C92142">
        <w:t xml:space="preserve"> Burkhard</w:t>
      </w:r>
      <w:r>
        <w:t xml:space="preserve"> 2018). A review for Spain, </w:t>
      </w:r>
      <w:r w:rsidRPr="00C92142">
        <w:t>Solé-Benet</w:t>
      </w:r>
      <w:r>
        <w:t xml:space="preserve"> (2006) cite 36 studies with a huge variability of erosion rates, indicating the need to harmonize and agree upon methods to measure and model erosion rates.</w:t>
      </w:r>
    </w:p>
    <w:p w14:paraId="2029326B" w14:textId="77777777" w:rsidR="001E6773" w:rsidRDefault="001E6773" w:rsidP="001E6773"/>
    <w:p w14:paraId="677FFC73" w14:textId="77777777" w:rsidR="001E6773" w:rsidRDefault="001E6773" w:rsidP="001E6773">
      <w:r>
        <w:t>In silty soils in some Swiss regions, average mass losses of 20 t/event were observed, under extreme weather conditions up to 95 t. Clayey soils reach average rates of 0.3 t, in exceptional cases of up to 10 t (</w:t>
      </w:r>
      <w:r w:rsidRPr="003E5C35">
        <w:t>BAFU 2017).</w:t>
      </w:r>
      <w:r>
        <w:t xml:space="preserve"> On grassland of the same case study, the average loss rate was 1.8 t/ha/yr, up to 30 t on local hot spots, whereas only 0.3 to 1 t/ha/yr would be tolerable given the typically slow soil formation rate (BAFU 2017). Prasuhn (2020), based on long-term monitoring of 203 fields in Switzerland, has reported </w:t>
      </w:r>
      <w:r w:rsidRPr="000C4808">
        <w:t>mean</w:t>
      </w:r>
      <w:r>
        <w:t xml:space="preserve"> soil loss rates of </w:t>
      </w:r>
      <w:r w:rsidRPr="000C4808">
        <w:t>0.74 t</w:t>
      </w:r>
      <w:r>
        <w:t>/</w:t>
      </w:r>
      <w:r w:rsidRPr="000C4808">
        <w:t>ha</w:t>
      </w:r>
      <w:r>
        <w:t>/</w:t>
      </w:r>
      <w:r w:rsidRPr="000C4808">
        <w:t>year</w:t>
      </w:r>
      <w:r>
        <w:t xml:space="preserve"> (monitoring from </w:t>
      </w:r>
      <w:r w:rsidRPr="000C4808">
        <w:t>1997 to 2007</w:t>
      </w:r>
      <w:r>
        <w:t xml:space="preserve">) and </w:t>
      </w:r>
      <w:r w:rsidRPr="000C4808">
        <w:t>0.20 t</w:t>
      </w:r>
      <w:r>
        <w:t>/</w:t>
      </w:r>
      <w:r w:rsidRPr="000C4808">
        <w:t>ha</w:t>
      </w:r>
      <w:r>
        <w:t>/y</w:t>
      </w:r>
      <w:r w:rsidRPr="000C4808">
        <w:t>ear</w:t>
      </w:r>
      <w:r>
        <w:t xml:space="preserve"> (</w:t>
      </w:r>
      <w:r w:rsidRPr="000C4808">
        <w:t>2007 to 2017</w:t>
      </w:r>
      <w:r>
        <w:t xml:space="preserve">). He attributes this reduction to </w:t>
      </w:r>
      <w:r w:rsidRPr="0098322D">
        <w:t>changes in soil tillage practice and erosion control</w:t>
      </w:r>
      <w:r>
        <w:t xml:space="preserve">. Considering </w:t>
      </w:r>
      <w:r>
        <w:lastRenderedPageBreak/>
        <w:t>the variability of triggering weather events, accurate erosion monitoring of larger areas is difficult: in a watershed in central Switzerland, between 1998 and 2007, 50 % of all eroded material was related to 6 events (BAFU 2017). For English lowlands</w:t>
      </w:r>
      <w:r w:rsidRPr="003E5C35">
        <w:t>, Evans and Boardman (2016) report</w:t>
      </w:r>
      <w:r>
        <w:t xml:space="preserve"> that only ca. 5 % of the observed area suffers from any level of erosion per year – depending on the risk category (the value is higher for more erosive soils), and very few events dominate the long-term averages. </w:t>
      </w:r>
    </w:p>
    <w:p w14:paraId="3404AFDB" w14:textId="77777777" w:rsidR="001E6773" w:rsidRPr="00131ED0" w:rsidRDefault="001E6773" w:rsidP="001E6773">
      <w:pPr>
        <w:rPr>
          <w:lang w:val="en-US"/>
        </w:rPr>
      </w:pPr>
    </w:p>
    <w:p w14:paraId="1CEC51F2" w14:textId="77777777" w:rsidR="00145864" w:rsidRPr="00145864" w:rsidRDefault="00145864" w:rsidP="00145864">
      <w:bookmarkStart w:id="339" w:name="_Toc63939976"/>
    </w:p>
    <w:p w14:paraId="32DB2380" w14:textId="55BC74D2" w:rsidR="001E6773" w:rsidRDefault="001E6773" w:rsidP="001E6773">
      <w:pPr>
        <w:pStyle w:val="berschrift2"/>
      </w:pPr>
      <w:bookmarkStart w:id="340" w:name="_Toc83997385"/>
      <w:r>
        <w:t>Indicator specifications</w:t>
      </w:r>
      <w:bookmarkEnd w:id="339"/>
      <w:bookmarkEnd w:id="340"/>
    </w:p>
    <w:p w14:paraId="1BEDAF28" w14:textId="77777777" w:rsidR="001E6773" w:rsidRDefault="001E6773" w:rsidP="001E6773"/>
    <w:p w14:paraId="2DF74E89" w14:textId="25F49589" w:rsidR="009D5972" w:rsidRPr="009D5972" w:rsidRDefault="00145864" w:rsidP="00B27105">
      <w:pPr>
        <w:pStyle w:val="berschrift2"/>
        <w:numPr>
          <w:ilvl w:val="2"/>
          <w:numId w:val="3"/>
        </w:numPr>
        <w:spacing w:before="0"/>
        <w:rPr>
          <w:rStyle w:val="FormatvorlageFormatvorlageberschrift3Zchn1"/>
        </w:rPr>
      </w:pPr>
      <w:bookmarkStart w:id="341" w:name="_Toc83997386"/>
      <w:r w:rsidRPr="00145864">
        <w:rPr>
          <w:rStyle w:val="FormatvorlageFormatvorlageberschrift3Zchn1"/>
        </w:rPr>
        <w:t>Indicator definition</w:t>
      </w:r>
      <w:bookmarkEnd w:id="341"/>
    </w:p>
    <w:p w14:paraId="452A80B0" w14:textId="77777777" w:rsidR="009D5972" w:rsidRDefault="009D5972" w:rsidP="001E6773">
      <w:pPr>
        <w:rPr>
          <w:bCs/>
        </w:rPr>
      </w:pPr>
    </w:p>
    <w:p w14:paraId="1F9F4481" w14:textId="3302843A" w:rsidR="001E6773" w:rsidRPr="00281EFE" w:rsidRDefault="001E6773" w:rsidP="001E6773">
      <w:pPr>
        <w:rPr>
          <w:bCs/>
        </w:rPr>
      </w:pPr>
      <w:r w:rsidRPr="00281EFE">
        <w:rPr>
          <w:bCs/>
        </w:rPr>
        <w:t xml:space="preserve">This indicator aims to delimit and quantify the extent of land which is suffering from soil loss due water erosion at such a level that the proper soil </w:t>
      </w:r>
      <w:r w:rsidR="009E3B73" w:rsidRPr="00281EFE">
        <w:rPr>
          <w:bCs/>
        </w:rPr>
        <w:t>functioning,</w:t>
      </w:r>
      <w:r w:rsidRPr="00281EFE">
        <w:rPr>
          <w:bCs/>
        </w:rPr>
        <w:t xml:space="preserve"> and the supply of soil-related ecosystem services is impaired. The current knowledge about indicators is summarized so that a harmonized approach for Europe leading to a tiered monitoring can be developed.</w:t>
      </w:r>
    </w:p>
    <w:p w14:paraId="3C13CE06" w14:textId="77777777" w:rsidR="001E6773" w:rsidRPr="00281EFE" w:rsidRDefault="001E6773" w:rsidP="001E6773">
      <w:pPr>
        <w:rPr>
          <w:bCs/>
        </w:rPr>
      </w:pPr>
    </w:p>
    <w:p w14:paraId="5ED388C1" w14:textId="7F72792D" w:rsidR="001E6773" w:rsidRDefault="001E6773" w:rsidP="001E6773">
      <w:r>
        <w:t xml:space="preserve">The main indicator for soil erosion is the </w:t>
      </w:r>
      <w:r w:rsidRPr="00281EFE">
        <w:rPr>
          <w:b/>
          <w:bCs/>
        </w:rPr>
        <w:t>rate of topsoil mass loss</w:t>
      </w:r>
      <w:r>
        <w:t xml:space="preserve">, which is usually expressed in t/ha/yr. In the absence of data on the actual soil erosion rate, various </w:t>
      </w:r>
      <w:r w:rsidRPr="007A341B">
        <w:rPr>
          <w:b/>
          <w:bCs/>
        </w:rPr>
        <w:t>proxy or impact (sub-</w:t>
      </w:r>
      <w:proofErr w:type="gramStart"/>
      <w:r w:rsidRPr="007A341B">
        <w:rPr>
          <w:b/>
          <w:bCs/>
        </w:rPr>
        <w:t>)indicators</w:t>
      </w:r>
      <w:proofErr w:type="gramEnd"/>
      <w:r>
        <w:t xml:space="preserve"> are often used to estimate information on the </w:t>
      </w:r>
      <w:r w:rsidRPr="00CB768B">
        <w:rPr>
          <w:b/>
          <w:bCs/>
        </w:rPr>
        <w:t>severity of erosion</w:t>
      </w:r>
      <w:r>
        <w:t xml:space="preserve">, and/or to estimate a </w:t>
      </w:r>
      <w:r w:rsidRPr="00CB768B">
        <w:rPr>
          <w:b/>
          <w:bCs/>
        </w:rPr>
        <w:t>potential soil erosion rate</w:t>
      </w:r>
      <w:r>
        <w:t xml:space="preserve">. These may include for example, dimensions of erosion features, increased turbidity in runoff, amount of deposition exposure of sub-soil, or other indirect parameters such as changed soil depth, reduced organic matter content, exposure of plant roots, and changes in soil texture. </w:t>
      </w:r>
      <w:r w:rsidRPr="00756B25">
        <w:t xml:space="preserve">Also, reduced rainwater infiltration and changed water holding capacity, as they are affected by compaction, are conditioning the triggering conditions for erosion, and are thus also important to monitor. </w:t>
      </w:r>
      <w:r>
        <w:t>Besides, the set of (R</w:t>
      </w:r>
      <w:proofErr w:type="gramStart"/>
      <w:r>
        <w:t>)USLE</w:t>
      </w:r>
      <w:proofErr w:type="gramEnd"/>
      <w:r>
        <w:t xml:space="preserve"> factors can also be considered as sub-</w:t>
      </w:r>
      <w:r w:rsidR="00910ABC">
        <w:t>indicators and</w:t>
      </w:r>
      <w:r>
        <w:t xml:space="preserve"> mapped separately to indicate potential erosion effects.</w:t>
      </w:r>
    </w:p>
    <w:p w14:paraId="74324660" w14:textId="77777777" w:rsidR="001E6773" w:rsidRDefault="001E6773" w:rsidP="001E6773"/>
    <w:p w14:paraId="47C2D127" w14:textId="4E805125" w:rsidR="001E6773" w:rsidRPr="004F34FF" w:rsidRDefault="0037472D" w:rsidP="001E6773">
      <w:pPr>
        <w:pStyle w:val="EEALabel"/>
        <w:spacing w:after="120"/>
        <w:rPr>
          <w:rFonts w:eastAsia="Calibri"/>
        </w:rPr>
      </w:pPr>
      <w:bookmarkStart w:id="342" w:name="_Toc83997530"/>
      <w:r>
        <w:t xml:space="preserve">Table </w:t>
      </w:r>
      <w:r w:rsidR="00C76C23">
        <w:fldChar w:fldCharType="begin"/>
      </w:r>
      <w:r w:rsidR="00C76C23">
        <w:instrText xml:space="preserve"> STYLEREF 1 \s </w:instrText>
      </w:r>
      <w:r w:rsidR="00C76C23">
        <w:fldChar w:fldCharType="separate"/>
      </w:r>
      <w:r w:rsidR="0067767C">
        <w:rPr>
          <w:noProof/>
        </w:rPr>
        <w:t>7</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4</w:t>
      </w:r>
      <w:r w:rsidR="00C76C23">
        <w:fldChar w:fldCharType="end"/>
      </w:r>
      <w:r>
        <w:t>:</w:t>
      </w:r>
      <w:r>
        <w:rPr>
          <w:rFonts w:eastAsia="Calibri"/>
        </w:rPr>
        <w:tab/>
      </w:r>
      <w:r w:rsidR="001E6773">
        <w:rPr>
          <w:rFonts w:eastAsia="Calibri"/>
        </w:rPr>
        <w:t>USLE factors as subindicators</w:t>
      </w:r>
      <w:bookmarkEnd w:id="342"/>
    </w:p>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95"/>
        <w:gridCol w:w="2194"/>
        <w:gridCol w:w="6707"/>
      </w:tblGrid>
      <w:tr w:rsidR="001E6773" w:rsidRPr="006D0861" w14:paraId="371B4132" w14:textId="77777777" w:rsidTr="00145864">
        <w:tc>
          <w:tcPr>
            <w:tcW w:w="2689" w:type="dxa"/>
            <w:gridSpan w:val="2"/>
            <w:shd w:val="pct10" w:color="auto" w:fill="auto"/>
            <w:tcMar>
              <w:left w:w="28" w:type="dxa"/>
              <w:right w:w="28" w:type="dxa"/>
            </w:tcMar>
          </w:tcPr>
          <w:p w14:paraId="17DE9DD0" w14:textId="77777777" w:rsidR="001E6773" w:rsidRPr="006D0861" w:rsidRDefault="001E6773" w:rsidP="00145864">
            <w:pPr>
              <w:pStyle w:val="EEAtableleftbold"/>
            </w:pPr>
            <w:r w:rsidRPr="006D0861">
              <w:t>(R)USLE factor</w:t>
            </w:r>
          </w:p>
        </w:tc>
        <w:tc>
          <w:tcPr>
            <w:tcW w:w="6707" w:type="dxa"/>
            <w:shd w:val="pct10" w:color="auto" w:fill="auto"/>
            <w:tcMar>
              <w:left w:w="28" w:type="dxa"/>
              <w:right w:w="28" w:type="dxa"/>
            </w:tcMar>
          </w:tcPr>
          <w:p w14:paraId="5258E378" w14:textId="77777777" w:rsidR="001E6773" w:rsidRPr="006D0861" w:rsidRDefault="001E6773" w:rsidP="00145864">
            <w:pPr>
              <w:pStyle w:val="EEAtableleftbold"/>
            </w:pPr>
            <w:r>
              <w:t xml:space="preserve">Description and </w:t>
            </w:r>
            <w:r w:rsidRPr="006D0861">
              <w:t>Critical values</w:t>
            </w:r>
          </w:p>
        </w:tc>
      </w:tr>
      <w:tr w:rsidR="001E6773" w:rsidRPr="004A487C" w14:paraId="64802CF8" w14:textId="77777777" w:rsidTr="002A3F15">
        <w:tc>
          <w:tcPr>
            <w:tcW w:w="495" w:type="dxa"/>
            <w:vAlign w:val="center"/>
          </w:tcPr>
          <w:p w14:paraId="2BA0E366" w14:textId="77777777" w:rsidR="001E6773" w:rsidRPr="004A487C" w:rsidRDefault="001E6773" w:rsidP="00145864">
            <w:pPr>
              <w:pStyle w:val="EEAtableleft"/>
            </w:pPr>
            <w:r>
              <w:t>R</w:t>
            </w:r>
          </w:p>
        </w:tc>
        <w:tc>
          <w:tcPr>
            <w:tcW w:w="2194" w:type="dxa"/>
            <w:tcMar>
              <w:left w:w="28" w:type="dxa"/>
              <w:right w:w="28" w:type="dxa"/>
            </w:tcMar>
            <w:vAlign w:val="center"/>
          </w:tcPr>
          <w:p w14:paraId="5640776D" w14:textId="77777777" w:rsidR="001E6773" w:rsidRPr="004A487C" w:rsidRDefault="001E6773" w:rsidP="00145864">
            <w:pPr>
              <w:pStyle w:val="EEAtableleft"/>
            </w:pPr>
            <w:r w:rsidRPr="004A487C">
              <w:t xml:space="preserve">Rainfall and runoff erosivity </w:t>
            </w:r>
          </w:p>
        </w:tc>
        <w:tc>
          <w:tcPr>
            <w:tcW w:w="6707" w:type="dxa"/>
            <w:tcMar>
              <w:left w:w="28" w:type="dxa"/>
              <w:right w:w="28" w:type="dxa"/>
            </w:tcMar>
          </w:tcPr>
          <w:p w14:paraId="0232735B" w14:textId="77777777" w:rsidR="001E6773" w:rsidRPr="004A487C" w:rsidRDefault="001E6773" w:rsidP="00145864">
            <w:pPr>
              <w:pStyle w:val="EEAtableleft"/>
            </w:pPr>
            <w:r>
              <w:t xml:space="preserve">Effects of rain drops on soil particle detachment and rate of run-off per rain event; erosive thresholds see Todisco et al. (2019): </w:t>
            </w:r>
            <w:r w:rsidRPr="004A487C">
              <w:t>&gt; 1</w:t>
            </w:r>
            <w:r>
              <w:t>2.7</w:t>
            </w:r>
            <w:r w:rsidRPr="004A487C">
              <w:t xml:space="preserve"> mm</w:t>
            </w:r>
            <w:r>
              <w:t xml:space="preserve">/event </w:t>
            </w:r>
          </w:p>
        </w:tc>
      </w:tr>
      <w:tr w:rsidR="001E6773" w:rsidRPr="004A487C" w14:paraId="1093EDD1" w14:textId="77777777" w:rsidTr="002A3F15">
        <w:tc>
          <w:tcPr>
            <w:tcW w:w="495" w:type="dxa"/>
            <w:vAlign w:val="center"/>
          </w:tcPr>
          <w:p w14:paraId="244A07CE" w14:textId="77777777" w:rsidR="001E6773" w:rsidRPr="004A487C" w:rsidRDefault="001E6773" w:rsidP="00145864">
            <w:pPr>
              <w:pStyle w:val="EEAtableleft"/>
            </w:pPr>
            <w:r>
              <w:t>K</w:t>
            </w:r>
          </w:p>
        </w:tc>
        <w:tc>
          <w:tcPr>
            <w:tcW w:w="2194" w:type="dxa"/>
            <w:tcMar>
              <w:left w:w="28" w:type="dxa"/>
              <w:right w:w="28" w:type="dxa"/>
            </w:tcMar>
            <w:vAlign w:val="center"/>
          </w:tcPr>
          <w:p w14:paraId="471A2EEB" w14:textId="77777777" w:rsidR="001E6773" w:rsidRPr="004A487C" w:rsidRDefault="001E6773" w:rsidP="00145864">
            <w:pPr>
              <w:pStyle w:val="EEAtableleft"/>
            </w:pPr>
            <w:r w:rsidRPr="004A487C">
              <w:t xml:space="preserve">Soil erodibility </w:t>
            </w:r>
          </w:p>
        </w:tc>
        <w:tc>
          <w:tcPr>
            <w:tcW w:w="6707" w:type="dxa"/>
            <w:tcMar>
              <w:left w:w="28" w:type="dxa"/>
              <w:right w:w="28" w:type="dxa"/>
            </w:tcMar>
          </w:tcPr>
          <w:p w14:paraId="5286D958" w14:textId="107883D4" w:rsidR="001E6773" w:rsidRDefault="00E93670" w:rsidP="002A3F15">
            <w:pPr>
              <w:pStyle w:val="EEAtableleft"/>
            </w:pPr>
            <w:r>
              <w:t xml:space="preserve">Inherent </w:t>
            </w:r>
            <w:r w:rsidR="00733831">
              <w:t xml:space="preserve">property of soil particles to be </w:t>
            </w:r>
            <w:r w:rsidR="002A3F15">
              <w:t>detach</w:t>
            </w:r>
            <w:r w:rsidR="00733831">
              <w:t xml:space="preserve">ed </w:t>
            </w:r>
            <w:r w:rsidR="002A3F15">
              <w:t>and transport</w:t>
            </w:r>
            <w:r w:rsidR="00733831">
              <w:t>ed</w:t>
            </w:r>
            <w:r w:rsidR="002A3F15">
              <w:t>; depend</w:t>
            </w:r>
            <w:r w:rsidR="0061601B">
              <w:t>s</w:t>
            </w:r>
            <w:r w:rsidR="002A3F15">
              <w:t xml:space="preserve"> on </w:t>
            </w:r>
            <w:r w:rsidR="001E6773" w:rsidRPr="004A487C">
              <w:t>textural class</w:t>
            </w:r>
            <w:r w:rsidR="001E6773">
              <w:t xml:space="preserve">, SOC content, </w:t>
            </w:r>
            <w:r w:rsidR="001E6773" w:rsidRPr="004D68CC">
              <w:t>stability of macroaggregates</w:t>
            </w:r>
          </w:p>
          <w:p w14:paraId="1A4CD4FF" w14:textId="2201EF31" w:rsidR="001E6773" w:rsidRPr="004A487C" w:rsidRDefault="001E6773" w:rsidP="00145864">
            <w:pPr>
              <w:pStyle w:val="EEAtableleft"/>
            </w:pPr>
            <w:r>
              <w:t xml:space="preserve">Soils </w:t>
            </w:r>
            <w:r w:rsidR="0061601B">
              <w:t>below</w:t>
            </w:r>
            <w:r>
              <w:t xml:space="preserve"> a critical shear stress &lt; 0.4 Pa (Gibbs 1962) </w:t>
            </w:r>
            <w:r w:rsidR="0061601B">
              <w:t xml:space="preserve">are </w:t>
            </w:r>
            <w:r w:rsidR="00297E9E">
              <w:t xml:space="preserve">more </w:t>
            </w:r>
            <w:r w:rsidR="0061601B">
              <w:t>stable</w:t>
            </w:r>
            <w:r w:rsidR="00297E9E">
              <w:t xml:space="preserve"> (thre</w:t>
            </w:r>
            <w:r w:rsidR="006128D8">
              <w:t>sh</w:t>
            </w:r>
            <w:r w:rsidR="00297E9E">
              <w:t>old</w:t>
            </w:r>
            <w:r w:rsidR="006128D8">
              <w:t xml:space="preserve"> for the motion of soil particles</w:t>
            </w:r>
            <w:r w:rsidR="00DB7D18">
              <w:t>)</w:t>
            </w:r>
            <w:r w:rsidR="00297E9E">
              <w:t xml:space="preserve"> </w:t>
            </w:r>
          </w:p>
        </w:tc>
      </w:tr>
      <w:tr w:rsidR="001E6773" w:rsidRPr="004A487C" w14:paraId="6C49A639" w14:textId="77777777" w:rsidTr="002A3F15">
        <w:tc>
          <w:tcPr>
            <w:tcW w:w="495" w:type="dxa"/>
            <w:vAlign w:val="center"/>
          </w:tcPr>
          <w:p w14:paraId="161720BA" w14:textId="06F82DB0" w:rsidR="001E6773" w:rsidRPr="004A487C" w:rsidRDefault="001E6773" w:rsidP="00145864">
            <w:pPr>
              <w:pStyle w:val="EEAtableleft"/>
            </w:pPr>
            <w:r>
              <w:t>L/S</w:t>
            </w:r>
          </w:p>
        </w:tc>
        <w:tc>
          <w:tcPr>
            <w:tcW w:w="2194" w:type="dxa"/>
            <w:tcMar>
              <w:left w:w="28" w:type="dxa"/>
              <w:right w:w="28" w:type="dxa"/>
            </w:tcMar>
            <w:vAlign w:val="center"/>
          </w:tcPr>
          <w:p w14:paraId="104F4315" w14:textId="77777777" w:rsidR="001E6773" w:rsidRPr="004A487C" w:rsidRDefault="001E6773" w:rsidP="00145864">
            <w:pPr>
              <w:pStyle w:val="EEAtableleft"/>
            </w:pPr>
            <w:r w:rsidRPr="004A487C">
              <w:t xml:space="preserve">Slope </w:t>
            </w:r>
            <w:r>
              <w:t>length and slope steepness</w:t>
            </w:r>
          </w:p>
        </w:tc>
        <w:tc>
          <w:tcPr>
            <w:tcW w:w="6707" w:type="dxa"/>
            <w:tcMar>
              <w:left w:w="28" w:type="dxa"/>
              <w:right w:w="28" w:type="dxa"/>
            </w:tcMar>
          </w:tcPr>
          <w:p w14:paraId="4BCD495B" w14:textId="77777777" w:rsidR="001E6773" w:rsidRDefault="001E6773" w:rsidP="00145864">
            <w:pPr>
              <w:pStyle w:val="EEAtableleft"/>
            </w:pPr>
            <w:r>
              <w:t>Decreased run-off with increasing slope length and decreasing steepness</w:t>
            </w:r>
          </w:p>
          <w:p w14:paraId="1D8401E6" w14:textId="77777777" w:rsidR="001E6773" w:rsidRPr="004A487C" w:rsidRDefault="001E6773" w:rsidP="00145864">
            <w:pPr>
              <w:pStyle w:val="EEAtableleft"/>
            </w:pPr>
            <w:r w:rsidRPr="00DE3753">
              <w:t>5°</w:t>
            </w:r>
            <w:r>
              <w:t xml:space="preserve"> as </w:t>
            </w:r>
            <w:r w:rsidRPr="00DE3753">
              <w:t xml:space="preserve">critical slope gradient </w:t>
            </w:r>
            <w:r>
              <w:t>(Zhang et al. 2015)</w:t>
            </w:r>
          </w:p>
        </w:tc>
      </w:tr>
      <w:tr w:rsidR="001E6773" w:rsidRPr="004A487C" w14:paraId="409108D3" w14:textId="77777777" w:rsidTr="002A3F15">
        <w:tc>
          <w:tcPr>
            <w:tcW w:w="495" w:type="dxa"/>
            <w:vAlign w:val="center"/>
          </w:tcPr>
          <w:p w14:paraId="607AD875" w14:textId="77777777" w:rsidR="001E6773" w:rsidRPr="004A487C" w:rsidRDefault="001E6773" w:rsidP="00145864">
            <w:pPr>
              <w:pStyle w:val="EEAtableleft"/>
            </w:pPr>
            <w:r>
              <w:t>C</w:t>
            </w:r>
          </w:p>
        </w:tc>
        <w:tc>
          <w:tcPr>
            <w:tcW w:w="2194" w:type="dxa"/>
            <w:tcMar>
              <w:left w:w="28" w:type="dxa"/>
              <w:right w:w="28" w:type="dxa"/>
            </w:tcMar>
            <w:vAlign w:val="center"/>
          </w:tcPr>
          <w:p w14:paraId="63CEF52A" w14:textId="77777777" w:rsidR="001E6773" w:rsidRPr="004A487C" w:rsidRDefault="001E6773" w:rsidP="00145864">
            <w:pPr>
              <w:pStyle w:val="EEAtableleft"/>
            </w:pPr>
            <w:r w:rsidRPr="004A487C">
              <w:t xml:space="preserve">Soil cover (vegetation, residues) </w:t>
            </w:r>
          </w:p>
        </w:tc>
        <w:tc>
          <w:tcPr>
            <w:tcW w:w="6707" w:type="dxa"/>
            <w:tcMar>
              <w:left w:w="28" w:type="dxa"/>
              <w:right w:w="28" w:type="dxa"/>
            </w:tcMar>
          </w:tcPr>
          <w:p w14:paraId="15A04558" w14:textId="77777777" w:rsidR="001E6773" w:rsidRPr="004A487C" w:rsidRDefault="001E6773" w:rsidP="00145864">
            <w:pPr>
              <w:pStyle w:val="EEAtableleft"/>
            </w:pPr>
          </w:p>
        </w:tc>
      </w:tr>
      <w:tr w:rsidR="001E6773" w:rsidRPr="004A487C" w14:paraId="2B2A9223" w14:textId="77777777" w:rsidTr="002A3F15">
        <w:tc>
          <w:tcPr>
            <w:tcW w:w="495" w:type="dxa"/>
            <w:vAlign w:val="center"/>
          </w:tcPr>
          <w:p w14:paraId="170C67E9" w14:textId="77777777" w:rsidR="001E6773" w:rsidRPr="004A487C" w:rsidRDefault="001E6773" w:rsidP="00145864">
            <w:pPr>
              <w:pStyle w:val="EEAtableleft"/>
            </w:pPr>
            <w:r>
              <w:t>P</w:t>
            </w:r>
          </w:p>
        </w:tc>
        <w:tc>
          <w:tcPr>
            <w:tcW w:w="2194" w:type="dxa"/>
            <w:tcMar>
              <w:left w:w="28" w:type="dxa"/>
              <w:right w:w="28" w:type="dxa"/>
            </w:tcMar>
            <w:vAlign w:val="center"/>
          </w:tcPr>
          <w:p w14:paraId="51FB26A4" w14:textId="77777777" w:rsidR="001E6773" w:rsidRPr="004A487C" w:rsidRDefault="001E6773" w:rsidP="00145864">
            <w:pPr>
              <w:pStyle w:val="EEAtableleft"/>
            </w:pPr>
            <w:r w:rsidRPr="004A487C">
              <w:t>Management practices to prevent erosion</w:t>
            </w:r>
          </w:p>
        </w:tc>
        <w:tc>
          <w:tcPr>
            <w:tcW w:w="6707" w:type="dxa"/>
            <w:tcMar>
              <w:left w:w="28" w:type="dxa"/>
              <w:right w:w="28" w:type="dxa"/>
            </w:tcMar>
          </w:tcPr>
          <w:p w14:paraId="2B0648FB" w14:textId="77777777" w:rsidR="001E6773" w:rsidRPr="004A487C" w:rsidRDefault="001E6773" w:rsidP="00145864">
            <w:pPr>
              <w:pStyle w:val="EEAtableleft"/>
            </w:pPr>
            <w:r w:rsidRPr="004A487C">
              <w:t>reduced/no tillage, contour farming, terracing and strip cropping, green manure, fallow with seeding</w:t>
            </w:r>
          </w:p>
        </w:tc>
      </w:tr>
    </w:tbl>
    <w:p w14:paraId="1B351119" w14:textId="77777777" w:rsidR="001E6773" w:rsidRDefault="001E6773" w:rsidP="001E6773"/>
    <w:p w14:paraId="5DDDB164" w14:textId="77777777" w:rsidR="001E6773" w:rsidRDefault="001E6773" w:rsidP="001E6773"/>
    <w:p w14:paraId="1CEB23D8" w14:textId="77777777" w:rsidR="001E6773" w:rsidRDefault="001E6773" w:rsidP="001E6773">
      <w:r>
        <w:t xml:space="preserve">An overview of soil-related indicators derived under different initiatives to support agri-environmental policies at the European and global level is given in Panagos et al. (2020). At the European level, CAP addresses soil erosion by means of </w:t>
      </w:r>
      <w:r w:rsidRPr="006730B5">
        <w:rPr>
          <w:b/>
          <w:bCs/>
        </w:rPr>
        <w:t>two sub-indicators</w:t>
      </w:r>
      <w:r w:rsidRPr="008173D2">
        <w:t xml:space="preserve"> related to the state of water erosion</w:t>
      </w:r>
      <w:r>
        <w:t>:</w:t>
      </w:r>
    </w:p>
    <w:p w14:paraId="03CAD922" w14:textId="77777777" w:rsidR="001E6773" w:rsidRDefault="001E6773" w:rsidP="00145864">
      <w:pPr>
        <w:pStyle w:val="EEAbullet0"/>
      </w:pPr>
      <w:r w:rsidRPr="00D67B29">
        <w:t xml:space="preserve">estimated rate of </w:t>
      </w:r>
      <w:r>
        <w:t xml:space="preserve">(potential) </w:t>
      </w:r>
      <w:r w:rsidRPr="00D67B29">
        <w:t>soil loss by water erosion</w:t>
      </w:r>
      <w:r>
        <w:t>;</w:t>
      </w:r>
    </w:p>
    <w:p w14:paraId="17F8A1A7" w14:textId="77777777" w:rsidR="001E6773" w:rsidRDefault="001E6773" w:rsidP="00145864">
      <w:pPr>
        <w:pStyle w:val="EEAbullet0"/>
      </w:pPr>
      <w:proofErr w:type="gramStart"/>
      <w:r w:rsidRPr="00D67B29">
        <w:t>estimated</w:t>
      </w:r>
      <w:proofErr w:type="gramEnd"/>
      <w:r w:rsidRPr="00D67B29">
        <w:t xml:space="preserve"> agricultural area affected by a certain rate of s</w:t>
      </w:r>
      <w:r w:rsidRPr="00285532">
        <w:t>oil erosion by water</w:t>
      </w:r>
      <w:r>
        <w:t xml:space="preserve">. </w:t>
      </w:r>
    </w:p>
    <w:p w14:paraId="385E5544" w14:textId="77777777" w:rsidR="001E6773" w:rsidRDefault="001E6773" w:rsidP="001E6773"/>
    <w:p w14:paraId="15F9E421" w14:textId="77777777" w:rsidR="001E6773" w:rsidRDefault="001E6773" w:rsidP="001E6773">
      <w:r>
        <w:t xml:space="preserve">According to OECD (2008), soil erosion is considered as moderate-severe when the rate is above 11 t/ha/year. </w:t>
      </w:r>
      <w:r w:rsidRPr="00571E46">
        <w:t xml:space="preserve">For Europe- specifically – the level of severe erosion is lower. </w:t>
      </w:r>
      <w:r>
        <w:t xml:space="preserve">The Resource Efficiency </w:t>
      </w:r>
      <w:r>
        <w:lastRenderedPageBreak/>
        <w:t xml:space="preserve">Scoreboard (Roadmap to a Resource Efficient Europe, EC 2011) looks at soil erosion by water by means of an estimate of the </w:t>
      </w:r>
      <w:r w:rsidRPr="00D67B29">
        <w:rPr>
          <w:b/>
          <w:bCs/>
        </w:rPr>
        <w:t xml:space="preserve">area affected by </w:t>
      </w:r>
      <w:r w:rsidRPr="00285532">
        <w:rPr>
          <w:b/>
          <w:bCs/>
          <w:u w:val="single"/>
        </w:rPr>
        <w:t>severe</w:t>
      </w:r>
      <w:r w:rsidRPr="00D67B29">
        <w:rPr>
          <w:b/>
          <w:bCs/>
        </w:rPr>
        <w:t xml:space="preserve"> erosion rate</w:t>
      </w:r>
      <w:r w:rsidRPr="00285532">
        <w:rPr>
          <w:b/>
          <w:bCs/>
        </w:rPr>
        <w:t xml:space="preserve"> </w:t>
      </w:r>
      <w:r w:rsidRPr="00D6374A">
        <w:t>(see also OECD 2013)</w:t>
      </w:r>
      <w:r>
        <w:rPr>
          <w:rStyle w:val="Funotenzeichen"/>
          <w:b/>
          <w:bCs/>
        </w:rPr>
        <w:footnoteReference w:id="47"/>
      </w:r>
      <w:r>
        <w:t xml:space="preserve">, an indicator which is also part of the EU SDG (Eurostat, 2020). Soil erosion is also included as one of the 28 Agri-Environmental Indicator (AEI) and it is expressed as </w:t>
      </w:r>
      <w:r w:rsidRPr="00D67B29">
        <w:rPr>
          <w:b/>
          <w:bCs/>
        </w:rPr>
        <w:t>erosion rate at different administrative levels</w:t>
      </w:r>
      <w:r>
        <w:t xml:space="preserve"> since it is intended to monitor the integration of environmental concerns into the CAP at EU, national and regional levels. It is focused on agricultural areas and natural grassland and distinguishes between moderate (5-10 t/ha/y) and severe (&gt;10 t/ha/y) erosion. </w:t>
      </w:r>
    </w:p>
    <w:p w14:paraId="2EB171F9" w14:textId="77777777" w:rsidR="001E6773" w:rsidRDefault="001E6773" w:rsidP="001E6773"/>
    <w:p w14:paraId="686E28D5" w14:textId="07C5656D" w:rsidR="001E6773" w:rsidRDefault="001E6773" w:rsidP="001E6773">
      <w:r>
        <w:t xml:space="preserve">Three major </w:t>
      </w:r>
      <w:r w:rsidR="002E0468">
        <w:t>approaches</w:t>
      </w:r>
      <w:r>
        <w:t xml:space="preserve"> can be applied in order to estimate the topsoil mass loss, </w:t>
      </w:r>
    </w:p>
    <w:p w14:paraId="6521693D" w14:textId="77F7F558" w:rsidR="001E6773" w:rsidRDefault="001E6773" w:rsidP="0048743B">
      <w:pPr>
        <w:pStyle w:val="EEAbullet"/>
        <w:numPr>
          <w:ilvl w:val="0"/>
          <w:numId w:val="9"/>
        </w:numPr>
      </w:pPr>
      <w:r>
        <w:t xml:space="preserve">predictions using models (chapter </w:t>
      </w:r>
      <w:r w:rsidR="00C919A3">
        <w:fldChar w:fldCharType="begin"/>
      </w:r>
      <w:r w:rsidR="00C919A3">
        <w:instrText xml:space="preserve"> REF _Ref64642066 \r \h </w:instrText>
      </w:r>
      <w:r w:rsidR="00C919A3">
        <w:fldChar w:fldCharType="separate"/>
      </w:r>
      <w:r w:rsidR="0067767C">
        <w:t>7.2.2</w:t>
      </w:r>
      <w:r w:rsidR="00C919A3">
        <w:fldChar w:fldCharType="end"/>
      </w:r>
      <w:r>
        <w:t>),</w:t>
      </w:r>
    </w:p>
    <w:p w14:paraId="4DCF3EA6" w14:textId="6294FEBF" w:rsidR="001E6773" w:rsidRDefault="001E6773" w:rsidP="0048743B">
      <w:pPr>
        <w:pStyle w:val="EEAbullet"/>
        <w:numPr>
          <w:ilvl w:val="0"/>
          <w:numId w:val="9"/>
        </w:numPr>
      </w:pPr>
      <w:r>
        <w:t xml:space="preserve">direct measurements in the field (chapter </w:t>
      </w:r>
      <w:r w:rsidR="00C919A3">
        <w:fldChar w:fldCharType="begin"/>
      </w:r>
      <w:r w:rsidR="00C919A3">
        <w:instrText xml:space="preserve"> REF _Ref64642075 \r \h </w:instrText>
      </w:r>
      <w:r w:rsidR="00C919A3">
        <w:fldChar w:fldCharType="separate"/>
      </w:r>
      <w:r w:rsidR="0067767C">
        <w:t>7.2.3</w:t>
      </w:r>
      <w:r w:rsidR="00C919A3">
        <w:fldChar w:fldCharType="end"/>
      </w:r>
      <w:r>
        <w:t xml:space="preserve">) and </w:t>
      </w:r>
    </w:p>
    <w:p w14:paraId="22A338F4" w14:textId="0E666EA7" w:rsidR="001E6773" w:rsidRDefault="001E6773" w:rsidP="0048743B">
      <w:pPr>
        <w:pStyle w:val="EEAbullet"/>
        <w:numPr>
          <w:ilvl w:val="0"/>
          <w:numId w:val="9"/>
        </w:numPr>
      </w:pPr>
      <w:proofErr w:type="gramStart"/>
      <w:r>
        <w:t>measurements</w:t>
      </w:r>
      <w:proofErr w:type="gramEnd"/>
      <w:r>
        <w:t xml:space="preserve"> on run-off plots (chapter </w:t>
      </w:r>
      <w:r w:rsidR="00C919A3">
        <w:fldChar w:fldCharType="begin"/>
      </w:r>
      <w:r w:rsidR="00C919A3">
        <w:instrText xml:space="preserve"> REF _Ref64642086 \r \h </w:instrText>
      </w:r>
      <w:r w:rsidR="00C919A3">
        <w:fldChar w:fldCharType="separate"/>
      </w:r>
      <w:r w:rsidR="0067767C">
        <w:t>7.2.4</w:t>
      </w:r>
      <w:r w:rsidR="00C919A3">
        <w:fldChar w:fldCharType="end"/>
      </w:r>
      <w:r>
        <w:t xml:space="preserve">). </w:t>
      </w:r>
    </w:p>
    <w:p w14:paraId="6ACCA987" w14:textId="77777777" w:rsidR="001E6773" w:rsidRDefault="001E6773" w:rsidP="00653937"/>
    <w:p w14:paraId="4890856C" w14:textId="1252BE1D" w:rsidR="001E6773" w:rsidRDefault="001E6773" w:rsidP="00653937">
      <w:r>
        <w:t>While prediction models are capable to produce large-scale maps on national and European level (</w:t>
      </w:r>
      <w:r w:rsidR="00416EEA">
        <w:t>e.g.,</w:t>
      </w:r>
      <w:r>
        <w:t xml:space="preserve"> Panagos et al. 2015), direct </w:t>
      </w:r>
      <w:r w:rsidR="003E5C35">
        <w:t>measurements</w:t>
      </w:r>
      <w:r>
        <w:t xml:space="preserve"> are limited to plots, fields and smaller investigation areas. All three approaches can be combined in a tiered monitoring to produce a sound, reliable database on the current status of soil erosion in the EU based on ground-truth and modelling (chapter </w:t>
      </w:r>
      <w:r w:rsidR="00C919A3">
        <w:fldChar w:fldCharType="begin"/>
      </w:r>
      <w:r w:rsidR="00C919A3">
        <w:instrText xml:space="preserve"> REF _Ref64642104 \r \h </w:instrText>
      </w:r>
      <w:r w:rsidR="00653937">
        <w:instrText xml:space="preserve"> \* MERGEFORMAT </w:instrText>
      </w:r>
      <w:r w:rsidR="00C919A3">
        <w:fldChar w:fldCharType="separate"/>
      </w:r>
      <w:r w:rsidR="0067767C">
        <w:t>7.2.5</w:t>
      </w:r>
      <w:r w:rsidR="00C919A3">
        <w:fldChar w:fldCharType="end"/>
      </w:r>
      <w:r>
        <w:t>).</w:t>
      </w:r>
    </w:p>
    <w:p w14:paraId="6B5B50EE" w14:textId="77777777" w:rsidR="001E6773" w:rsidRDefault="001E6773" w:rsidP="00653937"/>
    <w:p w14:paraId="293CAC5B" w14:textId="77777777" w:rsidR="001E6773" w:rsidRPr="009D5972" w:rsidRDefault="001E6773" w:rsidP="002C488D">
      <w:pPr>
        <w:pStyle w:val="berschrift2"/>
        <w:numPr>
          <w:ilvl w:val="2"/>
          <w:numId w:val="3"/>
        </w:numPr>
        <w:tabs>
          <w:tab w:val="num" w:pos="360"/>
        </w:tabs>
        <w:rPr>
          <w:rStyle w:val="FormatvorlageFormatvorlageberschrift3Zchn1"/>
        </w:rPr>
      </w:pPr>
      <w:bookmarkStart w:id="343" w:name="_Toc63939978"/>
      <w:bookmarkStart w:id="344" w:name="_Ref64642066"/>
      <w:bookmarkStart w:id="345" w:name="_Toc83997387"/>
      <w:r w:rsidRPr="009D5972">
        <w:rPr>
          <w:rStyle w:val="FormatvorlageFormatvorlageberschrift3Zchn1"/>
        </w:rPr>
        <w:t>Model-based predictions to identify target area for monitoring</w:t>
      </w:r>
      <w:bookmarkEnd w:id="343"/>
      <w:bookmarkEnd w:id="344"/>
      <w:bookmarkEnd w:id="345"/>
    </w:p>
    <w:p w14:paraId="17ACD622" w14:textId="77777777" w:rsidR="001E6773" w:rsidRDefault="001E6773" w:rsidP="001E6773"/>
    <w:p w14:paraId="5C9F9D3B" w14:textId="77777777" w:rsidR="001E6773" w:rsidRDefault="001E6773" w:rsidP="001E6773">
      <w:r>
        <w:t xml:space="preserve">Soil erosion models predict soil mass loss by simulating the effect of triggering events under specific soil and vegetation conditions. Types of models differ according to spatial scale, process, duration, hydrological processes, and model output. The empirically derived Universal Soil Loss Equation (USLE – later “revised” RUSLE), realized with GIS, is a wide-spread model to estimate long term average annual soil erosion at the field or other aggregated scale (for details see Panagos et al. 2017). It is based on the linear relationship between soil loss and several controlling factors, and thus includes rainfall erosivity, soil erodibility, slope, crop cover and management practice. Process-based models simulate and quantify erosion processes based on triggering (erosive) precipitation events; well-known </w:t>
      </w:r>
      <w:r w:rsidRPr="00A84A37">
        <w:t>process</w:t>
      </w:r>
      <w:r>
        <w:t>-</w:t>
      </w:r>
      <w:r w:rsidRPr="00A84A37">
        <w:t>based simulat</w:t>
      </w:r>
      <w:r>
        <w:t xml:space="preserve">ion models are MADALUS, EUROSEM and SWAT. The most recent erosion estimate for Europe is RUSLE-based </w:t>
      </w:r>
      <w:r w:rsidRPr="00751B96">
        <w:t>(Panagos et al. 2017).</w:t>
      </w:r>
      <w:r>
        <w:t xml:space="preserve"> </w:t>
      </w:r>
    </w:p>
    <w:p w14:paraId="725FDA30" w14:textId="77777777" w:rsidR="001E6773" w:rsidRDefault="001E6773" w:rsidP="001E6773"/>
    <w:p w14:paraId="62426A02" w14:textId="65F63918" w:rsidR="001E6773" w:rsidRDefault="001E6773" w:rsidP="001E6773">
      <w:r>
        <w:t>The (R</w:t>
      </w:r>
      <w:proofErr w:type="gramStart"/>
      <w:r>
        <w:t>)USLE</w:t>
      </w:r>
      <w:proofErr w:type="gramEnd"/>
      <w:r>
        <w:t xml:space="preserve">-based models require intensive calibration (weighting of factors) to local conditions </w:t>
      </w:r>
      <w:r w:rsidRPr="000F5296">
        <w:t>(Evans and Boardman 2016).</w:t>
      </w:r>
      <w:r>
        <w:t xml:space="preserve"> It is commonly observed that model-based potential erosion rates tend to overestimate the real soil loss. </w:t>
      </w:r>
      <w:r w:rsidRPr="00AC4814">
        <w:t xml:space="preserve">Also the spatial accuracy of model-based predictions are questioned. It is </w:t>
      </w:r>
      <w:r w:rsidR="000F5296" w:rsidRPr="00AC4814">
        <w:t>assumed</w:t>
      </w:r>
      <w:r w:rsidRPr="00AC4814">
        <w:t xml:space="preserve"> that the role of rainfall and slope steepness for the severity of erosion (at least in Europe) is overestimated. This is acknowledged by Panagos et al. (2015), who believe that </w:t>
      </w:r>
      <w:r>
        <w:t>w</w:t>
      </w:r>
      <w:r w:rsidRPr="00AC4814">
        <w:t xml:space="preserve">ith improving spatial accuracy of land use data, soil properties, and climatic data, model-based erosion estimates improve. RUSLE </w:t>
      </w:r>
      <w:r>
        <w:t xml:space="preserve">typically </w:t>
      </w:r>
      <w:r w:rsidRPr="00AC4814">
        <w:t xml:space="preserve">provides very </w:t>
      </w:r>
      <w:r w:rsidR="00416EEA" w:rsidRPr="00AC4814">
        <w:t>long-term</w:t>
      </w:r>
      <w:r w:rsidRPr="00AC4814">
        <w:t xml:space="preserve"> averages</w:t>
      </w:r>
      <w:r>
        <w:t>. It seems weak when modelling the erosivity of intense precipitation events (</w:t>
      </w:r>
      <w:r w:rsidRPr="00ED2872">
        <w:t>Avwunudiogba</w:t>
      </w:r>
      <w:r>
        <w:t xml:space="preserve"> and</w:t>
      </w:r>
      <w:r w:rsidRPr="00ED2872">
        <w:t xml:space="preserve"> Hudson</w:t>
      </w:r>
      <w:r>
        <w:t xml:space="preserve"> 2014); a phenomenon quite known for </w:t>
      </w:r>
      <w:r w:rsidR="000F5296">
        <w:t>Mediterranean</w:t>
      </w:r>
      <w:r>
        <w:t xml:space="preserve"> areas, as documented for Spain (</w:t>
      </w:r>
      <w:r w:rsidRPr="00511F0D">
        <w:t>Benet</w:t>
      </w:r>
      <w:r>
        <w:t xml:space="preserve"> 2006). However, it needs to be considered that observed erosion sometimes shows low correlation for some of the factors (</w:t>
      </w:r>
      <w:r w:rsidR="002E0468">
        <w:t>e.g.,</w:t>
      </w:r>
      <w:r>
        <w:t xml:space="preserve"> erosive rain pattern and observe events); this limits its predictive power. Soil erosion processes are highly </w:t>
      </w:r>
      <w:r w:rsidR="000F5296">
        <w:t>variable</w:t>
      </w:r>
      <w:r>
        <w:t xml:space="preserve">, and it is difficult to observe and to predict the actual erosion pattern. </w:t>
      </w:r>
    </w:p>
    <w:p w14:paraId="28E9B142" w14:textId="77777777" w:rsidR="001E6773" w:rsidRDefault="001E6773" w:rsidP="001E6773"/>
    <w:p w14:paraId="28420559" w14:textId="1D820F26" w:rsidR="001E6773" w:rsidRDefault="001E6773" w:rsidP="001E6773">
      <w:r w:rsidRPr="00810243">
        <w:t>K</w:t>
      </w:r>
      <w:r w:rsidRPr="005E5790">
        <w:t>eizer</w:t>
      </w:r>
      <w:r w:rsidRPr="005401D1">
        <w:t xml:space="preserve"> et al. (2016</w:t>
      </w:r>
      <w:r w:rsidRPr="002C4774">
        <w:t xml:space="preserve">) </w:t>
      </w:r>
      <w:r>
        <w:t>observed</w:t>
      </w:r>
      <w:r w:rsidRPr="002C4774">
        <w:t xml:space="preserve"> that </w:t>
      </w:r>
      <w:r w:rsidRPr="00810243">
        <w:t>t</w:t>
      </w:r>
      <w:r w:rsidRPr="005E5790">
        <w:t xml:space="preserve">he results of </w:t>
      </w:r>
      <w:r w:rsidRPr="005401D1">
        <w:t>various erosion risk</w:t>
      </w:r>
      <w:r w:rsidRPr="00B33823">
        <w:t xml:space="preserve"> models </w:t>
      </w:r>
      <w:r w:rsidRPr="00B34D02">
        <w:t>applied at the European-scale differ</w:t>
      </w:r>
      <w:r w:rsidRPr="002B0E55">
        <w:t xml:space="preserve"> </w:t>
      </w:r>
      <w:r w:rsidRPr="002C4774">
        <w:t>considerably. This is mostly related to the quality of the input data and the spatial resolution of the results.</w:t>
      </w:r>
      <w:r>
        <w:t xml:space="preserve"> </w:t>
      </w:r>
      <w:r w:rsidRPr="002C4774">
        <w:t xml:space="preserve">Recently, the use of model-based predictions </w:t>
      </w:r>
      <w:r w:rsidR="00317C4F" w:rsidRPr="002C4774">
        <w:t>has</w:t>
      </w:r>
      <w:r w:rsidRPr="002C4774">
        <w:t xml:space="preserve"> been criticized, among others, because the averaging of model input data over large regions does not properly address the interactions between erosivity and land management, in addition the effects of crop dynamics (rotation systems) and seasonality </w:t>
      </w:r>
      <w:r w:rsidRPr="002C4774">
        <w:lastRenderedPageBreak/>
        <w:t xml:space="preserve">are not addressed </w:t>
      </w:r>
      <w:r w:rsidRPr="0034170F">
        <w:t>(Fiener and Auerswald 2016).</w:t>
      </w:r>
      <w:r w:rsidRPr="002C4774">
        <w:t xml:space="preserve"> Also for high mountain ranges, USLE-based modelling is critical.</w:t>
      </w:r>
    </w:p>
    <w:p w14:paraId="07D3EF0B" w14:textId="77777777" w:rsidR="001E6773" w:rsidRDefault="001E6773" w:rsidP="001E6773"/>
    <w:p w14:paraId="688625F3" w14:textId="77777777" w:rsidR="001E6773" w:rsidRPr="002C4774" w:rsidRDefault="001E6773" w:rsidP="001E6773">
      <w:r w:rsidRPr="002C4774">
        <w:t>Measurement data at a certain resolution would be needed in order to improve the performance of the models.</w:t>
      </w:r>
      <w:r>
        <w:t xml:space="preserve"> All in all, </w:t>
      </w:r>
      <w:r w:rsidRPr="00370C28">
        <w:t>Steinhoff-Knopp</w:t>
      </w:r>
      <w:r>
        <w:t xml:space="preserve"> </w:t>
      </w:r>
      <w:r w:rsidRPr="00370C28">
        <w:t>and Burkhard (2018)</w:t>
      </w:r>
      <w:r>
        <w:t xml:space="preserve"> conclude that the actual soil loss from long-term monitoring data can be considered more reliable than model-based predictions. This is why soil erosion monitoring should contain real observations, and for larger areas such as country-scale, model-based predictions and field observations could complement each other.</w:t>
      </w:r>
    </w:p>
    <w:p w14:paraId="7D6ADAE0" w14:textId="77777777" w:rsidR="001E6773" w:rsidRDefault="001E6773" w:rsidP="001E6773"/>
    <w:p w14:paraId="075BD065" w14:textId="77777777" w:rsidR="001E6773" w:rsidRDefault="001E6773" w:rsidP="001E6773">
      <w:r w:rsidRPr="00494B67">
        <w:t>The role of</w:t>
      </w:r>
      <w:r>
        <w:t xml:space="preserve"> erosion </w:t>
      </w:r>
      <w:r w:rsidRPr="00494B67">
        <w:t xml:space="preserve">modelling in a tiered monitoring </w:t>
      </w:r>
      <w:r>
        <w:t>lie</w:t>
      </w:r>
      <w:r w:rsidRPr="00494B67">
        <w:t xml:space="preserve">s </w:t>
      </w:r>
      <w:r>
        <w:t xml:space="preserve">in </w:t>
      </w:r>
      <w:r w:rsidRPr="00494B67">
        <w:t xml:space="preserve">the </w:t>
      </w:r>
      <w:r>
        <w:t xml:space="preserve">harmonised </w:t>
      </w:r>
      <w:r w:rsidRPr="00494B67">
        <w:t>identification of ar</w:t>
      </w:r>
      <w:r>
        <w:t xml:space="preserve">eas with increased erosion risk, which could then be targeted with intensive field observations. </w:t>
      </w:r>
    </w:p>
    <w:p w14:paraId="68566078" w14:textId="77777777" w:rsidR="001E6773" w:rsidRDefault="001E6773" w:rsidP="001E6773"/>
    <w:p w14:paraId="54BFDB1F" w14:textId="77777777" w:rsidR="001E6773" w:rsidRPr="009D5972" w:rsidRDefault="001E6773" w:rsidP="002C488D">
      <w:pPr>
        <w:pStyle w:val="berschrift2"/>
        <w:numPr>
          <w:ilvl w:val="2"/>
          <w:numId w:val="3"/>
        </w:numPr>
        <w:tabs>
          <w:tab w:val="num" w:pos="360"/>
        </w:tabs>
        <w:rPr>
          <w:rStyle w:val="FormatvorlageFormatvorlageberschrift3Zchn1"/>
        </w:rPr>
      </w:pPr>
      <w:bookmarkStart w:id="346" w:name="_Toc63939979"/>
      <w:bookmarkStart w:id="347" w:name="_Ref64642075"/>
      <w:bookmarkStart w:id="348" w:name="_Toc83997388"/>
      <w:r w:rsidRPr="009D5972">
        <w:rPr>
          <w:rStyle w:val="FormatvorlageFormatvorlageberschrift3Zchn1"/>
        </w:rPr>
        <w:t>Direct, field-based quantification of soil erosion by water at the catchment to landscape scale</w:t>
      </w:r>
      <w:bookmarkEnd w:id="346"/>
      <w:bookmarkEnd w:id="347"/>
      <w:bookmarkEnd w:id="348"/>
    </w:p>
    <w:p w14:paraId="5F4613F2" w14:textId="77777777" w:rsidR="001E6773" w:rsidRDefault="001E6773" w:rsidP="001E6773"/>
    <w:p w14:paraId="1E780308" w14:textId="3A4B2C60" w:rsidR="001E6773" w:rsidRPr="00CD55D6" w:rsidRDefault="001E6773" w:rsidP="001E6773">
      <w:pPr>
        <w:rPr>
          <w:lang w:val="en-US"/>
        </w:rPr>
      </w:pPr>
      <w:r w:rsidRPr="00CD55D6">
        <w:rPr>
          <w:lang w:val="en-US"/>
        </w:rPr>
        <w:t xml:space="preserve">According </w:t>
      </w:r>
      <w:r w:rsidRPr="00E466E7">
        <w:rPr>
          <w:lang w:val="en-US"/>
        </w:rPr>
        <w:t>to Boardman and Evans (2020),</w:t>
      </w:r>
      <w:r w:rsidRPr="00CD55D6">
        <w:rPr>
          <w:lang w:val="en-US"/>
        </w:rPr>
        <w:t xml:space="preserve"> typically, the following characteristics </w:t>
      </w:r>
      <w:r w:rsidR="005A3AC8">
        <w:rPr>
          <w:lang w:val="en-US"/>
        </w:rPr>
        <w:t>shall be typically</w:t>
      </w:r>
      <w:r w:rsidRPr="00CD55D6">
        <w:rPr>
          <w:lang w:val="en-US"/>
        </w:rPr>
        <w:t xml:space="preserve"> monitored during field-based programmes: presence of rills, ephemeral gullies, fans, wash, crusting, standing water, crop type, crop cover and irrigation. In addition, runoff leaving the field and entering other fields, roads, tracks, ditches or watercourses needs to be noted. </w:t>
      </w:r>
    </w:p>
    <w:p w14:paraId="7D1914C2" w14:textId="77777777" w:rsidR="001E6773" w:rsidRPr="00CD55D6" w:rsidRDefault="001E6773" w:rsidP="001E6773">
      <w:pPr>
        <w:rPr>
          <w:lang w:val="en-US"/>
        </w:rPr>
      </w:pPr>
    </w:p>
    <w:p w14:paraId="463E41EC" w14:textId="16BBBE90" w:rsidR="001E6773" w:rsidRDefault="001E6773" w:rsidP="001E6773">
      <w:r w:rsidRPr="00D645BB">
        <w:rPr>
          <w:lang w:val="de-DE"/>
        </w:rPr>
        <w:t>Herweg (1996)</w:t>
      </w:r>
      <w:r w:rsidR="005A3AC8">
        <w:rPr>
          <w:lang w:val="de-DE"/>
        </w:rPr>
        <w:t>,</w:t>
      </w:r>
      <w:r w:rsidRPr="00D645BB">
        <w:rPr>
          <w:lang w:val="de-DE"/>
        </w:rPr>
        <w:t xml:space="preserve"> and </w:t>
      </w:r>
      <w:r w:rsidRPr="00047A9E">
        <w:rPr>
          <w:lang w:val="de-DE"/>
        </w:rPr>
        <w:t>later</w:t>
      </w:r>
      <w:r w:rsidR="005A3AC8">
        <w:rPr>
          <w:lang w:val="de-DE"/>
        </w:rPr>
        <w:t>,</w:t>
      </w:r>
      <w:r w:rsidRPr="00047A9E">
        <w:rPr>
          <w:lang w:val="de-DE"/>
        </w:rPr>
        <w:t xml:space="preserve"> Ledermann et al. </w:t>
      </w:r>
      <w:r w:rsidRPr="00047A9E">
        <w:t>(20</w:t>
      </w:r>
      <w:r w:rsidR="00155023">
        <w:t>10</w:t>
      </w:r>
      <w:r w:rsidRPr="00047A9E">
        <w:t>), provide</w:t>
      </w:r>
      <w:r w:rsidRPr="00BF3481">
        <w:t xml:space="preserve"> an overview of </w:t>
      </w:r>
      <w:r>
        <w:t xml:space="preserve">more detailed </w:t>
      </w:r>
      <w:r w:rsidRPr="00BF3481">
        <w:t xml:space="preserve">methods to assess soil erosion in the field. </w:t>
      </w:r>
      <w:r>
        <w:t xml:space="preserve">There, the dimensions of </w:t>
      </w:r>
      <w:r w:rsidRPr="00BB237E">
        <w:rPr>
          <w:b/>
          <w:bCs/>
        </w:rPr>
        <w:t>rills and gullies</w:t>
      </w:r>
      <w:r>
        <w:t xml:space="preserve"> are measured; for example, those which are deeper than 2 cm can be measured with a tape, and the volume of eroded soil is calculated (</w:t>
      </w:r>
      <w:r w:rsidRPr="00E91DAD">
        <w:t>channel cross section</w:t>
      </w:r>
      <w:r>
        <w:t>:</w:t>
      </w:r>
      <w:r w:rsidRPr="00E91DAD">
        <w:t xml:space="preserve"> </w:t>
      </w:r>
      <w:r>
        <w:t xml:space="preserve">mean depth, mean width, and total length). The volumes of the individual erosion features would then be added to obtain the total soil loss. It needs to be noted that </w:t>
      </w:r>
      <w:r w:rsidRPr="00BB237E">
        <w:rPr>
          <w:b/>
          <w:bCs/>
        </w:rPr>
        <w:t>interill erosion</w:t>
      </w:r>
      <w:r>
        <w:t xml:space="preserve"> is difficult to estimate with that approach (significant measurement error during field work can be expected).</w:t>
      </w:r>
    </w:p>
    <w:p w14:paraId="5D73E6DB" w14:textId="77777777" w:rsidR="001E6773" w:rsidRDefault="001E6773" w:rsidP="001E6773"/>
    <w:p w14:paraId="426C3D85" w14:textId="1102C525" w:rsidR="001E6773" w:rsidRDefault="001E6773" w:rsidP="001E6773">
      <w:r>
        <w:t xml:space="preserve">While such direct measurements are difficult to upscale, measurements are often combined with modelling; they are needed to </w:t>
      </w:r>
      <w:r w:rsidRPr="00384487">
        <w:t>develop, calibrate and validate</w:t>
      </w:r>
      <w:r>
        <w:t xml:space="preserve"> predictions from modelling </w:t>
      </w:r>
      <w:r w:rsidRPr="00155023">
        <w:t>(Stroosnijder 2005,</w:t>
      </w:r>
      <w:r>
        <w:t xml:space="preserve"> Fischer et al. 2017). Long-term</w:t>
      </w:r>
      <w:r w:rsidR="00317C4F">
        <w:t xml:space="preserve"> </w:t>
      </w:r>
      <w:r>
        <w:t xml:space="preserve">monitoring programmes based on visual and volumetric measurements of water erosion have been described by </w:t>
      </w:r>
      <w:r w:rsidRPr="00853903">
        <w:t>Evans et al.</w:t>
      </w:r>
      <w:r>
        <w:t xml:space="preserve"> (</w:t>
      </w:r>
      <w:r w:rsidRPr="00853903">
        <w:t>2016)</w:t>
      </w:r>
      <w:r>
        <w:t>, Prasuhn (2011, 2020) as well as Steinhoff‐Knopp and Burkhard (2018).</w:t>
      </w:r>
    </w:p>
    <w:p w14:paraId="4D80E89D" w14:textId="77777777" w:rsidR="001E6773" w:rsidRDefault="001E6773" w:rsidP="001E6773">
      <w:pPr>
        <w:spacing w:before="120"/>
      </w:pPr>
    </w:p>
    <w:p w14:paraId="6568ABF2" w14:textId="77777777" w:rsidR="001E6773" w:rsidRPr="009D5972" w:rsidRDefault="001E6773" w:rsidP="002C488D">
      <w:pPr>
        <w:pStyle w:val="berschrift2"/>
        <w:numPr>
          <w:ilvl w:val="2"/>
          <w:numId w:val="3"/>
        </w:numPr>
        <w:tabs>
          <w:tab w:val="num" w:pos="360"/>
        </w:tabs>
        <w:rPr>
          <w:rStyle w:val="FormatvorlageFormatvorlageberschrift3Zchn1"/>
        </w:rPr>
      </w:pPr>
      <w:bookmarkStart w:id="349" w:name="_Toc63939980"/>
      <w:bookmarkStart w:id="350" w:name="_Ref64642086"/>
      <w:bookmarkStart w:id="351" w:name="_Toc83997389"/>
      <w:r w:rsidRPr="009D5972">
        <w:rPr>
          <w:rStyle w:val="FormatvorlageFormatvorlageberschrift3Zchn1"/>
        </w:rPr>
        <w:t>Runoff plots</w:t>
      </w:r>
      <w:bookmarkEnd w:id="349"/>
      <w:bookmarkEnd w:id="350"/>
      <w:bookmarkEnd w:id="351"/>
    </w:p>
    <w:p w14:paraId="7B9945BE" w14:textId="77777777" w:rsidR="001E6773" w:rsidRPr="00E24CE2" w:rsidRDefault="001E6773" w:rsidP="00653937"/>
    <w:p w14:paraId="42157A44" w14:textId="0D548DB1" w:rsidR="001E6773" w:rsidRDefault="001E6773" w:rsidP="00653937">
      <w:r>
        <w:t xml:space="preserve">Plot measurements seem to be suitable to study rill and interrill erosion (Cerdan et al., 2010). They are often installed in order to compare different land uses and agricultural practices. Data from run-off plots are difficult to extrapolate to larger regions or countries because over-estimation is often observed </w:t>
      </w:r>
      <w:r w:rsidRPr="00A138C3">
        <w:t>(Boardman, 1998).</w:t>
      </w:r>
      <w:r>
        <w:t xml:space="preserve"> However, such data are needed to calibrate erosion models where they are used. According to </w:t>
      </w:r>
      <w:r w:rsidRPr="00C4291B">
        <w:t>Boardman and Evans (2019</w:t>
      </w:r>
      <w:r>
        <w:t xml:space="preserve">), many models need to be better calibrated against real-world erosion monitoring data. This is especially important in </w:t>
      </w:r>
      <w:r w:rsidRPr="00396DD8">
        <w:t xml:space="preserve">data‐poor areas and </w:t>
      </w:r>
      <w:r>
        <w:t>for predictions (</w:t>
      </w:r>
      <w:r w:rsidR="00317C4F">
        <w:t>e.g.,</w:t>
      </w:r>
      <w:r>
        <w:t xml:space="preserve"> policy outlook). For monitoring at national level, the authors recommend volumetric erosion measurements at locations where erosion has been observed (see 7.2.3). Plot selection can follow small‐scale studies which recorded repeated erosion over a period of time (</w:t>
      </w:r>
      <w:r w:rsidRPr="00775B28">
        <w:t>Boardman and Evans 20</w:t>
      </w:r>
      <w:r>
        <w:t>20). A data bases of runoff plots for Europe has been compiled by Maetens et al. (2012).</w:t>
      </w:r>
    </w:p>
    <w:p w14:paraId="4D006070" w14:textId="77777777" w:rsidR="001E6773" w:rsidRDefault="001E6773" w:rsidP="00653937"/>
    <w:p w14:paraId="22808B72" w14:textId="77777777" w:rsidR="001E6773" w:rsidRPr="00810243" w:rsidRDefault="001E6773" w:rsidP="00653937"/>
    <w:p w14:paraId="38725753" w14:textId="77777777" w:rsidR="001E6773" w:rsidRPr="009D5972" w:rsidRDefault="001E6773" w:rsidP="002C488D">
      <w:pPr>
        <w:pStyle w:val="berschrift2"/>
        <w:numPr>
          <w:ilvl w:val="2"/>
          <w:numId w:val="3"/>
        </w:numPr>
        <w:tabs>
          <w:tab w:val="num" w:pos="360"/>
        </w:tabs>
        <w:rPr>
          <w:rStyle w:val="FormatvorlageFormatvorlageberschrift3Zchn1"/>
        </w:rPr>
      </w:pPr>
      <w:bookmarkStart w:id="352" w:name="_Toc63939981"/>
      <w:bookmarkStart w:id="353" w:name="_Ref64642104"/>
      <w:bookmarkStart w:id="354" w:name="_Toc83997390"/>
      <w:r w:rsidRPr="009D5972">
        <w:rPr>
          <w:rStyle w:val="FormatvorlageFormatvorlageberschrift3Zchn1"/>
        </w:rPr>
        <w:t>Tiered monitoring</w:t>
      </w:r>
      <w:bookmarkEnd w:id="352"/>
      <w:bookmarkEnd w:id="353"/>
      <w:bookmarkEnd w:id="354"/>
    </w:p>
    <w:p w14:paraId="158CECDD" w14:textId="77777777" w:rsidR="001E6773" w:rsidRDefault="001E6773" w:rsidP="001E6773"/>
    <w:p w14:paraId="5A67885D" w14:textId="77777777" w:rsidR="001E6773" w:rsidRDefault="001E6773" w:rsidP="001E6773">
      <w:r>
        <w:t xml:space="preserve">A tiered monitoring of soil erosion in Europe addresses the different climatic, pedogenetic and agricultural conditions and focusses on regional relevant erosion processes. This section outlines a corresponding </w:t>
      </w:r>
      <w:r>
        <w:lastRenderedPageBreak/>
        <w:t>monitoring approach and suggests long-term observation approaches considering scale, and – subsequently - measurement intensity. The temporal dimension of any erosion monitoring programme must be long term because of its typical discontinuous character.</w:t>
      </w:r>
    </w:p>
    <w:p w14:paraId="50E74CD3" w14:textId="77777777" w:rsidR="001E6773" w:rsidRDefault="001E6773" w:rsidP="001E6773"/>
    <w:p w14:paraId="547B09DA" w14:textId="276DEABA" w:rsidR="001E6773" w:rsidRDefault="001E6773" w:rsidP="00145864">
      <w:pPr>
        <w:pStyle w:val="EEAbullet0"/>
      </w:pPr>
      <w:r>
        <w:t xml:space="preserve">Tier </w:t>
      </w:r>
      <w:r w:rsidR="00E40605">
        <w:t>I</w:t>
      </w:r>
      <w:r>
        <w:t xml:space="preserve">: </w:t>
      </w:r>
    </w:p>
    <w:p w14:paraId="0F35C9D0" w14:textId="77777777" w:rsidR="001E6773" w:rsidRDefault="001E6773" w:rsidP="00145864">
      <w:pPr>
        <w:pStyle w:val="EEAbullet1"/>
      </w:pPr>
      <w:r>
        <w:t>Modelling soil erosion at national and European level</w:t>
      </w:r>
    </w:p>
    <w:p w14:paraId="1D8BED55" w14:textId="77777777" w:rsidR="001E6773" w:rsidRDefault="001E6773" w:rsidP="00145864">
      <w:pPr>
        <w:pStyle w:val="EEAbullet1"/>
      </w:pPr>
      <w:r>
        <w:t>Monitoring rainfall events</w:t>
      </w:r>
    </w:p>
    <w:p w14:paraId="1C1C9545" w14:textId="77777777" w:rsidR="001E6773" w:rsidRDefault="001E6773" w:rsidP="00145864">
      <w:pPr>
        <w:pStyle w:val="EEAbullet1"/>
      </w:pPr>
      <w:r>
        <w:t>Monitoring crop type and crop cover</w:t>
      </w:r>
    </w:p>
    <w:p w14:paraId="0F97452C" w14:textId="6F01959B" w:rsidR="001E6773" w:rsidRDefault="001E6773" w:rsidP="00145864">
      <w:pPr>
        <w:pStyle w:val="EEAbullet0"/>
      </w:pPr>
      <w:r>
        <w:t xml:space="preserve">Tier </w:t>
      </w:r>
      <w:r w:rsidR="00E40605">
        <w:t>II</w:t>
      </w:r>
      <w:r>
        <w:t xml:space="preserve">: </w:t>
      </w:r>
    </w:p>
    <w:p w14:paraId="394558F0" w14:textId="77777777" w:rsidR="001E6773" w:rsidRDefault="001E6773" w:rsidP="00145864">
      <w:pPr>
        <w:pStyle w:val="EEAbullet1"/>
      </w:pPr>
      <w:r>
        <w:t>Erosion damage mapping in selected areas</w:t>
      </w:r>
    </w:p>
    <w:p w14:paraId="3471D29E" w14:textId="5B6C3860" w:rsidR="001E6773" w:rsidRDefault="001E6773" w:rsidP="00145864">
      <w:pPr>
        <w:pStyle w:val="EEAbullet0"/>
      </w:pPr>
      <w:r>
        <w:t xml:space="preserve">Tier </w:t>
      </w:r>
      <w:r w:rsidR="00E40605">
        <w:t>III</w:t>
      </w:r>
      <w:r>
        <w:t>:</w:t>
      </w:r>
    </w:p>
    <w:p w14:paraId="0DA9D2AA" w14:textId="77777777" w:rsidR="001E6773" w:rsidRDefault="001E6773" w:rsidP="00145864">
      <w:pPr>
        <w:pStyle w:val="EEAbullet1"/>
      </w:pPr>
      <w:r>
        <w:t xml:space="preserve">Plot measurements </w:t>
      </w:r>
    </w:p>
    <w:p w14:paraId="47038060" w14:textId="77777777" w:rsidR="001E6773" w:rsidRDefault="001E6773" w:rsidP="001E6773"/>
    <w:p w14:paraId="6C60BAB0" w14:textId="61FBDFD9" w:rsidR="001E6773" w:rsidRDefault="001E6773" w:rsidP="001E6773">
      <w:pPr>
        <w:rPr>
          <w:lang w:val="en-US"/>
        </w:rPr>
      </w:pPr>
      <w:r>
        <w:rPr>
          <w:lang w:val="en-US"/>
        </w:rPr>
        <w:t xml:space="preserve">In </w:t>
      </w:r>
      <w:r w:rsidR="000A268E">
        <w:rPr>
          <w:lang w:val="en-US"/>
        </w:rPr>
        <w:fldChar w:fldCharType="begin"/>
      </w:r>
      <w:r w:rsidR="000A268E">
        <w:rPr>
          <w:lang w:val="en-US"/>
        </w:rPr>
        <w:instrText xml:space="preserve"> REF _Ref64641708 \h </w:instrText>
      </w:r>
      <w:r w:rsidR="000A268E">
        <w:rPr>
          <w:lang w:val="en-US"/>
        </w:rPr>
      </w:r>
      <w:r w:rsidR="000A268E">
        <w:rPr>
          <w:lang w:val="en-US"/>
        </w:rPr>
        <w:fldChar w:fldCharType="separate"/>
      </w:r>
      <w:r w:rsidR="0067767C">
        <w:t xml:space="preserve">Table </w:t>
      </w:r>
      <w:r w:rsidR="0067767C">
        <w:rPr>
          <w:noProof/>
        </w:rPr>
        <w:t>7</w:t>
      </w:r>
      <w:r w:rsidR="0067767C">
        <w:noBreakHyphen/>
      </w:r>
      <w:r w:rsidR="0067767C">
        <w:rPr>
          <w:noProof/>
        </w:rPr>
        <w:t>5</w:t>
      </w:r>
      <w:r w:rsidR="000A268E">
        <w:rPr>
          <w:lang w:val="en-US"/>
        </w:rPr>
        <w:fldChar w:fldCharType="end"/>
      </w:r>
      <w:r>
        <w:rPr>
          <w:lang w:val="en-US"/>
        </w:rPr>
        <w:t xml:space="preserve">, different measurement intensities are suggested. Monitoring at catchment scale or for whole slopes require large installations, which - for now – are outside of the scope for national or EU-level monitoring. However, such long-term observation plots would probably be best suited to observe extremely episodic events, such as those causing gully erosion or landslides. </w:t>
      </w:r>
      <w:r w:rsidRPr="00F6666C">
        <w:rPr>
          <w:lang w:val="en-US"/>
        </w:rPr>
        <w:t>Evans and Boardman (2016)</w:t>
      </w:r>
      <w:r w:rsidRPr="00B75918">
        <w:rPr>
          <w:lang w:val="en-US"/>
        </w:rPr>
        <w:t xml:space="preserve"> </w:t>
      </w:r>
      <w:r>
        <w:rPr>
          <w:lang w:val="en-US"/>
        </w:rPr>
        <w:t>describe</w:t>
      </w:r>
      <w:r w:rsidRPr="00B75918">
        <w:rPr>
          <w:lang w:val="en-US"/>
        </w:rPr>
        <w:t xml:space="preserve"> field methods for</w:t>
      </w:r>
      <w:r>
        <w:rPr>
          <w:lang w:val="en-US"/>
        </w:rPr>
        <w:t xml:space="preserve"> </w:t>
      </w:r>
      <w:r w:rsidRPr="00B75918">
        <w:rPr>
          <w:lang w:val="en-US"/>
        </w:rPr>
        <w:t>assessing soil loss by water erosion combined with visual</w:t>
      </w:r>
      <w:r>
        <w:rPr>
          <w:lang w:val="en-US"/>
        </w:rPr>
        <w:t xml:space="preserve"> </w:t>
      </w:r>
      <w:r w:rsidRPr="00B75918">
        <w:rPr>
          <w:lang w:val="en-US"/>
        </w:rPr>
        <w:t>interpretations of aerial and terrestrial photos, and statistical</w:t>
      </w:r>
      <w:r>
        <w:rPr>
          <w:lang w:val="en-US"/>
        </w:rPr>
        <w:t xml:space="preserve"> </w:t>
      </w:r>
      <w:r w:rsidRPr="00B75918">
        <w:rPr>
          <w:lang w:val="en-US"/>
        </w:rPr>
        <w:t>upscaling to quantify soil loss rates at pan-European level</w:t>
      </w:r>
      <w:r>
        <w:rPr>
          <w:lang w:val="en-US"/>
        </w:rPr>
        <w:t>.</w:t>
      </w:r>
    </w:p>
    <w:p w14:paraId="1737A896" w14:textId="6B1ECF85" w:rsidR="001E6773" w:rsidRDefault="001E6773" w:rsidP="005A3AC8">
      <w:pPr>
        <w:spacing w:before="120"/>
        <w:rPr>
          <w:lang w:val="en-US"/>
        </w:rPr>
      </w:pPr>
      <w:r>
        <w:t>The quantification (extent, frequency and severity) of water erosion (interrill, rill, sheet</w:t>
      </w:r>
      <w:r>
        <w:rPr>
          <w:rStyle w:val="Funotenzeichen"/>
        </w:rPr>
        <w:footnoteReference w:id="48"/>
      </w:r>
      <w:r>
        <w:t xml:space="preserve"> and gully erosion), mass movements (including landslides) and wind erosion, through monitoring, is difficult. Usually, long-term monitoring of runoff plots is used to directly measure soil loss by inter-rill and rill erosion </w:t>
      </w:r>
      <w:r w:rsidRPr="00284957">
        <w:t>(</w:t>
      </w:r>
      <w:r w:rsidRPr="0012257C">
        <w:t>Maetens et al. 2012</w:t>
      </w:r>
      <w:r w:rsidRPr="00284957">
        <w:t>)</w:t>
      </w:r>
      <w:r>
        <w:t xml:space="preserve">. Very few studies have monitored gully erosion or piping </w:t>
      </w:r>
      <w:r w:rsidR="005A3AC8">
        <w:t>erosion,</w:t>
      </w:r>
      <w:r>
        <w:t xml:space="preserve"> and this could be achieved by making detailed observations in a selection of representative catchments throughout various European regions. </w:t>
      </w:r>
      <w:r w:rsidR="00CA3224">
        <w:t xml:space="preserve">However, </w:t>
      </w:r>
      <w:r w:rsidR="00623155">
        <w:t xml:space="preserve">there is bias </w:t>
      </w:r>
      <w:r w:rsidR="00E40605">
        <w:t xml:space="preserve">for </w:t>
      </w:r>
      <w:r w:rsidR="00CA3224">
        <w:t>erosion</w:t>
      </w:r>
      <w:r w:rsidR="00E40605">
        <w:t xml:space="preserve"> rates </w:t>
      </w:r>
      <w:r w:rsidR="00A72EB1">
        <w:t>determined at plot level</w:t>
      </w:r>
      <w:r w:rsidR="00E40605">
        <w:t>, exceeding averages at landscape level by</w:t>
      </w:r>
      <w:r w:rsidR="00A72EB1">
        <w:t xml:space="preserve"> 2-10 times (Evans 1995). </w:t>
      </w:r>
    </w:p>
    <w:p w14:paraId="5CEBB407" w14:textId="790BBB99" w:rsidR="001E6773" w:rsidRDefault="001E6773" w:rsidP="00814E91">
      <w:pPr>
        <w:spacing w:before="120"/>
        <w:rPr>
          <w:lang w:val="en-US"/>
        </w:rPr>
      </w:pPr>
      <w:r>
        <w:rPr>
          <w:lang w:val="en-US"/>
        </w:rPr>
        <w:t xml:space="preserve">Because of the large variability of soil properties across large landscapes, land use (e.g. tillage system) and climate, a large number of plots is required to build </w:t>
      </w:r>
      <w:r w:rsidR="00E40605">
        <w:rPr>
          <w:lang w:val="en-US"/>
        </w:rPr>
        <w:t xml:space="preserve">a Tier I and II </w:t>
      </w:r>
      <w:r>
        <w:rPr>
          <w:lang w:val="en-US"/>
        </w:rPr>
        <w:t xml:space="preserve">erosion monitoring. A representative network of monitoring plots is needed. </w:t>
      </w:r>
      <w:r w:rsidR="00081A76" w:rsidRPr="00B84480">
        <w:rPr>
          <w:lang w:val="en-US"/>
        </w:rPr>
        <w:t xml:space="preserve">Boardman (2006) suggests to focus on monitoring the effects of moderate to strong erosion events. </w:t>
      </w:r>
      <w:r>
        <w:rPr>
          <w:lang w:val="en-US"/>
        </w:rPr>
        <w:t xml:space="preserve">Considering that </w:t>
      </w:r>
      <w:r w:rsidRPr="00B75918">
        <w:rPr>
          <w:lang w:val="en-US"/>
        </w:rPr>
        <w:t>ca. 70% of the</w:t>
      </w:r>
      <w:r>
        <w:rPr>
          <w:lang w:val="en-US"/>
        </w:rPr>
        <w:t xml:space="preserve"> </w:t>
      </w:r>
      <w:r w:rsidRPr="00B75918">
        <w:rPr>
          <w:lang w:val="en-US"/>
        </w:rPr>
        <w:t>erosion occurs over only 15% of the total area of Europe</w:t>
      </w:r>
      <w:r>
        <w:rPr>
          <w:lang w:val="en-US"/>
        </w:rPr>
        <w:t xml:space="preserve"> (Cerdan et al. 2010), hot spots play an important role when stratifying systematic inventories </w:t>
      </w:r>
      <w:r w:rsidR="00317C4F">
        <w:rPr>
          <w:lang w:val="en-US"/>
        </w:rPr>
        <w:t>across</w:t>
      </w:r>
      <w:r>
        <w:rPr>
          <w:lang w:val="en-US"/>
        </w:rPr>
        <w:t xml:space="preserve"> large landscapes and regions. Until now, a (</w:t>
      </w:r>
      <w:r w:rsidRPr="00810DB1">
        <w:rPr>
          <w:lang w:val="en-US"/>
        </w:rPr>
        <w:t>trans</w:t>
      </w:r>
      <w:r>
        <w:rPr>
          <w:lang w:val="en-US"/>
        </w:rPr>
        <w:t>-</w:t>
      </w:r>
      <w:proofErr w:type="gramStart"/>
      <w:r>
        <w:rPr>
          <w:lang w:val="en-US"/>
        </w:rPr>
        <w:t>)</w:t>
      </w:r>
      <w:r w:rsidRPr="00810DB1">
        <w:rPr>
          <w:lang w:val="en-US"/>
        </w:rPr>
        <w:t>national</w:t>
      </w:r>
      <w:proofErr w:type="gramEnd"/>
      <w:r w:rsidRPr="00810DB1">
        <w:rPr>
          <w:lang w:val="en-US"/>
        </w:rPr>
        <w:t xml:space="preserve"> programme of soil erosion measurement using</w:t>
      </w:r>
      <w:r>
        <w:rPr>
          <w:lang w:val="en-US"/>
        </w:rPr>
        <w:t xml:space="preserve"> </w:t>
      </w:r>
      <w:r w:rsidRPr="00810DB1">
        <w:rPr>
          <w:lang w:val="en-US"/>
        </w:rPr>
        <w:t>a standardized procedure</w:t>
      </w:r>
      <w:r>
        <w:rPr>
          <w:lang w:val="en-US"/>
        </w:rPr>
        <w:t xml:space="preserve"> is missing. </w:t>
      </w:r>
      <w:r w:rsidR="00814E91">
        <w:rPr>
          <w:lang w:val="en-US"/>
        </w:rPr>
        <w:t>At any rate,</w:t>
      </w:r>
      <w:r w:rsidR="00B84480" w:rsidRPr="00B84480">
        <w:rPr>
          <w:lang w:val="en-US"/>
        </w:rPr>
        <w:t xml:space="preserve"> monitoring as well as erosion control measures must be precautionary especially in sensitive areas, for example, in the Mediterranean, where extreme events are more frequent.</w:t>
      </w:r>
    </w:p>
    <w:p w14:paraId="451DB951" w14:textId="77777777" w:rsidR="001E6773" w:rsidRDefault="001E6773" w:rsidP="005A3AC8">
      <w:pPr>
        <w:spacing w:before="120"/>
        <w:rPr>
          <w:lang w:val="en-US"/>
        </w:rPr>
      </w:pPr>
      <w:r>
        <w:rPr>
          <w:lang w:val="en-US"/>
        </w:rPr>
        <w:t xml:space="preserve">An additional challenge to representativity is the dominance of different types of erosion in different regions in Europe </w:t>
      </w:r>
      <w:r w:rsidRPr="00F6666C">
        <w:rPr>
          <w:lang w:val="en-US"/>
        </w:rPr>
        <w:t>(see Van Camp et al. 2004,</w:t>
      </w:r>
      <w:r>
        <w:rPr>
          <w:lang w:val="en-US"/>
        </w:rPr>
        <w:t xml:space="preserve"> </w:t>
      </w:r>
      <w:r w:rsidRPr="00FA3CA5">
        <w:rPr>
          <w:lang w:val="en-US"/>
        </w:rPr>
        <w:t>Table 2.3. Types of erosion: occurrence at national level</w:t>
      </w:r>
      <w:r>
        <w:rPr>
          <w:lang w:val="en-US"/>
        </w:rPr>
        <w:t xml:space="preserve">). </w:t>
      </w:r>
      <w:r w:rsidRPr="0045299D">
        <w:rPr>
          <w:lang w:val="en-US"/>
        </w:rPr>
        <w:t>An analysis and mapping of soil problem areas</w:t>
      </w:r>
      <w:r>
        <w:rPr>
          <w:lang w:val="en-US"/>
        </w:rPr>
        <w:t xml:space="preserve"> </w:t>
      </w:r>
      <w:r w:rsidRPr="0045299D">
        <w:rPr>
          <w:lang w:val="en-US"/>
        </w:rPr>
        <w:t>(</w:t>
      </w:r>
      <w:r>
        <w:rPr>
          <w:lang w:val="en-US"/>
        </w:rPr>
        <w:t>h</w:t>
      </w:r>
      <w:r w:rsidRPr="0045299D">
        <w:rPr>
          <w:lang w:val="en-US"/>
        </w:rPr>
        <w:t xml:space="preserve">ot </w:t>
      </w:r>
      <w:r>
        <w:rPr>
          <w:lang w:val="en-US"/>
        </w:rPr>
        <w:t>s</w:t>
      </w:r>
      <w:r w:rsidRPr="0045299D">
        <w:rPr>
          <w:lang w:val="en-US"/>
        </w:rPr>
        <w:t xml:space="preserve">pots) in Europe was </w:t>
      </w:r>
      <w:r>
        <w:rPr>
          <w:lang w:val="en-US"/>
        </w:rPr>
        <w:t xml:space="preserve">conducted by </w:t>
      </w:r>
      <w:r w:rsidRPr="0045299D">
        <w:rPr>
          <w:lang w:val="en-US"/>
        </w:rPr>
        <w:t>EEA</w:t>
      </w:r>
      <w:r>
        <w:rPr>
          <w:lang w:val="en-US"/>
        </w:rPr>
        <w:t xml:space="preserve"> (</w:t>
      </w:r>
      <w:r w:rsidRPr="0045299D">
        <w:rPr>
          <w:lang w:val="en-US"/>
        </w:rPr>
        <w:t>2000)</w:t>
      </w:r>
      <w:r>
        <w:rPr>
          <w:lang w:val="en-US"/>
        </w:rPr>
        <w:t xml:space="preserve">, where </w:t>
      </w:r>
      <w:r w:rsidRPr="00A75498">
        <w:rPr>
          <w:lang w:val="en-US"/>
        </w:rPr>
        <w:t xml:space="preserve">broad zones </w:t>
      </w:r>
      <w:r>
        <w:rPr>
          <w:lang w:val="en-US"/>
        </w:rPr>
        <w:t xml:space="preserve">were identified </w:t>
      </w:r>
      <w:r w:rsidRPr="00A75498">
        <w:rPr>
          <w:lang w:val="en-US"/>
        </w:rPr>
        <w:t>for which the erosion</w:t>
      </w:r>
      <w:r>
        <w:rPr>
          <w:lang w:val="en-US"/>
        </w:rPr>
        <w:t xml:space="preserve"> </w:t>
      </w:r>
      <w:r w:rsidRPr="00A75498">
        <w:rPr>
          <w:lang w:val="en-US"/>
        </w:rPr>
        <w:t>processes are similar</w:t>
      </w:r>
      <w:r>
        <w:rPr>
          <w:lang w:val="en-US"/>
        </w:rPr>
        <w:t xml:space="preserve"> (hot spots map for water and wind erosion)</w:t>
      </w:r>
      <w:r w:rsidRPr="00A75498">
        <w:rPr>
          <w:lang w:val="en-US"/>
        </w:rPr>
        <w:t>.</w:t>
      </w:r>
    </w:p>
    <w:p w14:paraId="11695656" w14:textId="1031ADE1" w:rsidR="005A3AC8" w:rsidRDefault="001E6773" w:rsidP="005A3AC8">
      <w:pPr>
        <w:spacing w:before="120"/>
        <w:rPr>
          <w:lang w:val="en-US"/>
        </w:rPr>
      </w:pPr>
      <w:r>
        <w:rPr>
          <w:lang w:val="en-US"/>
        </w:rPr>
        <w:t xml:space="preserve">Provided the characteristics, strengths and weaknesses of field-based erosion monitoring and modelling, and the different measurement intensities in large-scale plot systems versus erosion plots, it seems plausible that any monitoring system may consider an approach where hot spots are identified (weather, soil and management conditions), </w:t>
      </w:r>
      <w:r w:rsidR="00317C4F">
        <w:rPr>
          <w:lang w:val="en-US"/>
        </w:rPr>
        <w:t>e.g.,</w:t>
      </w:r>
      <w:r>
        <w:rPr>
          <w:lang w:val="en-US"/>
        </w:rPr>
        <w:t xml:space="preserve"> via modelling, which is then followed by field-based observations.</w:t>
      </w:r>
      <w:r w:rsidR="005A3AC8">
        <w:rPr>
          <w:lang w:val="en-US"/>
        </w:rPr>
        <w:t xml:space="preserve"> </w:t>
      </w:r>
    </w:p>
    <w:p w14:paraId="70653E1E" w14:textId="77777777" w:rsidR="001E6773" w:rsidRDefault="001E6773" w:rsidP="001E6773">
      <w:pPr>
        <w:rPr>
          <w:lang w:val="en-US"/>
        </w:rPr>
      </w:pPr>
    </w:p>
    <w:p w14:paraId="770CE986" w14:textId="6073065D" w:rsidR="000A268E" w:rsidRDefault="000A268E">
      <w:pPr>
        <w:suppressAutoHyphens w:val="0"/>
        <w:jc w:val="left"/>
        <w:rPr>
          <w:lang w:val="en-US"/>
        </w:rPr>
      </w:pPr>
      <w:r>
        <w:rPr>
          <w:lang w:val="en-US"/>
        </w:rPr>
        <w:br w:type="page"/>
      </w:r>
    </w:p>
    <w:p w14:paraId="37C8161F" w14:textId="77777777" w:rsidR="001E6773" w:rsidRDefault="001E6773" w:rsidP="001E6773">
      <w:pPr>
        <w:rPr>
          <w:lang w:val="en-US"/>
        </w:rPr>
      </w:pPr>
    </w:p>
    <w:p w14:paraId="4567B7C9" w14:textId="744F6685" w:rsidR="001E6773" w:rsidRPr="00EC6A51" w:rsidRDefault="0037472D" w:rsidP="001E6773">
      <w:pPr>
        <w:pStyle w:val="EEALabel"/>
        <w:spacing w:after="120" w:line="276" w:lineRule="auto"/>
        <w:rPr>
          <w:rFonts w:asciiTheme="majorHAnsi" w:eastAsia="Calibri" w:hAnsiTheme="majorHAnsi" w:cstheme="majorHAnsi"/>
          <w:szCs w:val="22"/>
        </w:rPr>
      </w:pPr>
      <w:bookmarkStart w:id="355" w:name="_Ref64641708"/>
      <w:bookmarkStart w:id="356" w:name="_Toc83997531"/>
      <w:r>
        <w:t xml:space="preserve">Table </w:t>
      </w:r>
      <w:r w:rsidR="00C76C23">
        <w:fldChar w:fldCharType="begin"/>
      </w:r>
      <w:r w:rsidR="00C76C23">
        <w:instrText xml:space="preserve"> STYLEREF 1 \s </w:instrText>
      </w:r>
      <w:r w:rsidR="00C76C23">
        <w:fldChar w:fldCharType="separate"/>
      </w:r>
      <w:r w:rsidR="0067767C">
        <w:rPr>
          <w:noProof/>
        </w:rPr>
        <w:t>7</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5</w:t>
      </w:r>
      <w:r w:rsidR="00C76C23">
        <w:fldChar w:fldCharType="end"/>
      </w:r>
      <w:bookmarkEnd w:id="355"/>
      <w:r>
        <w:t>:</w:t>
      </w:r>
      <w:r>
        <w:rPr>
          <w:rFonts w:eastAsia="Calibri"/>
        </w:rPr>
        <w:tab/>
      </w:r>
      <w:r w:rsidR="001E6773" w:rsidRPr="00EC6A51">
        <w:rPr>
          <w:rFonts w:asciiTheme="majorHAnsi" w:hAnsiTheme="majorHAnsi" w:cstheme="majorHAnsi"/>
          <w:szCs w:val="22"/>
        </w:rPr>
        <w:t>Design of large-scale soil erosion monitoring</w:t>
      </w:r>
      <w:bookmarkEnd w:id="356"/>
      <w:r w:rsidR="001E6773" w:rsidRPr="00EC6A51">
        <w:rPr>
          <w:rFonts w:asciiTheme="majorHAnsi" w:hAnsiTheme="majorHAnsi" w:cstheme="majorHAnsi"/>
          <w:szCs w:val="22"/>
        </w:rPr>
        <w:t xml:space="preserve"> </w:t>
      </w:r>
      <w:r w:rsidR="001E6773" w:rsidRPr="00EC6A51">
        <w:rPr>
          <w:rFonts w:asciiTheme="majorHAnsi" w:eastAsia="Calibri" w:hAnsiTheme="majorHAnsi" w:cstheme="majorHAnsi"/>
          <w:szCs w:val="22"/>
        </w:rPr>
        <w:t xml:space="preserve"> </w:t>
      </w:r>
    </w:p>
    <w:tbl>
      <w:tblPr>
        <w:tblStyle w:val="Tabellenraster"/>
        <w:tblW w:w="9634"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838"/>
        <w:gridCol w:w="2268"/>
        <w:gridCol w:w="2552"/>
        <w:gridCol w:w="2976"/>
      </w:tblGrid>
      <w:tr w:rsidR="001E6773" w:rsidRPr="00190FA5" w14:paraId="19A0113B" w14:textId="77777777" w:rsidTr="000A268E">
        <w:trPr>
          <w:jc w:val="center"/>
        </w:trPr>
        <w:tc>
          <w:tcPr>
            <w:tcW w:w="1838" w:type="dxa"/>
            <w:vMerge w:val="restart"/>
            <w:shd w:val="pct10" w:color="auto" w:fill="auto"/>
            <w:vAlign w:val="center"/>
          </w:tcPr>
          <w:p w14:paraId="37026878" w14:textId="77777777" w:rsidR="001E6773" w:rsidRPr="000A268E" w:rsidRDefault="001E6773" w:rsidP="00653937">
            <w:pPr>
              <w:pStyle w:val="EEAtableleftbold"/>
              <w:rPr>
                <w:lang w:val="en-US"/>
              </w:rPr>
            </w:pPr>
            <w:r w:rsidRPr="000A268E">
              <w:rPr>
                <w:lang w:val="en-US"/>
              </w:rPr>
              <w:t>Compartment</w:t>
            </w:r>
          </w:p>
        </w:tc>
        <w:tc>
          <w:tcPr>
            <w:tcW w:w="7796" w:type="dxa"/>
            <w:gridSpan w:val="3"/>
            <w:shd w:val="pct10" w:color="auto" w:fill="auto"/>
          </w:tcPr>
          <w:p w14:paraId="726EA440" w14:textId="77777777" w:rsidR="001E6773" w:rsidRDefault="001E6773" w:rsidP="000A268E">
            <w:pPr>
              <w:pStyle w:val="EEATabcenterbold"/>
              <w:rPr>
                <w:lang w:val="en-US"/>
              </w:rPr>
            </w:pPr>
            <w:r>
              <w:rPr>
                <w:lang w:val="en-US"/>
              </w:rPr>
              <w:t>Measurement and estimation parameters</w:t>
            </w:r>
          </w:p>
        </w:tc>
      </w:tr>
      <w:tr w:rsidR="001E6773" w:rsidRPr="00190FA5" w14:paraId="3E36BD83" w14:textId="77777777" w:rsidTr="000A268E">
        <w:trPr>
          <w:jc w:val="center"/>
        </w:trPr>
        <w:tc>
          <w:tcPr>
            <w:tcW w:w="1838" w:type="dxa"/>
            <w:vMerge/>
            <w:shd w:val="pct10" w:color="auto" w:fill="auto"/>
          </w:tcPr>
          <w:p w14:paraId="2CC1C027" w14:textId="77777777" w:rsidR="001E6773" w:rsidRPr="000A268E" w:rsidRDefault="001E6773" w:rsidP="000A268E">
            <w:pPr>
              <w:pStyle w:val="EEAtableleft"/>
              <w:rPr>
                <w:b/>
                <w:bCs/>
                <w:lang w:val="en-US"/>
              </w:rPr>
            </w:pPr>
          </w:p>
        </w:tc>
        <w:tc>
          <w:tcPr>
            <w:tcW w:w="2268" w:type="dxa"/>
            <w:shd w:val="pct10" w:color="auto" w:fill="auto"/>
            <w:vAlign w:val="center"/>
          </w:tcPr>
          <w:p w14:paraId="1FF56918" w14:textId="77777777" w:rsidR="001E6773" w:rsidRDefault="001E6773" w:rsidP="000A268E">
            <w:pPr>
              <w:pStyle w:val="EEATabcenterbold"/>
              <w:rPr>
                <w:lang w:val="en-US"/>
              </w:rPr>
            </w:pPr>
            <w:r>
              <w:rPr>
                <w:lang w:val="en-US"/>
              </w:rPr>
              <w:t>Level I</w:t>
            </w:r>
          </w:p>
        </w:tc>
        <w:tc>
          <w:tcPr>
            <w:tcW w:w="2552" w:type="dxa"/>
            <w:shd w:val="pct10" w:color="auto" w:fill="auto"/>
            <w:vAlign w:val="center"/>
          </w:tcPr>
          <w:p w14:paraId="24CD77CA" w14:textId="77777777" w:rsidR="001E6773" w:rsidRDefault="001E6773" w:rsidP="000A268E">
            <w:pPr>
              <w:pStyle w:val="EEATabcenterbold"/>
              <w:rPr>
                <w:lang w:val="en-US"/>
              </w:rPr>
            </w:pPr>
            <w:r>
              <w:rPr>
                <w:lang w:val="en-US"/>
              </w:rPr>
              <w:t>Level II</w:t>
            </w:r>
          </w:p>
        </w:tc>
        <w:tc>
          <w:tcPr>
            <w:tcW w:w="2976" w:type="dxa"/>
            <w:shd w:val="pct10" w:color="auto" w:fill="auto"/>
          </w:tcPr>
          <w:p w14:paraId="79795174" w14:textId="5602D6A7" w:rsidR="001E6773" w:rsidRDefault="001E6773" w:rsidP="000A268E">
            <w:pPr>
              <w:pStyle w:val="EEATabcenterbold"/>
              <w:rPr>
                <w:lang w:val="en-US"/>
              </w:rPr>
            </w:pPr>
            <w:r>
              <w:rPr>
                <w:lang w:val="en-US"/>
              </w:rPr>
              <w:t>Level III –erosion (run-off) plots</w:t>
            </w:r>
            <w:r w:rsidR="000A268E" w:rsidRPr="000A268E">
              <w:rPr>
                <w:vertAlign w:val="superscript"/>
                <w:lang w:val="en-US"/>
              </w:rPr>
              <w:t>(</w:t>
            </w:r>
            <w:r>
              <w:rPr>
                <w:vertAlign w:val="superscript"/>
                <w:lang w:val="en-US"/>
              </w:rPr>
              <w:t>1</w:t>
            </w:r>
            <w:r w:rsidRPr="006562E7">
              <w:rPr>
                <w:vertAlign w:val="superscript"/>
                <w:lang w:val="en-US"/>
              </w:rPr>
              <w:t>)</w:t>
            </w:r>
          </w:p>
        </w:tc>
      </w:tr>
      <w:tr w:rsidR="001E6773" w:rsidRPr="00FA3CA5" w14:paraId="7B7865FB" w14:textId="77777777" w:rsidTr="000A268E">
        <w:trPr>
          <w:jc w:val="center"/>
        </w:trPr>
        <w:tc>
          <w:tcPr>
            <w:tcW w:w="1838" w:type="dxa"/>
            <w:vAlign w:val="center"/>
          </w:tcPr>
          <w:p w14:paraId="5511137E" w14:textId="77777777" w:rsidR="001E6773" w:rsidRPr="000A268E" w:rsidRDefault="001E6773" w:rsidP="00653937">
            <w:pPr>
              <w:pStyle w:val="EEAtableleftbold"/>
              <w:rPr>
                <w:lang w:val="en-US"/>
              </w:rPr>
            </w:pPr>
            <w:r w:rsidRPr="000A268E">
              <w:rPr>
                <w:lang w:val="en-US"/>
              </w:rPr>
              <w:t>Direct (measured) and indirect (visual estimation) monitoring of soil erosion</w:t>
            </w:r>
          </w:p>
        </w:tc>
        <w:tc>
          <w:tcPr>
            <w:tcW w:w="4820" w:type="dxa"/>
            <w:gridSpan w:val="2"/>
            <w:vAlign w:val="center"/>
          </w:tcPr>
          <w:p w14:paraId="0B25BEDD" w14:textId="776013A5" w:rsidR="001E6773" w:rsidRDefault="001E6773" w:rsidP="000A268E">
            <w:pPr>
              <w:pStyle w:val="EEAtableleft"/>
              <w:rPr>
                <w:b/>
                <w:bCs/>
                <w:vertAlign w:val="superscript"/>
                <w:lang w:val="en-US"/>
              </w:rPr>
            </w:pPr>
            <w:r>
              <w:rPr>
                <w:lang w:val="en-US"/>
              </w:rPr>
              <w:t>M</w:t>
            </w:r>
            <w:r w:rsidRPr="00471A33">
              <w:rPr>
                <w:lang w:val="en-US"/>
              </w:rPr>
              <w:t xml:space="preserve">acromorphological features </w:t>
            </w:r>
            <w:r>
              <w:rPr>
                <w:lang w:val="en-US"/>
              </w:rPr>
              <w:t xml:space="preserve">incl. erosion damages </w:t>
            </w:r>
            <w:r w:rsidRPr="00471A33">
              <w:rPr>
                <w:lang w:val="en-US"/>
              </w:rPr>
              <w:t>(</w:t>
            </w:r>
            <w:r w:rsidRPr="00C07897">
              <w:rPr>
                <w:lang w:val="en-US"/>
              </w:rPr>
              <w:t>e.g. pedestals, rills, litter movement, flow patterns, deposition, wind-sourced blowouts, and gully channels</w:t>
            </w:r>
            <w:r w:rsidRPr="00471A33">
              <w:rPr>
                <w:lang w:val="en-US"/>
              </w:rPr>
              <w:t>)</w:t>
            </w:r>
            <w:r w:rsidR="000A268E" w:rsidRPr="000A268E">
              <w:rPr>
                <w:b/>
                <w:vertAlign w:val="superscript"/>
                <w:lang w:val="en-US"/>
              </w:rPr>
              <w:t>(</w:t>
            </w:r>
            <w:r w:rsidRPr="000A268E">
              <w:rPr>
                <w:b/>
                <w:bCs/>
                <w:vertAlign w:val="superscript"/>
                <w:lang w:val="en-US"/>
              </w:rPr>
              <w:t>2)</w:t>
            </w:r>
          </w:p>
          <w:p w14:paraId="4217E1F4" w14:textId="77777777" w:rsidR="001E6773" w:rsidRPr="003D0138" w:rsidRDefault="001E6773" w:rsidP="000A268E">
            <w:pPr>
              <w:pStyle w:val="EEAtableleft"/>
              <w:rPr>
                <w:lang w:val="en-US"/>
              </w:rPr>
            </w:pPr>
            <w:r>
              <w:rPr>
                <w:lang w:val="en-US"/>
              </w:rPr>
              <w:t>Plot sizes (</w:t>
            </w:r>
            <w:r w:rsidRPr="003D0138">
              <w:rPr>
                <w:lang w:val="en-US"/>
              </w:rPr>
              <w:t xml:space="preserve">Stroosnijder </w:t>
            </w:r>
            <w:r>
              <w:rPr>
                <w:lang w:val="en-US"/>
              </w:rPr>
              <w:t>2005):</w:t>
            </w:r>
            <w:r w:rsidRPr="003D0138">
              <w:rPr>
                <w:lang w:val="en-US"/>
              </w:rPr>
              <w:t xml:space="preserve"> 3–25 m </w:t>
            </w:r>
            <w:r>
              <w:rPr>
                <w:lang w:val="en-US"/>
              </w:rPr>
              <w:t>(width) x</w:t>
            </w:r>
            <w:r w:rsidRPr="003D0138">
              <w:rPr>
                <w:lang w:val="en-US"/>
              </w:rPr>
              <w:t xml:space="preserve"> 10–25 m </w:t>
            </w:r>
            <w:r>
              <w:rPr>
                <w:lang w:val="en-US"/>
              </w:rPr>
              <w:t xml:space="preserve"> (length), &gt; 3</w:t>
            </w:r>
            <w:r w:rsidRPr="003D0138">
              <w:rPr>
                <w:lang w:val="en-US"/>
              </w:rPr>
              <w:t xml:space="preserve"> replicated plots</w:t>
            </w:r>
          </w:p>
        </w:tc>
        <w:tc>
          <w:tcPr>
            <w:tcW w:w="2976" w:type="dxa"/>
            <w:vAlign w:val="center"/>
          </w:tcPr>
          <w:p w14:paraId="294413ED" w14:textId="77777777" w:rsidR="001E6773" w:rsidRDefault="001E6773" w:rsidP="000A268E">
            <w:pPr>
              <w:pStyle w:val="EEAtableleft"/>
              <w:rPr>
                <w:lang w:val="en-US"/>
              </w:rPr>
            </w:pPr>
            <w:r w:rsidRPr="00471A33">
              <w:rPr>
                <w:lang w:val="en-US"/>
              </w:rPr>
              <w:t>Overland flow and sediment measured</w:t>
            </w:r>
            <w:r>
              <w:rPr>
                <w:lang w:val="en-US"/>
              </w:rPr>
              <w:t xml:space="preserve"> </w:t>
            </w:r>
            <w:r w:rsidRPr="00664C1B">
              <w:rPr>
                <w:lang w:val="en-US"/>
              </w:rPr>
              <w:t>(collection tanks, and cumulative mechanical stage height counters; splash cups; bottles for creep in wind erosion</w:t>
            </w:r>
            <w:r>
              <w:rPr>
                <w:lang w:val="en-US"/>
              </w:rPr>
              <w:t>); rainfall simulators</w:t>
            </w:r>
          </w:p>
          <w:p w14:paraId="33BD2D1C" w14:textId="627AF820" w:rsidR="001E6773" w:rsidRPr="00471A33" w:rsidRDefault="001E6773" w:rsidP="000A268E">
            <w:pPr>
              <w:pStyle w:val="EEAtableleft"/>
              <w:rPr>
                <w:lang w:val="en-US"/>
              </w:rPr>
            </w:pPr>
            <w:r>
              <w:rPr>
                <w:lang w:val="en-US"/>
              </w:rPr>
              <w:t xml:space="preserve">Plot size: </w:t>
            </w:r>
            <w:r w:rsidRPr="009D6C25">
              <w:rPr>
                <w:lang w:val="en-US"/>
              </w:rPr>
              <w:t>0.001–0.1 ha</w:t>
            </w:r>
            <w:r w:rsidR="000A268E" w:rsidRPr="000A268E">
              <w:rPr>
                <w:b/>
                <w:vertAlign w:val="superscript"/>
                <w:lang w:val="en-US"/>
              </w:rPr>
              <w:t>(</w:t>
            </w:r>
            <w:r w:rsidRPr="000A268E">
              <w:rPr>
                <w:b/>
                <w:bCs/>
                <w:vertAlign w:val="superscript"/>
                <w:lang w:val="en-US"/>
              </w:rPr>
              <w:t>3)</w:t>
            </w:r>
          </w:p>
        </w:tc>
      </w:tr>
      <w:tr w:rsidR="001E6773" w14:paraId="0C9454D7" w14:textId="77777777" w:rsidTr="000A268E">
        <w:trPr>
          <w:jc w:val="center"/>
        </w:trPr>
        <w:tc>
          <w:tcPr>
            <w:tcW w:w="1838" w:type="dxa"/>
            <w:vAlign w:val="center"/>
          </w:tcPr>
          <w:p w14:paraId="54ED5414" w14:textId="77777777" w:rsidR="001E6773" w:rsidRPr="000A268E" w:rsidRDefault="001E6773" w:rsidP="00653937">
            <w:pPr>
              <w:pStyle w:val="EEAtableleftbold"/>
              <w:rPr>
                <w:lang w:val="en-US"/>
              </w:rPr>
            </w:pPr>
            <w:r w:rsidRPr="000A268E">
              <w:rPr>
                <w:lang w:val="en-US"/>
              </w:rPr>
              <w:t>Vegetation</w:t>
            </w:r>
          </w:p>
        </w:tc>
        <w:tc>
          <w:tcPr>
            <w:tcW w:w="2268" w:type="dxa"/>
            <w:vAlign w:val="center"/>
          </w:tcPr>
          <w:p w14:paraId="2FBF73E2" w14:textId="77777777" w:rsidR="001E6773" w:rsidRPr="00471A33" w:rsidRDefault="001E6773" w:rsidP="000A268E">
            <w:pPr>
              <w:pStyle w:val="EEAtableleft"/>
              <w:rPr>
                <w:lang w:val="en-US"/>
              </w:rPr>
            </w:pPr>
            <w:r>
              <w:rPr>
                <w:lang w:val="en-US"/>
              </w:rPr>
              <w:t>P</w:t>
            </w:r>
            <w:r w:rsidRPr="00471A33">
              <w:rPr>
                <w:lang w:val="en-US"/>
              </w:rPr>
              <w:t xml:space="preserve">ercentage of total plant cover </w:t>
            </w:r>
          </w:p>
        </w:tc>
        <w:tc>
          <w:tcPr>
            <w:tcW w:w="5528" w:type="dxa"/>
            <w:gridSpan w:val="2"/>
            <w:vAlign w:val="center"/>
          </w:tcPr>
          <w:p w14:paraId="5ECD7F2A" w14:textId="77777777" w:rsidR="001E6773" w:rsidRPr="00471A33" w:rsidRDefault="001E6773" w:rsidP="000A268E">
            <w:pPr>
              <w:pStyle w:val="EEAtableleft"/>
              <w:rPr>
                <w:lang w:val="en-US"/>
              </w:rPr>
            </w:pPr>
            <w:r>
              <w:rPr>
                <w:lang w:val="en-US"/>
              </w:rPr>
              <w:t>P</w:t>
            </w:r>
            <w:r w:rsidRPr="00471A33">
              <w:rPr>
                <w:lang w:val="en-US"/>
              </w:rPr>
              <w:t xml:space="preserve">ercentage </w:t>
            </w:r>
            <w:r>
              <w:rPr>
                <w:lang w:val="en-US"/>
              </w:rPr>
              <w:t xml:space="preserve">area, and time (season, length) </w:t>
            </w:r>
            <w:r w:rsidRPr="00471A33">
              <w:rPr>
                <w:lang w:val="en-US"/>
              </w:rPr>
              <w:t xml:space="preserve">of </w:t>
            </w:r>
            <w:r>
              <w:rPr>
                <w:lang w:val="en-US"/>
              </w:rPr>
              <w:t>un</w:t>
            </w:r>
            <w:r w:rsidRPr="00471A33">
              <w:rPr>
                <w:lang w:val="en-US"/>
              </w:rPr>
              <w:t>cover</w:t>
            </w:r>
            <w:r>
              <w:rPr>
                <w:lang w:val="en-US"/>
              </w:rPr>
              <w:t>ed soil</w:t>
            </w:r>
            <w:r w:rsidRPr="00471A33">
              <w:rPr>
                <w:lang w:val="en-US"/>
              </w:rPr>
              <w:t xml:space="preserve"> </w:t>
            </w:r>
            <w:r>
              <w:rPr>
                <w:lang w:val="en-US"/>
              </w:rPr>
              <w:t>V</w:t>
            </w:r>
            <w:r w:rsidRPr="00471A33">
              <w:rPr>
                <w:lang w:val="en-US"/>
              </w:rPr>
              <w:t>egetation height</w:t>
            </w:r>
            <w:r>
              <w:rPr>
                <w:lang w:val="en-US"/>
              </w:rPr>
              <w:t xml:space="preserve"> (as a proxy for rooting intensity) </w:t>
            </w:r>
            <w:r w:rsidRPr="00664C1B">
              <w:rPr>
                <w:lang w:val="en-US"/>
              </w:rPr>
              <w:t>(lichens, mosses, herbaceous and shrub canopy, litter cover and bare soil</w:t>
            </w:r>
            <w:r>
              <w:rPr>
                <w:lang w:val="en-US"/>
              </w:rPr>
              <w:t>)</w:t>
            </w:r>
          </w:p>
        </w:tc>
      </w:tr>
      <w:tr w:rsidR="001E6773" w14:paraId="36AE6E8F" w14:textId="77777777" w:rsidTr="000A268E">
        <w:trPr>
          <w:jc w:val="center"/>
        </w:trPr>
        <w:tc>
          <w:tcPr>
            <w:tcW w:w="1838" w:type="dxa"/>
            <w:vAlign w:val="center"/>
          </w:tcPr>
          <w:p w14:paraId="318762C5" w14:textId="77777777" w:rsidR="001E6773" w:rsidRPr="000A268E" w:rsidRDefault="001E6773" w:rsidP="00653937">
            <w:pPr>
              <w:pStyle w:val="EEAtableleftbold"/>
              <w:rPr>
                <w:lang w:val="en-US"/>
              </w:rPr>
            </w:pPr>
            <w:r w:rsidRPr="000A268E">
              <w:rPr>
                <w:lang w:val="en-US"/>
              </w:rPr>
              <w:t>Site</w:t>
            </w:r>
          </w:p>
        </w:tc>
        <w:tc>
          <w:tcPr>
            <w:tcW w:w="7796" w:type="dxa"/>
            <w:gridSpan w:val="3"/>
            <w:vAlign w:val="center"/>
          </w:tcPr>
          <w:p w14:paraId="31E4EEEB" w14:textId="77777777" w:rsidR="001E6773" w:rsidRPr="00471A33" w:rsidRDefault="001E6773" w:rsidP="000A268E">
            <w:pPr>
              <w:pStyle w:val="EEAtableleft"/>
              <w:rPr>
                <w:lang w:val="en-US"/>
              </w:rPr>
            </w:pPr>
            <w:r>
              <w:rPr>
                <w:lang w:val="en-US"/>
              </w:rPr>
              <w:t>S</w:t>
            </w:r>
            <w:r w:rsidRPr="00471A33">
              <w:rPr>
                <w:lang w:val="en-US"/>
              </w:rPr>
              <w:t>oil surface: curvature, slope</w:t>
            </w:r>
            <w:r>
              <w:rPr>
                <w:lang w:val="en-US"/>
              </w:rPr>
              <w:t xml:space="preserve"> gradient</w:t>
            </w:r>
            <w:r w:rsidRPr="00471A33">
              <w:rPr>
                <w:lang w:val="en-US"/>
              </w:rPr>
              <w:t xml:space="preserve">, </w:t>
            </w:r>
            <w:r>
              <w:rPr>
                <w:lang w:val="en-US"/>
              </w:rPr>
              <w:t>exposition</w:t>
            </w:r>
          </w:p>
        </w:tc>
      </w:tr>
      <w:tr w:rsidR="001E6773" w14:paraId="6A22E971" w14:textId="77777777" w:rsidTr="000A268E">
        <w:trPr>
          <w:trHeight w:val="987"/>
          <w:jc w:val="center"/>
        </w:trPr>
        <w:tc>
          <w:tcPr>
            <w:tcW w:w="1838" w:type="dxa"/>
            <w:vMerge w:val="restart"/>
            <w:vAlign w:val="center"/>
          </w:tcPr>
          <w:p w14:paraId="5CD43ED6" w14:textId="77777777" w:rsidR="001E6773" w:rsidRPr="000A268E" w:rsidRDefault="001E6773" w:rsidP="00653937">
            <w:pPr>
              <w:pStyle w:val="EEAtableleftbold"/>
              <w:rPr>
                <w:lang w:val="en-US"/>
              </w:rPr>
            </w:pPr>
            <w:r w:rsidRPr="000A268E">
              <w:rPr>
                <w:lang w:val="en-US"/>
              </w:rPr>
              <w:t>Soil</w:t>
            </w:r>
          </w:p>
        </w:tc>
        <w:tc>
          <w:tcPr>
            <w:tcW w:w="2268" w:type="dxa"/>
            <w:vMerge w:val="restart"/>
            <w:vAlign w:val="center"/>
          </w:tcPr>
          <w:p w14:paraId="557B7E3E" w14:textId="77777777" w:rsidR="001E6773" w:rsidRDefault="001E6773" w:rsidP="000A268E">
            <w:pPr>
              <w:pStyle w:val="EEAtableleft"/>
              <w:rPr>
                <w:lang w:val="en-US"/>
              </w:rPr>
            </w:pPr>
            <w:r w:rsidRPr="000C21D2">
              <w:rPr>
                <w:u w:val="single"/>
                <w:lang w:val="en-US"/>
              </w:rPr>
              <w:t>Estimated</w:t>
            </w:r>
            <w:r>
              <w:rPr>
                <w:lang w:val="en-US"/>
              </w:rPr>
              <w:t xml:space="preserve"> soil properties (augers) </w:t>
            </w:r>
          </w:p>
          <w:p w14:paraId="7DA6FCF1" w14:textId="77777777" w:rsidR="001E6773" w:rsidRDefault="001E6773" w:rsidP="000A268E">
            <w:pPr>
              <w:pStyle w:val="EEAtableleft"/>
              <w:rPr>
                <w:lang w:val="en-US"/>
              </w:rPr>
            </w:pPr>
            <w:r>
              <w:rPr>
                <w:lang w:val="en-US"/>
              </w:rPr>
              <w:t>(</w:t>
            </w:r>
            <w:r w:rsidRPr="000C21D2">
              <w:rPr>
                <w:lang w:val="en-US"/>
              </w:rPr>
              <w:t>grain size distribution, bulk density and porosity, soil resistance, soil organic matter, stoniness, soil moisture</w:t>
            </w:r>
            <w:r>
              <w:rPr>
                <w:lang w:val="en-US"/>
              </w:rPr>
              <w:t>)</w:t>
            </w:r>
          </w:p>
        </w:tc>
        <w:tc>
          <w:tcPr>
            <w:tcW w:w="2552" w:type="dxa"/>
            <w:vAlign w:val="center"/>
          </w:tcPr>
          <w:p w14:paraId="0A42A363" w14:textId="77777777" w:rsidR="001E6773" w:rsidRPr="00471A33" w:rsidRDefault="001E6773" w:rsidP="000A268E">
            <w:pPr>
              <w:pStyle w:val="EEAtableleft"/>
              <w:rPr>
                <w:lang w:val="en-US"/>
              </w:rPr>
            </w:pPr>
            <w:r w:rsidRPr="000C21D2">
              <w:rPr>
                <w:u w:val="single"/>
                <w:lang w:val="en-US"/>
              </w:rPr>
              <w:t>Measured</w:t>
            </w:r>
            <w:r>
              <w:rPr>
                <w:lang w:val="en-US"/>
              </w:rPr>
              <w:t xml:space="preserve"> soil properties (topsoil)</w:t>
            </w:r>
          </w:p>
        </w:tc>
        <w:tc>
          <w:tcPr>
            <w:tcW w:w="2976" w:type="dxa"/>
            <w:vAlign w:val="center"/>
          </w:tcPr>
          <w:p w14:paraId="3982CDEE" w14:textId="77777777" w:rsidR="001E6773" w:rsidRPr="00471A33" w:rsidRDefault="001E6773" w:rsidP="000A268E">
            <w:pPr>
              <w:pStyle w:val="EEAtableleft"/>
              <w:rPr>
                <w:lang w:val="en-US"/>
              </w:rPr>
            </w:pPr>
            <w:r w:rsidRPr="000C21D2">
              <w:rPr>
                <w:u w:val="single"/>
                <w:lang w:val="en-US"/>
              </w:rPr>
              <w:t>Measured</w:t>
            </w:r>
            <w:r>
              <w:rPr>
                <w:lang w:val="en-US"/>
              </w:rPr>
              <w:t xml:space="preserve"> soil properties (topsoil and subsoil)</w:t>
            </w:r>
          </w:p>
        </w:tc>
      </w:tr>
      <w:tr w:rsidR="001E6773" w14:paraId="067024C8" w14:textId="77777777" w:rsidTr="000A268E">
        <w:trPr>
          <w:jc w:val="center"/>
        </w:trPr>
        <w:tc>
          <w:tcPr>
            <w:tcW w:w="1838" w:type="dxa"/>
            <w:vMerge/>
            <w:vAlign w:val="center"/>
          </w:tcPr>
          <w:p w14:paraId="586286EA" w14:textId="77777777" w:rsidR="001E6773" w:rsidRPr="000A268E" w:rsidRDefault="001E6773" w:rsidP="00653937">
            <w:pPr>
              <w:pStyle w:val="EEAtableleftbold"/>
              <w:rPr>
                <w:lang w:val="en-US"/>
              </w:rPr>
            </w:pPr>
          </w:p>
        </w:tc>
        <w:tc>
          <w:tcPr>
            <w:tcW w:w="2268" w:type="dxa"/>
            <w:vMerge/>
            <w:vAlign w:val="center"/>
          </w:tcPr>
          <w:p w14:paraId="56DEAA4E" w14:textId="77777777" w:rsidR="001E6773" w:rsidRPr="00471A33" w:rsidRDefault="001E6773" w:rsidP="000A268E">
            <w:pPr>
              <w:pStyle w:val="EEAtableleft"/>
              <w:rPr>
                <w:lang w:val="en-US"/>
              </w:rPr>
            </w:pPr>
          </w:p>
        </w:tc>
        <w:tc>
          <w:tcPr>
            <w:tcW w:w="5528" w:type="dxa"/>
            <w:gridSpan w:val="2"/>
            <w:vAlign w:val="center"/>
          </w:tcPr>
          <w:p w14:paraId="3738505F" w14:textId="77777777" w:rsidR="001E6773" w:rsidRPr="00471A33" w:rsidRDefault="001E6773" w:rsidP="000A268E">
            <w:pPr>
              <w:pStyle w:val="EEAtableleft"/>
              <w:rPr>
                <w:lang w:val="en-US"/>
              </w:rPr>
            </w:pPr>
            <w:r>
              <w:rPr>
                <w:lang w:val="en-US"/>
              </w:rPr>
              <w:t>Soil profile description/soil type</w:t>
            </w:r>
          </w:p>
        </w:tc>
      </w:tr>
      <w:tr w:rsidR="001E6773" w14:paraId="77FE23CA" w14:textId="77777777" w:rsidTr="000A268E">
        <w:trPr>
          <w:jc w:val="center"/>
        </w:trPr>
        <w:tc>
          <w:tcPr>
            <w:tcW w:w="1838" w:type="dxa"/>
            <w:vAlign w:val="center"/>
          </w:tcPr>
          <w:p w14:paraId="173FBF16" w14:textId="77777777" w:rsidR="001E6773" w:rsidRPr="000A268E" w:rsidRDefault="001E6773" w:rsidP="00653937">
            <w:pPr>
              <w:pStyle w:val="EEAtableleftbold"/>
              <w:rPr>
                <w:lang w:val="en-US"/>
              </w:rPr>
            </w:pPr>
            <w:r w:rsidRPr="000A268E">
              <w:rPr>
                <w:lang w:val="en-US"/>
              </w:rPr>
              <w:t xml:space="preserve">Weather </w:t>
            </w:r>
          </w:p>
        </w:tc>
        <w:tc>
          <w:tcPr>
            <w:tcW w:w="4820" w:type="dxa"/>
            <w:gridSpan w:val="2"/>
            <w:vAlign w:val="center"/>
          </w:tcPr>
          <w:p w14:paraId="03926BD7" w14:textId="77777777" w:rsidR="001E6773" w:rsidRDefault="001E6773" w:rsidP="000A268E">
            <w:pPr>
              <w:pStyle w:val="EEAtableleft"/>
              <w:rPr>
                <w:lang w:val="en-US"/>
              </w:rPr>
            </w:pPr>
            <w:r>
              <w:rPr>
                <w:lang w:val="en-US"/>
              </w:rPr>
              <w:t>R</w:t>
            </w:r>
            <w:r w:rsidRPr="00471A33">
              <w:rPr>
                <w:lang w:val="en-US"/>
              </w:rPr>
              <w:t>ainfall and temperature, from the nearest weather station</w:t>
            </w:r>
            <w:r>
              <w:rPr>
                <w:lang w:val="en-US"/>
              </w:rPr>
              <w:t>;</w:t>
            </w:r>
          </w:p>
          <w:p w14:paraId="233FB71A" w14:textId="77777777" w:rsidR="001E6773" w:rsidRDefault="001E6773" w:rsidP="000A268E">
            <w:pPr>
              <w:pStyle w:val="EEAtableleft"/>
              <w:rPr>
                <w:lang w:val="en-US"/>
              </w:rPr>
            </w:pPr>
            <w:r>
              <w:rPr>
                <w:lang w:val="en-US"/>
              </w:rPr>
              <w:t>Radar-meteorological data (e.g. RADOLAN, see also</w:t>
            </w:r>
            <w:r>
              <w:t xml:space="preserve"> </w:t>
            </w:r>
            <w:r w:rsidRPr="00575E0F">
              <w:rPr>
                <w:lang w:val="en-US"/>
              </w:rPr>
              <w:t>Auerswald et al. 2019</w:t>
            </w:r>
            <w:r>
              <w:rPr>
                <w:lang w:val="en-US"/>
              </w:rPr>
              <w:t xml:space="preserve"> and others)</w:t>
            </w:r>
          </w:p>
        </w:tc>
        <w:tc>
          <w:tcPr>
            <w:tcW w:w="2976" w:type="dxa"/>
            <w:vAlign w:val="center"/>
          </w:tcPr>
          <w:p w14:paraId="5E60296D" w14:textId="77777777" w:rsidR="001E6773" w:rsidRDefault="001E6773" w:rsidP="000A268E">
            <w:pPr>
              <w:pStyle w:val="EEAtableleft"/>
              <w:rPr>
                <w:lang w:val="en-US"/>
              </w:rPr>
            </w:pPr>
            <w:r>
              <w:rPr>
                <w:lang w:val="en-US"/>
              </w:rPr>
              <w:t>Continuous monitoring: r</w:t>
            </w:r>
            <w:r w:rsidRPr="00471A33">
              <w:rPr>
                <w:lang w:val="en-US"/>
              </w:rPr>
              <w:t>ainfall</w:t>
            </w:r>
            <w:r>
              <w:rPr>
                <w:lang w:val="en-US"/>
              </w:rPr>
              <w:t>,</w:t>
            </w:r>
            <w:r w:rsidRPr="00471A33">
              <w:rPr>
                <w:lang w:val="en-US"/>
              </w:rPr>
              <w:t xml:space="preserve"> temperature</w:t>
            </w:r>
            <w:r>
              <w:rPr>
                <w:lang w:val="en-US"/>
              </w:rPr>
              <w:t xml:space="preserve">, soil moisture </w:t>
            </w:r>
          </w:p>
          <w:p w14:paraId="2A22114B" w14:textId="77777777" w:rsidR="001E6773" w:rsidRPr="00471A33" w:rsidRDefault="001E6773" w:rsidP="000A268E">
            <w:pPr>
              <w:pStyle w:val="EEAtableleft"/>
              <w:rPr>
                <w:lang w:val="en-US"/>
              </w:rPr>
            </w:pPr>
            <w:r>
              <w:rPr>
                <w:lang w:val="en-US"/>
              </w:rPr>
              <w:t>E</w:t>
            </w:r>
            <w:r w:rsidRPr="00855EB8">
              <w:rPr>
                <w:lang w:val="en-US"/>
              </w:rPr>
              <w:t>rosive rainfall events</w:t>
            </w:r>
            <w:r>
              <w:rPr>
                <w:lang w:val="en-US"/>
              </w:rPr>
              <w:t xml:space="preserve"> (date, duration, mm/m</w:t>
            </w:r>
            <w:r w:rsidRPr="00855EB8">
              <w:rPr>
                <w:vertAlign w:val="superscript"/>
                <w:lang w:val="en-US"/>
              </w:rPr>
              <w:t>2</w:t>
            </w:r>
            <w:r>
              <w:rPr>
                <w:lang w:val="en-US"/>
              </w:rPr>
              <w:t>); temporal resolution: at least 5 minutes</w:t>
            </w:r>
          </w:p>
        </w:tc>
      </w:tr>
      <w:tr w:rsidR="001E6773" w14:paraId="478D7062" w14:textId="77777777" w:rsidTr="000A268E">
        <w:trPr>
          <w:jc w:val="center"/>
        </w:trPr>
        <w:tc>
          <w:tcPr>
            <w:tcW w:w="1838" w:type="dxa"/>
            <w:vAlign w:val="center"/>
          </w:tcPr>
          <w:p w14:paraId="6BAFE967" w14:textId="77777777" w:rsidR="001E6773" w:rsidRPr="000A268E" w:rsidRDefault="001E6773" w:rsidP="00653937">
            <w:pPr>
              <w:pStyle w:val="EEAtableleftbold"/>
              <w:rPr>
                <w:lang w:val="en-US"/>
              </w:rPr>
            </w:pPr>
            <w:r w:rsidRPr="000A268E">
              <w:rPr>
                <w:lang w:val="en-US"/>
              </w:rPr>
              <w:t>Seasonality of damage mapping</w:t>
            </w:r>
          </w:p>
        </w:tc>
        <w:tc>
          <w:tcPr>
            <w:tcW w:w="2268" w:type="dxa"/>
            <w:vAlign w:val="center"/>
          </w:tcPr>
          <w:p w14:paraId="5699F958" w14:textId="77777777" w:rsidR="001E6773" w:rsidRPr="00C93A26" w:rsidRDefault="001E6773" w:rsidP="000A268E">
            <w:pPr>
              <w:pStyle w:val="EEAtableleft"/>
              <w:rPr>
                <w:lang w:val="en-US"/>
              </w:rPr>
            </w:pPr>
            <w:r>
              <w:rPr>
                <w:lang w:val="en-US"/>
              </w:rPr>
              <w:t>End</w:t>
            </w:r>
            <w:r w:rsidRPr="00471A33">
              <w:rPr>
                <w:lang w:val="en-US"/>
              </w:rPr>
              <w:t xml:space="preserve"> of the dry and wet seasons</w:t>
            </w:r>
            <w:r w:rsidRPr="00C82481">
              <w:rPr>
                <w:lang w:val="en-US"/>
              </w:rPr>
              <w:t xml:space="preserve"> </w:t>
            </w:r>
          </w:p>
        </w:tc>
        <w:tc>
          <w:tcPr>
            <w:tcW w:w="5528" w:type="dxa"/>
            <w:gridSpan w:val="2"/>
            <w:vAlign w:val="center"/>
          </w:tcPr>
          <w:p w14:paraId="6BFF9895" w14:textId="77777777" w:rsidR="001E6773" w:rsidRPr="00471A33" w:rsidRDefault="001E6773" w:rsidP="000A268E">
            <w:pPr>
              <w:pStyle w:val="EEAtableleft"/>
              <w:rPr>
                <w:lang w:val="en-US"/>
              </w:rPr>
            </w:pPr>
            <w:r>
              <w:rPr>
                <w:lang w:val="en-US"/>
              </w:rPr>
              <w:t>A</w:t>
            </w:r>
            <w:r w:rsidRPr="00C82481">
              <w:rPr>
                <w:lang w:val="en-US"/>
              </w:rPr>
              <w:t xml:space="preserve">fter every erosive </w:t>
            </w:r>
            <w:r>
              <w:rPr>
                <w:lang w:val="en-US"/>
              </w:rPr>
              <w:t>rainfall,</w:t>
            </w:r>
            <w:r w:rsidRPr="00C82481">
              <w:rPr>
                <w:lang w:val="en-US"/>
              </w:rPr>
              <w:t xml:space="preserve"> snow melt</w:t>
            </w:r>
            <w:r>
              <w:rPr>
                <w:lang w:val="en-US"/>
              </w:rPr>
              <w:t xml:space="preserve"> and at the begin of the vegetation period</w:t>
            </w:r>
          </w:p>
        </w:tc>
      </w:tr>
      <w:tr w:rsidR="001E6773" w14:paraId="05FE596A" w14:textId="77777777" w:rsidTr="000A268E">
        <w:trPr>
          <w:jc w:val="center"/>
        </w:trPr>
        <w:tc>
          <w:tcPr>
            <w:tcW w:w="1838" w:type="dxa"/>
            <w:vAlign w:val="center"/>
          </w:tcPr>
          <w:p w14:paraId="181D3AF1" w14:textId="77777777" w:rsidR="001E6773" w:rsidRPr="000A268E" w:rsidRDefault="001E6773" w:rsidP="00653937">
            <w:pPr>
              <w:pStyle w:val="EEAtableleftbold"/>
              <w:rPr>
                <w:lang w:val="en-US"/>
              </w:rPr>
            </w:pPr>
            <w:r w:rsidRPr="000A268E">
              <w:rPr>
                <w:lang w:val="en-US"/>
              </w:rPr>
              <w:t>Modelling</w:t>
            </w:r>
          </w:p>
        </w:tc>
        <w:tc>
          <w:tcPr>
            <w:tcW w:w="7796" w:type="dxa"/>
            <w:gridSpan w:val="3"/>
            <w:vAlign w:val="center"/>
          </w:tcPr>
          <w:p w14:paraId="346AF323" w14:textId="77777777" w:rsidR="001E6773" w:rsidRPr="00471A33" w:rsidRDefault="001E6773" w:rsidP="000A268E">
            <w:pPr>
              <w:pStyle w:val="EEAtableleft"/>
              <w:rPr>
                <w:lang w:val="en-US"/>
              </w:rPr>
            </w:pPr>
            <w:r w:rsidRPr="00471A33">
              <w:rPr>
                <w:lang w:val="en-US"/>
              </w:rPr>
              <w:t>U</w:t>
            </w:r>
            <w:r>
              <w:rPr>
                <w:lang w:val="en-US"/>
              </w:rPr>
              <w:t>p</w:t>
            </w:r>
            <w:r w:rsidRPr="00471A33">
              <w:rPr>
                <w:lang w:val="en-US"/>
              </w:rPr>
              <w:t>scaling, validation, calibration, uncertainties, representativity gaps, geospatial erosion statistics</w:t>
            </w:r>
            <w:r>
              <w:rPr>
                <w:lang w:val="en-US"/>
              </w:rPr>
              <w:t xml:space="preserve">: </w:t>
            </w:r>
            <w:r w:rsidRPr="00354DB5">
              <w:rPr>
                <w:lang w:val="en-US"/>
              </w:rPr>
              <w:t>Universal Soil Loss Equation (USLE), Revised Universal Soil Loss Equation (RUSLE)</w:t>
            </w:r>
            <w:r>
              <w:rPr>
                <w:lang w:val="en-US"/>
              </w:rPr>
              <w:t xml:space="preserve">, </w:t>
            </w:r>
            <w:r w:rsidRPr="00354DB5">
              <w:rPr>
                <w:lang w:val="en-US"/>
              </w:rPr>
              <w:t>Water Erosion Prediction Project (WEPP)</w:t>
            </w:r>
          </w:p>
        </w:tc>
      </w:tr>
    </w:tbl>
    <w:p w14:paraId="46AD775F" w14:textId="546AC4BA" w:rsidR="001E6773" w:rsidRPr="006B1CBB" w:rsidRDefault="000A268E" w:rsidP="001C6C1E">
      <w:pPr>
        <w:pStyle w:val="EEASource"/>
        <w:rPr>
          <w:lang w:val="en-US"/>
        </w:rPr>
      </w:pPr>
      <w:r w:rsidRPr="000A268E">
        <w:rPr>
          <w:b/>
          <w:bCs/>
          <w:lang w:val="en-US"/>
        </w:rPr>
        <w:t>Note:</w:t>
      </w:r>
      <w:r>
        <w:rPr>
          <w:b/>
          <w:bCs/>
          <w:vertAlign w:val="superscript"/>
          <w:lang w:val="en-US"/>
        </w:rPr>
        <w:t xml:space="preserve"> </w:t>
      </w:r>
      <w:r>
        <w:rPr>
          <w:b/>
          <w:bCs/>
          <w:vertAlign w:val="superscript"/>
          <w:lang w:val="en-US"/>
        </w:rPr>
        <w:tab/>
        <w:t>(</w:t>
      </w:r>
      <w:r w:rsidR="001E6773" w:rsidRPr="006562E7">
        <w:rPr>
          <w:b/>
          <w:bCs/>
          <w:vertAlign w:val="superscript"/>
          <w:lang w:val="en-US"/>
        </w:rPr>
        <w:t>1)</w:t>
      </w:r>
      <w:r w:rsidR="001E6773">
        <w:rPr>
          <w:lang w:val="en-US"/>
        </w:rPr>
        <w:t xml:space="preserve"> in areas with potential erosion problems (potential susceptibility for soil loss from water erosion); plots are</w:t>
      </w:r>
      <w:r w:rsidR="001E6773" w:rsidRPr="003E05E5">
        <w:t xml:space="preserve"> </w:t>
      </w:r>
      <w:r w:rsidR="001E6773" w:rsidRPr="003E05E5">
        <w:rPr>
          <w:lang w:val="en-US"/>
        </w:rPr>
        <w:t xml:space="preserve">useful </w:t>
      </w:r>
      <w:r w:rsidR="001E6773">
        <w:rPr>
          <w:lang w:val="en-US"/>
        </w:rPr>
        <w:t>to study differences in erosion among fields and agricultural practices , especially</w:t>
      </w:r>
      <w:r w:rsidR="001E6773" w:rsidRPr="003E05E5">
        <w:rPr>
          <w:lang w:val="en-US"/>
        </w:rPr>
        <w:t xml:space="preserve"> rill and interrill</w:t>
      </w:r>
      <w:r w:rsidR="001E6773">
        <w:rPr>
          <w:lang w:val="en-US"/>
        </w:rPr>
        <w:t xml:space="preserve"> </w:t>
      </w:r>
      <w:r w:rsidR="001E6773" w:rsidRPr="003E05E5">
        <w:rPr>
          <w:lang w:val="en-US"/>
        </w:rPr>
        <w:t>erosion</w:t>
      </w:r>
      <w:r w:rsidR="001E6773">
        <w:rPr>
          <w:lang w:val="en-US"/>
        </w:rPr>
        <w:t xml:space="preserve"> (Cerdan et al. 2010) and to calibrate models; they are less suitable to derive representative erosion rates over landscapes (Boardman and Evans 2019).</w:t>
      </w:r>
      <w:r>
        <w:rPr>
          <w:lang w:val="en-US"/>
        </w:rPr>
        <w:br/>
      </w:r>
      <w:r>
        <w:rPr>
          <w:b/>
          <w:bCs/>
          <w:vertAlign w:val="superscript"/>
          <w:lang w:val="en-US"/>
        </w:rPr>
        <w:t>(</w:t>
      </w:r>
      <w:r w:rsidR="001E6773">
        <w:rPr>
          <w:b/>
          <w:bCs/>
          <w:vertAlign w:val="superscript"/>
          <w:lang w:val="en-US"/>
        </w:rPr>
        <w:t>2</w:t>
      </w:r>
      <w:r w:rsidR="001E6773" w:rsidRPr="006562E7">
        <w:rPr>
          <w:b/>
          <w:bCs/>
          <w:vertAlign w:val="superscript"/>
          <w:lang w:val="en-US"/>
        </w:rPr>
        <w:t>)</w:t>
      </w:r>
      <w:r w:rsidR="001E6773">
        <w:rPr>
          <w:lang w:val="en-US"/>
        </w:rPr>
        <w:t xml:space="preserve"> </w:t>
      </w:r>
      <w:proofErr w:type="gramStart"/>
      <w:r w:rsidR="001E6773">
        <w:rPr>
          <w:lang w:val="en-US"/>
        </w:rPr>
        <w:t>s</w:t>
      </w:r>
      <w:r w:rsidR="001E6773" w:rsidRPr="006562E7">
        <w:rPr>
          <w:lang w:val="en-US"/>
        </w:rPr>
        <w:t>ee</w:t>
      </w:r>
      <w:proofErr w:type="gramEnd"/>
      <w:r w:rsidR="001E6773" w:rsidRPr="006562E7">
        <w:rPr>
          <w:lang w:val="en-US"/>
        </w:rPr>
        <w:t xml:space="preserve"> Jackson et al</w:t>
      </w:r>
      <w:r w:rsidR="001E6773">
        <w:rPr>
          <w:lang w:val="en-US"/>
        </w:rPr>
        <w:t>.</w:t>
      </w:r>
      <w:r w:rsidR="001E6773" w:rsidRPr="006562E7">
        <w:rPr>
          <w:lang w:val="en-US"/>
        </w:rPr>
        <w:t xml:space="preserve"> </w:t>
      </w:r>
      <w:r w:rsidR="001E6773">
        <w:rPr>
          <w:lang w:val="en-US"/>
        </w:rPr>
        <w:t>(</w:t>
      </w:r>
      <w:r w:rsidR="001E6773" w:rsidRPr="006562E7">
        <w:rPr>
          <w:lang w:val="en-US"/>
        </w:rPr>
        <w:t>1985</w:t>
      </w:r>
      <w:r w:rsidR="001E6773">
        <w:rPr>
          <w:lang w:val="en-US"/>
        </w:rPr>
        <w:t xml:space="preserve">), field guide for soil erosion see Mosiman and Sanders (2004), based on keys developed by Herweg (1996), work is usually supported by aerial photo interpretation. </w:t>
      </w:r>
      <w:r>
        <w:rPr>
          <w:lang w:val="en-US"/>
        </w:rPr>
        <w:br/>
      </w:r>
      <w:r w:rsidR="001E6773" w:rsidRPr="00094DD0">
        <w:rPr>
          <w:u w:val="single"/>
          <w:lang w:val="en-US"/>
        </w:rPr>
        <w:t>Timing of field work:</w:t>
      </w:r>
      <w:r w:rsidR="001E6773">
        <w:rPr>
          <w:lang w:val="en-US"/>
        </w:rPr>
        <w:t xml:space="preserve"> mapping of visible erosion features (</w:t>
      </w:r>
      <w:r w:rsidR="001E6773" w:rsidRPr="001F4741">
        <w:rPr>
          <w:lang w:val="en-US"/>
        </w:rPr>
        <w:t>(</w:t>
      </w:r>
      <w:r w:rsidR="001E6773">
        <w:rPr>
          <w:lang w:val="en-US"/>
        </w:rPr>
        <w:t>amount, width, depth, length) either after specified size of precipitation event (e.g. 10 mm/h), and/or once erosion features are visible. This means that Level II may need to be spatially flexible; howe</w:t>
      </w:r>
      <w:r w:rsidR="00560D27">
        <w:rPr>
          <w:lang w:val="en-US"/>
        </w:rPr>
        <w:t>ve</w:t>
      </w:r>
      <w:r w:rsidR="001E6773">
        <w:rPr>
          <w:lang w:val="en-US"/>
        </w:rPr>
        <w:t>r, also there, some statistical representativity for upscaling needs to be considered.</w:t>
      </w:r>
      <w:r>
        <w:rPr>
          <w:lang w:val="en-US"/>
        </w:rPr>
        <w:br/>
      </w:r>
      <w:r>
        <w:rPr>
          <w:b/>
          <w:bCs/>
          <w:vertAlign w:val="superscript"/>
          <w:lang w:val="en-US"/>
        </w:rPr>
        <w:t>(</w:t>
      </w:r>
      <w:r w:rsidR="001E6773">
        <w:rPr>
          <w:b/>
          <w:bCs/>
          <w:vertAlign w:val="superscript"/>
          <w:lang w:val="en-US"/>
        </w:rPr>
        <w:t>3</w:t>
      </w:r>
      <w:r w:rsidR="001E6773" w:rsidRPr="006562E7">
        <w:rPr>
          <w:b/>
          <w:bCs/>
          <w:vertAlign w:val="superscript"/>
          <w:lang w:val="en-US"/>
        </w:rPr>
        <w:t>)</w:t>
      </w:r>
      <w:r w:rsidR="001E6773">
        <w:rPr>
          <w:lang w:val="en-US"/>
        </w:rPr>
        <w:t xml:space="preserve"> Measurement of sediment flow at catchment outlet </w:t>
      </w:r>
      <w:r w:rsidR="001E6773" w:rsidRPr="006B1CBB">
        <w:rPr>
          <w:lang w:val="en-US"/>
        </w:rPr>
        <w:t>or hillslopes are not part of considerations here for large-scale (national and EU-wide) erosion monitoring</w:t>
      </w:r>
    </w:p>
    <w:p w14:paraId="07C94524" w14:textId="77777777" w:rsidR="001E6773" w:rsidRDefault="001E6773" w:rsidP="001E6773">
      <w:pPr>
        <w:rPr>
          <w:lang w:val="en-US"/>
        </w:rPr>
      </w:pPr>
    </w:p>
    <w:p w14:paraId="4F6E3072" w14:textId="3E321479" w:rsidR="001E6773" w:rsidRDefault="001E6773" w:rsidP="001E6773">
      <w:pPr>
        <w:rPr>
          <w:lang w:val="en-US"/>
        </w:rPr>
      </w:pPr>
      <w:r>
        <w:rPr>
          <w:lang w:val="en-US"/>
        </w:rPr>
        <w:t>LUCAS Soil is an example showcasing options for Level I monitoring. During the 2018 survey, a v</w:t>
      </w:r>
      <w:r w:rsidRPr="00882BFD">
        <w:rPr>
          <w:lang w:val="en-US"/>
        </w:rPr>
        <w:t>isual assessment of erosion</w:t>
      </w:r>
      <w:r>
        <w:rPr>
          <w:lang w:val="en-US"/>
        </w:rPr>
        <w:t xml:space="preserve"> features has been introduced. This includes morphological features such as </w:t>
      </w:r>
      <w:r w:rsidRPr="00882BFD">
        <w:rPr>
          <w:lang w:val="en-US"/>
        </w:rPr>
        <w:t>type of erosion (i.e. sheet, rill, gully, mass movement, re-deposition and wind erosion), number of rills or gullies</w:t>
      </w:r>
      <w:r>
        <w:rPr>
          <w:lang w:val="en-US"/>
        </w:rPr>
        <w:t xml:space="preserve">, as well as distance to the plot </w:t>
      </w:r>
      <w:r w:rsidR="009647C2">
        <w:rPr>
          <w:lang w:val="en-US"/>
        </w:rPr>
        <w:t>center</w:t>
      </w:r>
      <w:r>
        <w:rPr>
          <w:lang w:val="en-US"/>
        </w:rPr>
        <w:t xml:space="preserve">. </w:t>
      </w:r>
    </w:p>
    <w:p w14:paraId="5145725C" w14:textId="77777777" w:rsidR="001E6773" w:rsidRDefault="001E6773" w:rsidP="001E6773">
      <w:pPr>
        <w:rPr>
          <w:lang w:val="en-US"/>
        </w:rPr>
      </w:pPr>
    </w:p>
    <w:p w14:paraId="7041114E" w14:textId="77777777" w:rsidR="001E6773" w:rsidRDefault="001E6773" w:rsidP="001E6773">
      <w:pPr>
        <w:rPr>
          <w:lang w:val="en-US"/>
        </w:rPr>
      </w:pPr>
      <w:r>
        <w:rPr>
          <w:lang w:val="en-US"/>
        </w:rPr>
        <w:t xml:space="preserve">A good demonstration of erosion monitoring in the field has been presented by for a pilot area in Switzerland (Ledermann et al. 2010). The authors found that erosion </w:t>
      </w:r>
      <w:r w:rsidRPr="00B74339">
        <w:rPr>
          <w:lang w:val="en-US"/>
        </w:rPr>
        <w:t>damage mapping is well suited to assess</w:t>
      </w:r>
      <w:r>
        <w:rPr>
          <w:lang w:val="en-US"/>
        </w:rPr>
        <w:t xml:space="preserve"> </w:t>
      </w:r>
      <w:r w:rsidRPr="00B74339">
        <w:rPr>
          <w:lang w:val="en-US"/>
        </w:rPr>
        <w:t>rill erosion</w:t>
      </w:r>
      <w:r>
        <w:rPr>
          <w:lang w:val="en-US"/>
        </w:rPr>
        <w:t>.</w:t>
      </w:r>
    </w:p>
    <w:p w14:paraId="0B41CE08" w14:textId="77777777" w:rsidR="001E6773" w:rsidRDefault="001E6773" w:rsidP="001E6773">
      <w:pPr>
        <w:rPr>
          <w:lang w:val="en-US"/>
        </w:rPr>
      </w:pPr>
    </w:p>
    <w:p w14:paraId="7689C392" w14:textId="2D8869CD" w:rsidR="001E6773" w:rsidRDefault="001E6773" w:rsidP="001E6773">
      <w:pPr>
        <w:rPr>
          <w:lang w:val="en-US"/>
        </w:rPr>
      </w:pPr>
      <w:r>
        <w:rPr>
          <w:lang w:val="en-US"/>
        </w:rPr>
        <w:lastRenderedPageBreak/>
        <w:t>While soil erosivity can be monitored and updated based on changes in soil texture, bulk density and SOC, the dynamic aspect of the management factor remains a challenge</w:t>
      </w:r>
      <w:r w:rsidRPr="006D3E0F">
        <w:rPr>
          <w:lang w:val="en-US"/>
        </w:rPr>
        <w:t xml:space="preserve">. Vegetation </w:t>
      </w:r>
      <w:r>
        <w:rPr>
          <w:lang w:val="en-US"/>
        </w:rPr>
        <w:t>cover</w:t>
      </w:r>
      <w:r w:rsidRPr="006D3E0F">
        <w:rPr>
          <w:lang w:val="en-US"/>
        </w:rPr>
        <w:t xml:space="preserve"> </w:t>
      </w:r>
      <w:r>
        <w:rPr>
          <w:lang w:val="en-US"/>
        </w:rPr>
        <w:t xml:space="preserve">could be derived </w:t>
      </w:r>
      <w:r w:rsidRPr="006D3E0F">
        <w:rPr>
          <w:lang w:val="en-US"/>
        </w:rPr>
        <w:t>from remotely sensed vegetation indices</w:t>
      </w:r>
      <w:r>
        <w:rPr>
          <w:lang w:val="en-US"/>
        </w:rPr>
        <w:t xml:space="preserve"> (vegetation density). </w:t>
      </w:r>
      <w:r w:rsidRPr="00671A49">
        <w:rPr>
          <w:lang w:val="en-US"/>
        </w:rPr>
        <w:t>Airborne geophysical methods like gamma-ray spectrometry</w:t>
      </w:r>
      <w:r w:rsidRPr="006D3E0F">
        <w:rPr>
          <w:lang w:val="en-US"/>
        </w:rPr>
        <w:t xml:space="preserve"> </w:t>
      </w:r>
      <w:r>
        <w:rPr>
          <w:lang w:val="en-US"/>
        </w:rPr>
        <w:t xml:space="preserve">and satellite imagery can be </w:t>
      </w:r>
      <w:r w:rsidRPr="00DD460C">
        <w:rPr>
          <w:lang w:val="en-US"/>
        </w:rPr>
        <w:t xml:space="preserve">used to estimate </w:t>
      </w:r>
      <w:r>
        <w:rPr>
          <w:lang w:val="en-US"/>
        </w:rPr>
        <w:t xml:space="preserve">morphological </w:t>
      </w:r>
      <w:r w:rsidRPr="00DD460C">
        <w:rPr>
          <w:lang w:val="en-US"/>
        </w:rPr>
        <w:t xml:space="preserve">soil erosion </w:t>
      </w:r>
      <w:r>
        <w:rPr>
          <w:lang w:val="en-US"/>
        </w:rPr>
        <w:t xml:space="preserve">features, </w:t>
      </w:r>
      <w:r w:rsidRPr="006C4090">
        <w:rPr>
          <w:lang w:val="en-US"/>
        </w:rPr>
        <w:t>erosion areas and sediment accumulation sites</w:t>
      </w:r>
      <w:r w:rsidRPr="00DD460C">
        <w:rPr>
          <w:lang w:val="en-US"/>
        </w:rPr>
        <w:t xml:space="preserve">, </w:t>
      </w:r>
      <w:r>
        <w:rPr>
          <w:lang w:val="en-US"/>
        </w:rPr>
        <w:t>but also</w:t>
      </w:r>
      <w:r w:rsidRPr="00DD460C">
        <w:rPr>
          <w:lang w:val="en-US"/>
        </w:rPr>
        <w:t xml:space="preserve"> soil exposure (Xu et al., 2019)</w:t>
      </w:r>
      <w:r>
        <w:rPr>
          <w:lang w:val="en-US"/>
        </w:rPr>
        <w:t xml:space="preserve">. Examples and more details about the use of satellite imagery for monitoring erosion can be found in King et al. (2005), Sepuru (2018), and </w:t>
      </w:r>
      <w:r w:rsidRPr="0012257C">
        <w:rPr>
          <w:color w:val="000000" w:themeColor="text1"/>
          <w:lang w:val="en-US"/>
        </w:rPr>
        <w:t xml:space="preserve">Lukyanchuk et al. (2020). </w:t>
      </w:r>
    </w:p>
    <w:p w14:paraId="69938578" w14:textId="77777777" w:rsidR="001E6773" w:rsidRDefault="001E6773" w:rsidP="001E6773"/>
    <w:p w14:paraId="5B744CB8" w14:textId="77777777" w:rsidR="001E6773" w:rsidRDefault="001E6773" w:rsidP="001E6773">
      <w:pPr>
        <w:pStyle w:val="berschrift2"/>
      </w:pPr>
      <w:bookmarkStart w:id="357" w:name="_Toc55555069"/>
      <w:bookmarkStart w:id="358" w:name="_Toc63939982"/>
      <w:bookmarkStart w:id="359" w:name="_Ref64642014"/>
      <w:bookmarkStart w:id="360" w:name="_Toc83997391"/>
      <w:r w:rsidRPr="00F73B24">
        <w:t>Critical limits</w:t>
      </w:r>
      <w:bookmarkEnd w:id="357"/>
      <w:bookmarkEnd w:id="358"/>
      <w:bookmarkEnd w:id="359"/>
      <w:bookmarkEnd w:id="360"/>
    </w:p>
    <w:p w14:paraId="17B01FEA" w14:textId="77777777" w:rsidR="001E6773" w:rsidRDefault="001E6773" w:rsidP="001E6773"/>
    <w:p w14:paraId="5AC50B27" w14:textId="77777777" w:rsidR="001E6773" w:rsidRDefault="001E6773" w:rsidP="001E6773">
      <w:r>
        <w:t xml:space="preserve">Since it is almost impossible to stop soil erosion completely, the concept of </w:t>
      </w:r>
      <w:r w:rsidRPr="000F28A0">
        <w:rPr>
          <w:b/>
          <w:bCs/>
        </w:rPr>
        <w:t>soil loss tolerance</w:t>
      </w:r>
      <w:r>
        <w:t xml:space="preserve"> is used. Soil loss tolerance can be seen as the maximum acceptable rate of soil loss, which is theoretically equal to the natural rate of soil formation (Morgan, 1986). If </w:t>
      </w:r>
      <w:r w:rsidRPr="00C93A26">
        <w:t xml:space="preserve">soil loss remains below this threshold, soil management can be considered as sustainable with regard to erosion. </w:t>
      </w:r>
      <w:r w:rsidRPr="004245E6">
        <w:t xml:space="preserve">Natural rates of soil formation are variable and hard to measure. Morgan (1986) has proposed a commonly used mean soil loss tolerance of 11 t/ha for deeply developed soil. More recent knowledge has been developed which clearly concludes that this value cannot be considered a proper sustainability limit, at least for Europe (e.g. </w:t>
      </w:r>
      <w:r w:rsidRPr="00F00B8D">
        <w:t>Steinhoff-Knopp</w:t>
      </w:r>
      <w:r>
        <w:t xml:space="preserve"> et al. 2020). I</w:t>
      </w:r>
      <w:r w:rsidRPr="00C93A26">
        <w:t xml:space="preserve">n Switzerland, </w:t>
      </w:r>
      <w:r>
        <w:t xml:space="preserve">regional </w:t>
      </w:r>
      <w:r w:rsidRPr="00C93A26">
        <w:t>tolerance threshold values for average soil loss on arable land have been developed (Schweizer Bundesrat, 1998, cited</w:t>
      </w:r>
      <w:r>
        <w:t xml:space="preserve"> from Ledermann et al. 2008). For shallow soils &lt; 70 cm depth, the maximum tolerable soil loss is 2 t/ha/yr; for deeply developed soils, the threshold is 4 t/ha/yr.</w:t>
      </w:r>
    </w:p>
    <w:p w14:paraId="5449CB61" w14:textId="77777777" w:rsidR="001E6773" w:rsidRDefault="001E6773" w:rsidP="001E6773"/>
    <w:p w14:paraId="2E0C3DE1" w14:textId="77777777" w:rsidR="001E6773" w:rsidRDefault="001E6773" w:rsidP="001E6773">
      <w:r>
        <w:t>The relationship between soil formation and soil loss tolerance has recently been reviewed by FAO (2019). The study cites Montgomery (2007) who suggests a standard soil lowering of 0.08 mm with a soil loss of 1 t/ha/yr based on an average bulk density of 1.2 g/cm</w:t>
      </w:r>
      <w:r w:rsidRPr="00B90C35">
        <w:rPr>
          <w:vertAlign w:val="superscript"/>
        </w:rPr>
        <w:t>3</w:t>
      </w:r>
      <w:r>
        <w:t>. Given the variability of soil structure (texture and packing density) as well as soil organic matter and other important soil properties, the observed soil lowering greatly varies. Based on the same author, the soil naturally develops at an average rate of 0.173 mm yr-1 (2.2 t ha-1 yr-1). Verheijen et al. (2009) has taken European data on soil formation to calculate a tolerable soil loss for Europe of between 0.3 to 1.4 t/ha/yr (soil lowering at 0.02 to 0.11 mm/yr), which reflects the best estimate for mean soil formation rates in Europe. Unfortunately, the authors do not provide guidance to determine the exact site-adapted limit value.</w:t>
      </w:r>
    </w:p>
    <w:p w14:paraId="26AE9AF6" w14:textId="77777777" w:rsidR="001E6773" w:rsidRDefault="001E6773" w:rsidP="001E6773"/>
    <w:p w14:paraId="137B8804" w14:textId="77777777" w:rsidR="001E6773" w:rsidRDefault="001E6773" w:rsidP="001E6773">
      <w:r>
        <w:t xml:space="preserve">However, Morgan (1986) also recognises several problems with the concept of soil loss tolerance, and he recommends using the </w:t>
      </w:r>
      <w:r w:rsidRPr="00A920E9">
        <w:rPr>
          <w:b/>
          <w:bCs/>
        </w:rPr>
        <w:t>rate of natural erosion</w:t>
      </w:r>
      <w:r>
        <w:t xml:space="preserve"> instead. This rate, according to him, would be of the order of 1-2 t/ha per year, while for Europe, it has been estimated to be between 0.3 and 1.4 t/ha per year (Verheijen et al., 2009). The latter range represents limits to maintain the biomass production function. Jones et al (2012) have considered soil loss of more than 1 t/ha/yr to be irreversible on human timescales, but also stresses that the concept of tolerable erosion rates requires further definition: acceptable rates might actually be variable across Europe, e.g. 1 t/ha/yr in one region, but perhaps 2-3 t/ha/yr in other regions. Renard et al. (1997) report that in the USA, tolerable soil loss is considered to be about 2-10 t/ha/yr, depending on soil type. Grimm et al. (2002) estimate a rate between 5 and 20 t/ha per year to cause serious impacts both on-site and off-site (downstream) while bigger soil losses (such as the ones caused by individual storms - 20-40 t/ha per year- or by extreme rainfall events – over 100 t/ha per year) can have catastrophic consequences both on-site and off-site.</w:t>
      </w:r>
    </w:p>
    <w:p w14:paraId="051DC139" w14:textId="77777777" w:rsidR="001E6773" w:rsidRDefault="001E6773" w:rsidP="001E6773"/>
    <w:p w14:paraId="618A4AEC" w14:textId="77777777" w:rsidR="001E6773" w:rsidRDefault="001E6773" w:rsidP="001E6773">
      <w:r>
        <w:t>As also highlighted by Stolte et al. (2016), the establishment of potential thresholds for tolerable soil loss is still very controversial. There is a noticeable variability in terms of critical values but also lack of clarity on the definition of tolerable and critical soil loss. Further research should be encouraged in this sense in order to build common and more solid basis for both aspects. Given the variability of soil type and climatic features in Europe, ideally, threshold values of erosion rates should be defined for different soil characteristics, land uses and climate zones. Furthermore, the availability of monitored data on erosion rates and the establishment of a comprehensive monitoring network would be ideal for the application of thresholds and development of the indicator.</w:t>
      </w:r>
    </w:p>
    <w:p w14:paraId="116927D0" w14:textId="77777777" w:rsidR="001E6773" w:rsidRDefault="001E6773" w:rsidP="001E6773"/>
    <w:p w14:paraId="0A291582" w14:textId="77777777" w:rsidR="001E6773" w:rsidRDefault="001E6773" w:rsidP="001E6773">
      <w:r>
        <w:t xml:space="preserve">The Swiss </w:t>
      </w:r>
      <w:r w:rsidRPr="001A5025">
        <w:t>Ordinance on Impacts on the Soi</w:t>
      </w:r>
      <w:r>
        <w:t>l (VBBo 2000) provides orientation values, beyond which site investigations occur and measures are to be taken: for soil solum depth &lt; 70cm, acceptable soil loss is 2 t; at a depth &gt;70 cm, the rate is 4 t/ha/yr (</w:t>
      </w:r>
      <w:r w:rsidRPr="004322B6">
        <w:rPr>
          <w:color w:val="000000" w:themeColor="text1"/>
        </w:rPr>
        <w:t xml:space="preserve">cited </w:t>
      </w:r>
      <w:r>
        <w:t xml:space="preserve">from BAFU 2017). </w:t>
      </w:r>
    </w:p>
    <w:p w14:paraId="652ABF84" w14:textId="77777777" w:rsidR="001E6773" w:rsidRDefault="001E6773" w:rsidP="001E6773"/>
    <w:p w14:paraId="340219FF" w14:textId="77777777" w:rsidR="001E6773" w:rsidRDefault="001E6773" w:rsidP="001E6773">
      <w:pPr>
        <w:suppressAutoHyphens w:val="0"/>
        <w:jc w:val="left"/>
      </w:pPr>
      <w:r>
        <w:t>Finally, it must be noted that almost all soil loss estimates focus on soil loss by sheet and rill erosion, either measured on runoff plots or predicted with the RUSLE</w:t>
      </w:r>
      <w:r>
        <w:rPr>
          <w:rStyle w:val="Funotenzeichen"/>
        </w:rPr>
        <w:footnoteReference w:id="49"/>
      </w:r>
      <w:r>
        <w:t xml:space="preserve"> or a RUSLE-type erosion model. Note that so far soil losses by ephemeral and permanent gully erosion, tillage erosion, harvesting erosion, piping erosion and erosion due to land levelling are not accounted for at the European scale (</w:t>
      </w:r>
      <w:r w:rsidRPr="009A39C6">
        <w:t>Poesen, 2018).</w:t>
      </w:r>
    </w:p>
    <w:p w14:paraId="4FAC2CD1" w14:textId="77777777" w:rsidR="001E6773" w:rsidRDefault="001E6773" w:rsidP="001E6773"/>
    <w:p w14:paraId="6EDE58C1" w14:textId="5CABDB25" w:rsidR="00F73B24" w:rsidRDefault="00F73B24">
      <w:pPr>
        <w:suppressAutoHyphens w:val="0"/>
        <w:jc w:val="left"/>
      </w:pPr>
      <w:r>
        <w:br w:type="page"/>
      </w:r>
    </w:p>
    <w:p w14:paraId="5C830977" w14:textId="1FCCC953" w:rsidR="00F73B24" w:rsidRDefault="00F73B24" w:rsidP="00681645">
      <w:pPr>
        <w:pStyle w:val="berschrift1"/>
        <w:tabs>
          <w:tab w:val="clear" w:pos="567"/>
        </w:tabs>
        <w:ind w:left="426" w:hanging="426"/>
      </w:pPr>
      <w:bookmarkStart w:id="361" w:name="_Toc83997392"/>
      <w:r w:rsidRPr="00F73B24">
        <w:lastRenderedPageBreak/>
        <w:t>Soil compaction</w:t>
      </w:r>
      <w:bookmarkEnd w:id="361"/>
    </w:p>
    <w:p w14:paraId="31C1F40D" w14:textId="77777777" w:rsidR="00BB0FE3" w:rsidRPr="00BB0FE3" w:rsidRDefault="00BB0FE3" w:rsidP="00BB0FE3">
      <w:pPr>
        <w:rPr>
          <w:rFonts w:asciiTheme="majorHAnsi" w:hAnsiTheme="majorHAnsi" w:cstheme="majorHAnsi"/>
          <w:szCs w:val="22"/>
        </w:rPr>
      </w:pPr>
      <w:bookmarkStart w:id="362" w:name="_Ref2261512"/>
      <w:bookmarkStart w:id="363" w:name="_Ref2261544"/>
      <w:bookmarkStart w:id="364" w:name="_Ref2261575"/>
      <w:bookmarkStart w:id="365" w:name="_Ref2261579"/>
      <w:bookmarkStart w:id="366" w:name="_Ref11674919"/>
      <w:bookmarkStart w:id="367" w:name="_Ref12613312"/>
      <w:bookmarkEnd w:id="180"/>
    </w:p>
    <w:tbl>
      <w:tblPr>
        <w:tblW w:w="0" w:type="auto"/>
        <w:shd w:val="clear" w:color="auto" w:fill="D9D9D9" w:themeFill="background1" w:themeFillShade="D9"/>
        <w:tblLook w:val="04A0" w:firstRow="1" w:lastRow="0" w:firstColumn="1" w:lastColumn="0" w:noHBand="0" w:noVBand="1"/>
      </w:tblPr>
      <w:tblGrid>
        <w:gridCol w:w="9406"/>
      </w:tblGrid>
      <w:tr w:rsidR="00BB0FE3" w:rsidRPr="00BB0FE3" w14:paraId="7039F5DA" w14:textId="77777777" w:rsidTr="00CD55D6">
        <w:tc>
          <w:tcPr>
            <w:tcW w:w="9546" w:type="dxa"/>
            <w:shd w:val="clear" w:color="auto" w:fill="D9D9D9" w:themeFill="background1" w:themeFillShade="D9"/>
          </w:tcPr>
          <w:p w14:paraId="78BC70A2" w14:textId="7623C8AF" w:rsidR="00BB0FE3" w:rsidRPr="00BB0FE3" w:rsidRDefault="00BB0FE3" w:rsidP="00653937">
            <w:r w:rsidRPr="00BB0FE3">
              <w:t xml:space="preserve">Soil compaction </w:t>
            </w:r>
            <w:r w:rsidR="002B0E2E">
              <w:t>harms</w:t>
            </w:r>
            <w:r w:rsidRPr="00BB0FE3">
              <w:t xml:space="preserve"> the physical structure of soils and </w:t>
            </w:r>
            <w:r w:rsidR="002B0E2E">
              <w:t>thus affects</w:t>
            </w:r>
            <w:r w:rsidRPr="00BB0FE3">
              <w:t xml:space="preserve"> important ecological and economic soil functions, by reducing pore volume and pore continuity as well as particle surface accessibility. As a consequence of compaction, hydraulic conductivity </w:t>
            </w:r>
            <w:r w:rsidR="00F564B0">
              <w:t>and</w:t>
            </w:r>
            <w:r w:rsidRPr="00BB0FE3">
              <w:t xml:space="preserve"> infiltration are reduced</w:t>
            </w:r>
            <w:r w:rsidR="00F564B0">
              <w:t xml:space="preserve"> and</w:t>
            </w:r>
            <w:r w:rsidRPr="00BB0FE3">
              <w:t xml:space="preserve"> </w:t>
            </w:r>
            <w:r w:rsidR="00521698" w:rsidRPr="00BB0FE3">
              <w:t>water logging often occurs</w:t>
            </w:r>
            <w:r w:rsidR="00F564B0">
              <w:t>,</w:t>
            </w:r>
            <w:r w:rsidR="00521698" w:rsidRPr="00BB0FE3">
              <w:t xml:space="preserve"> </w:t>
            </w:r>
            <w:r w:rsidRPr="00BB0FE3">
              <w:t xml:space="preserve">while rooting is hampered and the soil biological habitat is damaged. </w:t>
            </w:r>
            <w:r w:rsidR="002D2D21">
              <w:t>Operations at critical soil moisture levels, as well as t</w:t>
            </w:r>
            <w:r w:rsidR="00C11245">
              <w:t xml:space="preserve">he use </w:t>
            </w:r>
            <w:r w:rsidR="00F564B0">
              <w:t xml:space="preserve">of </w:t>
            </w:r>
            <w:r w:rsidR="00686074">
              <w:t>increasingly</w:t>
            </w:r>
            <w:r w:rsidR="00C11245">
              <w:t xml:space="preserve"> heavy machinery, </w:t>
            </w:r>
            <w:r w:rsidR="002D2D21">
              <w:t xml:space="preserve">cause </w:t>
            </w:r>
            <w:r w:rsidR="008A091D" w:rsidRPr="00BB0FE3">
              <w:t xml:space="preserve">compaction </w:t>
            </w:r>
            <w:r w:rsidR="00E77775" w:rsidRPr="00BB0FE3">
              <w:t>in the sub-soil</w:t>
            </w:r>
            <w:r w:rsidR="00F564B0">
              <w:t>.</w:t>
            </w:r>
            <w:r w:rsidR="00E77775">
              <w:t xml:space="preserve"> This </w:t>
            </w:r>
            <w:r w:rsidR="00F564B0">
              <w:t xml:space="preserve">is </w:t>
            </w:r>
            <w:r w:rsidR="008A091D" w:rsidRPr="00BB0FE3">
              <w:t>particularly critical, since at these depths, compaction is cumulative, persistent and, most likely, irreversible.</w:t>
            </w:r>
            <w:r w:rsidR="00E77775">
              <w:t xml:space="preserve"> </w:t>
            </w:r>
            <w:r w:rsidR="0002606E">
              <w:t xml:space="preserve">Soil compaction negatively affects </w:t>
            </w:r>
            <w:r w:rsidRPr="00BB0FE3">
              <w:t xml:space="preserve">soil biochemical processes including nutrient turnover, greenhouse gas production, and plant health. Eventually, food and </w:t>
            </w:r>
            <w:r w:rsidR="00686074" w:rsidRPr="00BB0FE3">
              <w:t>fibre</w:t>
            </w:r>
            <w:r w:rsidRPr="00BB0FE3">
              <w:t xml:space="preserve"> production and groundwater recharge are concerned</w:t>
            </w:r>
            <w:r w:rsidR="00AF1709">
              <w:t xml:space="preserve">. Compaction </w:t>
            </w:r>
            <w:r w:rsidR="00E77775">
              <w:t>is also known t</w:t>
            </w:r>
            <w:r w:rsidR="00AF1709">
              <w:t xml:space="preserve">o trigger </w:t>
            </w:r>
            <w:r w:rsidRPr="00BB0FE3">
              <w:t>soil erosion</w:t>
            </w:r>
            <w:r w:rsidR="00E77775">
              <w:t>.</w:t>
            </w:r>
            <w:r w:rsidRPr="00BB0FE3">
              <w:t xml:space="preserve"> </w:t>
            </w:r>
          </w:p>
        </w:tc>
      </w:tr>
    </w:tbl>
    <w:p w14:paraId="7A99A7E6" w14:textId="18D17E20" w:rsidR="00BB0FE3" w:rsidRDefault="00BB0FE3" w:rsidP="00BB0FE3">
      <w:pPr>
        <w:spacing w:before="120" w:after="120"/>
        <w:rPr>
          <w:rFonts w:asciiTheme="majorHAnsi" w:hAnsiTheme="majorHAnsi" w:cstheme="majorHAnsi"/>
          <w:szCs w:val="22"/>
        </w:rPr>
      </w:pPr>
    </w:p>
    <w:p w14:paraId="73CB1E8F" w14:textId="125B94DA" w:rsidR="00BB0FE3" w:rsidRPr="00BB0FE3" w:rsidRDefault="00BB0FE3" w:rsidP="00BB0FE3">
      <w:pPr>
        <w:pStyle w:val="EEALabel"/>
        <w:spacing w:after="120" w:line="276" w:lineRule="auto"/>
        <w:rPr>
          <w:rFonts w:asciiTheme="majorHAnsi" w:eastAsia="Calibri" w:hAnsiTheme="majorHAnsi" w:cstheme="majorHAnsi"/>
          <w:szCs w:val="22"/>
        </w:rPr>
      </w:pPr>
      <w:bookmarkStart w:id="368" w:name="_Toc55206031"/>
      <w:bookmarkStart w:id="369" w:name="_Toc83997532"/>
      <w:r w:rsidRPr="00BB0FE3">
        <w:rPr>
          <w:rFonts w:asciiTheme="majorHAnsi" w:hAnsiTheme="majorHAnsi" w:cstheme="majorHAnsi"/>
          <w:szCs w:val="22"/>
        </w:rPr>
        <w:t xml:space="preserve">Table </w:t>
      </w:r>
      <w:r w:rsidR="00C76C23">
        <w:rPr>
          <w:rFonts w:asciiTheme="majorHAnsi" w:hAnsiTheme="majorHAnsi" w:cstheme="majorHAnsi"/>
          <w:szCs w:val="22"/>
        </w:rPr>
        <w:fldChar w:fldCharType="begin"/>
      </w:r>
      <w:r w:rsidR="00C76C23">
        <w:rPr>
          <w:rFonts w:asciiTheme="majorHAnsi" w:hAnsiTheme="majorHAnsi" w:cstheme="majorHAnsi"/>
          <w:szCs w:val="22"/>
        </w:rPr>
        <w:instrText xml:space="preserve"> STYLEREF 1 \s </w:instrText>
      </w:r>
      <w:r w:rsidR="00C76C23">
        <w:rPr>
          <w:rFonts w:asciiTheme="majorHAnsi" w:hAnsiTheme="majorHAnsi" w:cstheme="majorHAnsi"/>
          <w:szCs w:val="22"/>
        </w:rPr>
        <w:fldChar w:fldCharType="separate"/>
      </w:r>
      <w:r w:rsidR="0067767C">
        <w:rPr>
          <w:rFonts w:asciiTheme="majorHAnsi" w:hAnsiTheme="majorHAnsi" w:cstheme="majorHAnsi"/>
          <w:noProof/>
          <w:szCs w:val="22"/>
        </w:rPr>
        <w:t>8</w:t>
      </w:r>
      <w:r w:rsidR="00C76C23">
        <w:rPr>
          <w:rFonts w:asciiTheme="majorHAnsi" w:hAnsiTheme="majorHAnsi" w:cstheme="majorHAnsi"/>
          <w:szCs w:val="22"/>
        </w:rPr>
        <w:fldChar w:fldCharType="end"/>
      </w:r>
      <w:r w:rsidR="00C76C23">
        <w:rPr>
          <w:rFonts w:asciiTheme="majorHAnsi" w:hAnsiTheme="majorHAnsi" w:cstheme="majorHAnsi"/>
          <w:szCs w:val="22"/>
        </w:rPr>
        <w:noBreakHyphen/>
      </w:r>
      <w:r w:rsidR="00C76C23">
        <w:rPr>
          <w:rFonts w:asciiTheme="majorHAnsi" w:hAnsiTheme="majorHAnsi" w:cstheme="majorHAnsi"/>
          <w:szCs w:val="22"/>
        </w:rPr>
        <w:fldChar w:fldCharType="begin"/>
      </w:r>
      <w:r w:rsidR="00C76C23">
        <w:rPr>
          <w:rFonts w:asciiTheme="majorHAnsi" w:hAnsiTheme="majorHAnsi" w:cstheme="majorHAnsi"/>
          <w:szCs w:val="22"/>
        </w:rPr>
        <w:instrText xml:space="preserve"> SEQ Table \* ARABIC \s 1 </w:instrText>
      </w:r>
      <w:r w:rsidR="00C76C23">
        <w:rPr>
          <w:rFonts w:asciiTheme="majorHAnsi" w:hAnsiTheme="majorHAnsi" w:cstheme="majorHAnsi"/>
          <w:szCs w:val="22"/>
        </w:rPr>
        <w:fldChar w:fldCharType="separate"/>
      </w:r>
      <w:r w:rsidR="0067767C">
        <w:rPr>
          <w:rFonts w:asciiTheme="majorHAnsi" w:hAnsiTheme="majorHAnsi" w:cstheme="majorHAnsi"/>
          <w:noProof/>
          <w:szCs w:val="22"/>
        </w:rPr>
        <w:t>1</w:t>
      </w:r>
      <w:r w:rsidR="00C76C23">
        <w:rPr>
          <w:rFonts w:asciiTheme="majorHAnsi" w:hAnsiTheme="majorHAnsi" w:cstheme="majorHAnsi"/>
          <w:szCs w:val="22"/>
        </w:rPr>
        <w:fldChar w:fldCharType="end"/>
      </w:r>
      <w:r w:rsidRPr="00BB0FE3">
        <w:rPr>
          <w:rFonts w:asciiTheme="majorHAnsi" w:hAnsiTheme="majorHAnsi" w:cstheme="majorHAnsi"/>
          <w:szCs w:val="22"/>
        </w:rPr>
        <w:t>:</w:t>
      </w:r>
      <w:r w:rsidRPr="00BB0FE3">
        <w:rPr>
          <w:rFonts w:asciiTheme="majorHAnsi" w:eastAsia="Calibri" w:hAnsiTheme="majorHAnsi" w:cstheme="majorHAnsi"/>
          <w:szCs w:val="22"/>
        </w:rPr>
        <w:tab/>
        <w:t>Relationship of Soil Compaction to key societal needs and soil functions</w:t>
      </w:r>
      <w:bookmarkEnd w:id="368"/>
      <w:bookmarkEnd w:id="369"/>
    </w:p>
    <w:tbl>
      <w:tblPr>
        <w:tblW w:w="9266" w:type="dxa"/>
        <w:tblCellMar>
          <w:left w:w="70" w:type="dxa"/>
          <w:right w:w="70" w:type="dxa"/>
        </w:tblCellMar>
        <w:tblLook w:val="04A0" w:firstRow="1" w:lastRow="0" w:firstColumn="1" w:lastColumn="0" w:noHBand="0" w:noVBand="1"/>
      </w:tblPr>
      <w:tblGrid>
        <w:gridCol w:w="1600"/>
        <w:gridCol w:w="6055"/>
        <w:gridCol w:w="1611"/>
      </w:tblGrid>
      <w:tr w:rsidR="00BB0FE3" w:rsidRPr="00BB0FE3" w14:paraId="3FCA37CC" w14:textId="77777777" w:rsidTr="00F53111">
        <w:trPr>
          <w:trHeight w:val="300"/>
        </w:trPr>
        <w:tc>
          <w:tcPr>
            <w:tcW w:w="7655" w:type="dxa"/>
            <w:gridSpan w:val="2"/>
            <w:tcBorders>
              <w:top w:val="nil"/>
              <w:left w:val="nil"/>
              <w:bottom w:val="nil"/>
              <w:right w:val="nil"/>
            </w:tcBorders>
            <w:shd w:val="pct10" w:color="auto" w:fill="auto"/>
            <w:noWrap/>
            <w:vAlign w:val="bottom"/>
            <w:hideMark/>
          </w:tcPr>
          <w:p w14:paraId="52604577" w14:textId="77777777" w:rsidR="00BB0FE3" w:rsidRPr="00BB0FE3" w:rsidRDefault="00BB0FE3" w:rsidP="00CD55D6">
            <w:pPr>
              <w:suppressAutoHyphens w:val="0"/>
              <w:spacing w:line="276" w:lineRule="auto"/>
              <w:jc w:val="left"/>
              <w:rPr>
                <w:rFonts w:asciiTheme="majorHAnsi" w:hAnsiTheme="majorHAnsi" w:cstheme="majorHAnsi"/>
                <w:b/>
                <w:bCs/>
                <w:color w:val="000000"/>
                <w:sz w:val="24"/>
                <w:szCs w:val="24"/>
                <w:lang w:eastAsia="de-AT"/>
              </w:rPr>
            </w:pPr>
            <w:r w:rsidRPr="00BB0FE3">
              <w:rPr>
                <w:rFonts w:asciiTheme="majorHAnsi" w:hAnsiTheme="majorHAnsi" w:cstheme="majorHAnsi"/>
                <w:b/>
                <w:bCs/>
                <w:color w:val="000000"/>
                <w:sz w:val="24"/>
                <w:szCs w:val="24"/>
                <w:lang w:eastAsia="de-AT"/>
              </w:rPr>
              <w:t>Soil compaction</w:t>
            </w:r>
          </w:p>
        </w:tc>
        <w:tc>
          <w:tcPr>
            <w:tcW w:w="1611" w:type="dxa"/>
            <w:tcBorders>
              <w:top w:val="nil"/>
              <w:left w:val="nil"/>
              <w:bottom w:val="nil"/>
              <w:right w:val="nil"/>
            </w:tcBorders>
            <w:shd w:val="pct10" w:color="auto" w:fill="auto"/>
            <w:noWrap/>
            <w:vAlign w:val="bottom"/>
            <w:hideMark/>
          </w:tcPr>
          <w:p w14:paraId="5255C743" w14:textId="77777777" w:rsidR="00BB0FE3" w:rsidRPr="00BB0FE3" w:rsidRDefault="00BB0FE3" w:rsidP="00CD55D6">
            <w:pPr>
              <w:suppressAutoHyphens w:val="0"/>
              <w:spacing w:line="276" w:lineRule="auto"/>
              <w:jc w:val="left"/>
              <w:rPr>
                <w:rFonts w:asciiTheme="majorHAnsi" w:hAnsiTheme="majorHAnsi" w:cstheme="majorHAnsi"/>
                <w:sz w:val="20"/>
                <w:lang w:eastAsia="de-AT"/>
              </w:rPr>
            </w:pPr>
          </w:p>
        </w:tc>
      </w:tr>
      <w:tr w:rsidR="00BB0FE3" w:rsidRPr="00BB0FE3" w14:paraId="0EBA7B1C" w14:textId="77777777" w:rsidTr="00F53111">
        <w:trPr>
          <w:trHeight w:val="300"/>
        </w:trPr>
        <w:tc>
          <w:tcPr>
            <w:tcW w:w="1600" w:type="dxa"/>
            <w:tcBorders>
              <w:top w:val="single" w:sz="4" w:space="0" w:color="auto"/>
              <w:bottom w:val="single" w:sz="4" w:space="0" w:color="auto"/>
            </w:tcBorders>
            <w:shd w:val="pct10" w:color="auto" w:fill="auto"/>
            <w:noWrap/>
            <w:vAlign w:val="bottom"/>
            <w:hideMark/>
          </w:tcPr>
          <w:p w14:paraId="2B6378D5" w14:textId="77777777" w:rsidR="00BB0FE3" w:rsidRPr="00BB0FE3" w:rsidRDefault="00BB0FE3" w:rsidP="00EA081C">
            <w:pPr>
              <w:pStyle w:val="EEAtableleftbold"/>
              <w:rPr>
                <w:lang w:eastAsia="de-AT"/>
              </w:rPr>
            </w:pPr>
            <w:r w:rsidRPr="00BB0FE3">
              <w:rPr>
                <w:lang w:eastAsia="de-AT"/>
              </w:rPr>
              <w:t>Societal need</w:t>
            </w:r>
          </w:p>
        </w:tc>
        <w:tc>
          <w:tcPr>
            <w:tcW w:w="6055" w:type="dxa"/>
            <w:tcBorders>
              <w:top w:val="single" w:sz="4" w:space="0" w:color="auto"/>
              <w:bottom w:val="single" w:sz="4" w:space="0" w:color="auto"/>
            </w:tcBorders>
            <w:shd w:val="pct10" w:color="auto" w:fill="auto"/>
            <w:noWrap/>
            <w:vAlign w:val="bottom"/>
            <w:hideMark/>
          </w:tcPr>
          <w:p w14:paraId="221F5581" w14:textId="77777777" w:rsidR="00BB0FE3" w:rsidRPr="00BB0FE3" w:rsidRDefault="00BB0FE3" w:rsidP="00EA081C">
            <w:pPr>
              <w:pStyle w:val="EEAtableleftbold"/>
              <w:rPr>
                <w:lang w:eastAsia="de-AT"/>
              </w:rPr>
            </w:pPr>
            <w:r w:rsidRPr="00BB0FE3">
              <w:rPr>
                <w:lang w:eastAsia="de-AT"/>
              </w:rPr>
              <w:t>Soil service</w:t>
            </w:r>
          </w:p>
        </w:tc>
        <w:tc>
          <w:tcPr>
            <w:tcW w:w="1611" w:type="dxa"/>
            <w:tcBorders>
              <w:top w:val="single" w:sz="4" w:space="0" w:color="auto"/>
              <w:bottom w:val="single" w:sz="4" w:space="0" w:color="auto"/>
            </w:tcBorders>
            <w:shd w:val="pct10" w:color="auto" w:fill="auto"/>
            <w:noWrap/>
            <w:vAlign w:val="bottom"/>
            <w:hideMark/>
          </w:tcPr>
          <w:p w14:paraId="271FEC57" w14:textId="77777777" w:rsidR="00BB0FE3" w:rsidRPr="00BB0FE3" w:rsidRDefault="00BB0FE3" w:rsidP="00EA081C">
            <w:pPr>
              <w:pStyle w:val="EEATabcenterbold"/>
            </w:pPr>
            <w:r w:rsidRPr="00BB0FE3">
              <w:t>impact</w:t>
            </w:r>
          </w:p>
        </w:tc>
      </w:tr>
      <w:tr w:rsidR="00BB0FE3" w:rsidRPr="00BB0FE3" w14:paraId="055F52E2" w14:textId="77777777" w:rsidTr="007066D9">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231188D0" w14:textId="77777777" w:rsidR="00BB0FE3" w:rsidRPr="00BB0FE3" w:rsidRDefault="00BB0FE3" w:rsidP="00EA081C">
            <w:pPr>
              <w:pStyle w:val="EEAtableleftbold"/>
              <w:rPr>
                <w:lang w:eastAsia="de-AT"/>
              </w:rPr>
            </w:pPr>
            <w:r w:rsidRPr="00BB0FE3">
              <w:rPr>
                <w:lang w:eastAsia="de-AT"/>
              </w:rPr>
              <w:t>Biomass</w:t>
            </w:r>
          </w:p>
        </w:tc>
        <w:tc>
          <w:tcPr>
            <w:tcW w:w="6055" w:type="dxa"/>
            <w:tcBorders>
              <w:top w:val="single" w:sz="4" w:space="0" w:color="auto"/>
              <w:bottom w:val="single" w:sz="4" w:space="0" w:color="auto"/>
            </w:tcBorders>
            <w:shd w:val="clear" w:color="auto" w:fill="auto"/>
            <w:vAlign w:val="center"/>
            <w:hideMark/>
          </w:tcPr>
          <w:p w14:paraId="72BA4A68" w14:textId="17C671E3" w:rsidR="00BB0FE3" w:rsidRPr="00BB0FE3" w:rsidRDefault="00BB0FE3" w:rsidP="00EA081C">
            <w:pPr>
              <w:pStyle w:val="EEAtableleft"/>
              <w:rPr>
                <w:lang w:eastAsia="de-AT"/>
              </w:rPr>
            </w:pPr>
            <w:r w:rsidRPr="00BB0FE3">
              <w:rPr>
                <w:lang w:eastAsia="de-AT"/>
              </w:rPr>
              <w:t>Wood &amp; fibre production</w:t>
            </w:r>
            <w:r w:rsidR="003B003F">
              <w:rPr>
                <w:lang w:eastAsia="de-AT"/>
              </w:rPr>
              <w:t xml:space="preserve"> </w:t>
            </w:r>
          </w:p>
        </w:tc>
        <w:tc>
          <w:tcPr>
            <w:tcW w:w="1611" w:type="dxa"/>
            <w:tcBorders>
              <w:top w:val="single" w:sz="4" w:space="0" w:color="auto"/>
              <w:bottom w:val="single" w:sz="4" w:space="0" w:color="auto"/>
            </w:tcBorders>
            <w:shd w:val="clear" w:color="000000" w:fill="FF0000"/>
            <w:noWrap/>
            <w:vAlign w:val="bottom"/>
            <w:hideMark/>
          </w:tcPr>
          <w:p w14:paraId="6FC5767B" w14:textId="77777777" w:rsidR="00BB0FE3" w:rsidRPr="00BB0FE3" w:rsidRDefault="00BB0FE3" w:rsidP="00EA081C">
            <w:pPr>
              <w:pStyle w:val="EEATabcenter"/>
              <w:rPr>
                <w:lang w:eastAsia="de-AT"/>
              </w:rPr>
            </w:pPr>
            <w:r w:rsidRPr="00BB0FE3">
              <w:rPr>
                <w:lang w:eastAsia="de-AT"/>
              </w:rPr>
              <w:t>-</w:t>
            </w:r>
          </w:p>
        </w:tc>
      </w:tr>
      <w:tr w:rsidR="00BB0FE3" w:rsidRPr="00BB0FE3" w14:paraId="468106BF" w14:textId="77777777" w:rsidTr="007066D9">
        <w:trPr>
          <w:trHeight w:val="300"/>
        </w:trPr>
        <w:tc>
          <w:tcPr>
            <w:tcW w:w="1600" w:type="dxa"/>
            <w:vMerge/>
            <w:tcBorders>
              <w:top w:val="single" w:sz="4" w:space="0" w:color="auto"/>
              <w:bottom w:val="single" w:sz="4" w:space="0" w:color="auto"/>
            </w:tcBorders>
            <w:vAlign w:val="center"/>
            <w:hideMark/>
          </w:tcPr>
          <w:p w14:paraId="34FB67DE" w14:textId="77777777" w:rsidR="00BB0FE3" w:rsidRPr="00BB0FE3" w:rsidRDefault="00BB0FE3" w:rsidP="00EA081C">
            <w:pPr>
              <w:pStyle w:val="EEAtableleftbold"/>
              <w:rPr>
                <w:lang w:eastAsia="de-AT"/>
              </w:rPr>
            </w:pPr>
          </w:p>
        </w:tc>
        <w:tc>
          <w:tcPr>
            <w:tcW w:w="6055" w:type="dxa"/>
            <w:tcBorders>
              <w:top w:val="single" w:sz="4" w:space="0" w:color="auto"/>
              <w:bottom w:val="single" w:sz="4" w:space="0" w:color="auto"/>
            </w:tcBorders>
            <w:shd w:val="clear" w:color="auto" w:fill="auto"/>
            <w:vAlign w:val="center"/>
            <w:hideMark/>
          </w:tcPr>
          <w:p w14:paraId="2BCC793B" w14:textId="4BA85B73" w:rsidR="00BB0FE3" w:rsidRPr="00BB0FE3" w:rsidRDefault="00BB0FE3" w:rsidP="00EA081C">
            <w:pPr>
              <w:pStyle w:val="EEAtableleft"/>
              <w:rPr>
                <w:lang w:eastAsia="de-AT"/>
              </w:rPr>
            </w:pPr>
            <w:r w:rsidRPr="00BB0FE3">
              <w:rPr>
                <w:lang w:eastAsia="de-AT"/>
              </w:rPr>
              <w:t xml:space="preserve">Growth </w:t>
            </w:r>
            <w:r w:rsidR="00034970">
              <w:rPr>
                <w:lang w:eastAsia="de-AT"/>
              </w:rPr>
              <w:t xml:space="preserve">and quality </w:t>
            </w:r>
            <w:r w:rsidRPr="00BB0FE3">
              <w:rPr>
                <w:lang w:eastAsia="de-AT"/>
              </w:rPr>
              <w:t>of crops</w:t>
            </w:r>
          </w:p>
        </w:tc>
        <w:tc>
          <w:tcPr>
            <w:tcW w:w="1611" w:type="dxa"/>
            <w:tcBorders>
              <w:top w:val="single" w:sz="4" w:space="0" w:color="auto"/>
              <w:bottom w:val="single" w:sz="4" w:space="0" w:color="auto"/>
            </w:tcBorders>
            <w:shd w:val="clear" w:color="000000" w:fill="FF0000"/>
            <w:noWrap/>
            <w:vAlign w:val="bottom"/>
            <w:hideMark/>
          </w:tcPr>
          <w:p w14:paraId="5E538E25" w14:textId="77777777" w:rsidR="00BB0FE3" w:rsidRPr="00BB0FE3" w:rsidRDefault="00BB0FE3" w:rsidP="00EA081C">
            <w:pPr>
              <w:pStyle w:val="EEATabcenter"/>
              <w:rPr>
                <w:lang w:eastAsia="de-AT"/>
              </w:rPr>
            </w:pPr>
            <w:r w:rsidRPr="00BB0FE3">
              <w:rPr>
                <w:lang w:eastAsia="de-AT"/>
              </w:rPr>
              <w:t>-</w:t>
            </w:r>
          </w:p>
        </w:tc>
      </w:tr>
      <w:tr w:rsidR="00BB0FE3" w:rsidRPr="00BB0FE3" w14:paraId="57DC23EF" w14:textId="77777777" w:rsidTr="007066D9">
        <w:trPr>
          <w:trHeight w:val="300"/>
        </w:trPr>
        <w:tc>
          <w:tcPr>
            <w:tcW w:w="1600" w:type="dxa"/>
            <w:vMerge w:val="restart"/>
            <w:tcBorders>
              <w:top w:val="single" w:sz="4" w:space="0" w:color="auto"/>
              <w:bottom w:val="single" w:sz="4" w:space="0" w:color="auto"/>
            </w:tcBorders>
            <w:shd w:val="clear" w:color="000000" w:fill="FFFFFF"/>
            <w:noWrap/>
            <w:vAlign w:val="center"/>
            <w:hideMark/>
          </w:tcPr>
          <w:p w14:paraId="5EEC970A" w14:textId="77777777" w:rsidR="00BB0FE3" w:rsidRPr="00BB0FE3" w:rsidRDefault="00BB0FE3" w:rsidP="00EA081C">
            <w:pPr>
              <w:pStyle w:val="EEAtableleftbold"/>
              <w:rPr>
                <w:lang w:eastAsia="de-AT"/>
              </w:rPr>
            </w:pPr>
            <w:r w:rsidRPr="00BB0FE3">
              <w:rPr>
                <w:lang w:eastAsia="de-AT"/>
              </w:rPr>
              <w:t>Water</w:t>
            </w:r>
          </w:p>
        </w:tc>
        <w:tc>
          <w:tcPr>
            <w:tcW w:w="6055" w:type="dxa"/>
            <w:tcBorders>
              <w:top w:val="single" w:sz="4" w:space="0" w:color="auto"/>
              <w:bottom w:val="single" w:sz="4" w:space="0" w:color="auto"/>
            </w:tcBorders>
            <w:shd w:val="clear" w:color="auto" w:fill="auto"/>
            <w:vAlign w:val="center"/>
            <w:hideMark/>
          </w:tcPr>
          <w:p w14:paraId="356B49AD" w14:textId="7F247A3F" w:rsidR="00BB0FE3" w:rsidRPr="00BB0FE3" w:rsidRDefault="00BB0FE3" w:rsidP="00EA081C">
            <w:pPr>
              <w:pStyle w:val="EEAtableleft"/>
              <w:rPr>
                <w:lang w:eastAsia="de-AT"/>
              </w:rPr>
            </w:pPr>
            <w:r w:rsidRPr="00BB0FE3">
              <w:rPr>
                <w:lang w:eastAsia="de-AT"/>
              </w:rPr>
              <w:t>Filtering and buffering of contaminants</w:t>
            </w:r>
            <w:r w:rsidR="00C579BE">
              <w:rPr>
                <w:lang w:eastAsia="de-AT"/>
              </w:rPr>
              <w:t>, incl. supply of drinking water</w:t>
            </w:r>
          </w:p>
        </w:tc>
        <w:tc>
          <w:tcPr>
            <w:tcW w:w="1611" w:type="dxa"/>
            <w:tcBorders>
              <w:top w:val="single" w:sz="4" w:space="0" w:color="auto"/>
              <w:bottom w:val="single" w:sz="4" w:space="0" w:color="auto"/>
            </w:tcBorders>
            <w:shd w:val="clear" w:color="000000" w:fill="FF0000"/>
            <w:noWrap/>
            <w:vAlign w:val="bottom"/>
            <w:hideMark/>
          </w:tcPr>
          <w:p w14:paraId="6FF65307" w14:textId="77777777" w:rsidR="00BB0FE3" w:rsidRPr="00BB0FE3" w:rsidRDefault="00BB0FE3" w:rsidP="00EA081C">
            <w:pPr>
              <w:pStyle w:val="EEATabcenter"/>
              <w:rPr>
                <w:lang w:eastAsia="de-AT"/>
              </w:rPr>
            </w:pPr>
            <w:r w:rsidRPr="00BB0FE3">
              <w:rPr>
                <w:lang w:eastAsia="de-AT"/>
              </w:rPr>
              <w:t>-</w:t>
            </w:r>
          </w:p>
        </w:tc>
      </w:tr>
      <w:tr w:rsidR="00BB0FE3" w:rsidRPr="00BB0FE3" w14:paraId="3CBAE3C6" w14:textId="77777777" w:rsidTr="007066D9">
        <w:trPr>
          <w:trHeight w:val="300"/>
        </w:trPr>
        <w:tc>
          <w:tcPr>
            <w:tcW w:w="1600" w:type="dxa"/>
            <w:vMerge/>
            <w:tcBorders>
              <w:top w:val="single" w:sz="4" w:space="0" w:color="auto"/>
              <w:bottom w:val="single" w:sz="4" w:space="0" w:color="auto"/>
            </w:tcBorders>
            <w:vAlign w:val="center"/>
            <w:hideMark/>
          </w:tcPr>
          <w:p w14:paraId="335B7359" w14:textId="77777777" w:rsidR="00BB0FE3" w:rsidRPr="00BB0FE3" w:rsidRDefault="00BB0FE3" w:rsidP="00EA081C">
            <w:pPr>
              <w:pStyle w:val="EEAtableleftbold"/>
              <w:rPr>
                <w:lang w:eastAsia="de-AT"/>
              </w:rPr>
            </w:pPr>
          </w:p>
        </w:tc>
        <w:tc>
          <w:tcPr>
            <w:tcW w:w="6055" w:type="dxa"/>
            <w:tcBorders>
              <w:top w:val="single" w:sz="4" w:space="0" w:color="auto"/>
              <w:bottom w:val="single" w:sz="4" w:space="0" w:color="auto"/>
            </w:tcBorders>
            <w:shd w:val="clear" w:color="auto" w:fill="auto"/>
            <w:vAlign w:val="center"/>
            <w:hideMark/>
          </w:tcPr>
          <w:p w14:paraId="5664E9E8" w14:textId="77777777" w:rsidR="00BB0FE3" w:rsidRPr="00BB0FE3" w:rsidRDefault="00BB0FE3" w:rsidP="00EA081C">
            <w:pPr>
              <w:pStyle w:val="EEAtableleft"/>
              <w:rPr>
                <w:lang w:eastAsia="de-AT"/>
              </w:rPr>
            </w:pPr>
            <w:r w:rsidRPr="00BB0FE3">
              <w:rPr>
                <w:lang w:eastAsia="de-AT"/>
              </w:rPr>
              <w:t>Water storage and availability, groundwater recharge, surface runoff and interflow</w:t>
            </w:r>
          </w:p>
        </w:tc>
        <w:tc>
          <w:tcPr>
            <w:tcW w:w="1611" w:type="dxa"/>
            <w:tcBorders>
              <w:top w:val="single" w:sz="4" w:space="0" w:color="auto"/>
              <w:bottom w:val="single" w:sz="4" w:space="0" w:color="auto"/>
            </w:tcBorders>
            <w:shd w:val="clear" w:color="000000" w:fill="FF0000"/>
            <w:noWrap/>
            <w:vAlign w:val="bottom"/>
            <w:hideMark/>
          </w:tcPr>
          <w:p w14:paraId="786E5B8B" w14:textId="77777777" w:rsidR="00BB0FE3" w:rsidRPr="00BB0FE3" w:rsidRDefault="00BB0FE3" w:rsidP="00EA081C">
            <w:pPr>
              <w:pStyle w:val="EEATabcenter"/>
              <w:rPr>
                <w:lang w:eastAsia="de-AT"/>
              </w:rPr>
            </w:pPr>
            <w:r w:rsidRPr="00BB0FE3">
              <w:rPr>
                <w:lang w:eastAsia="de-AT"/>
              </w:rPr>
              <w:t>-</w:t>
            </w:r>
          </w:p>
        </w:tc>
      </w:tr>
      <w:tr w:rsidR="00BB0FE3" w:rsidRPr="00BB0FE3" w14:paraId="05061035" w14:textId="77777777" w:rsidTr="007066D9">
        <w:trPr>
          <w:trHeight w:val="300"/>
        </w:trPr>
        <w:tc>
          <w:tcPr>
            <w:tcW w:w="1600" w:type="dxa"/>
            <w:tcBorders>
              <w:top w:val="single" w:sz="4" w:space="0" w:color="auto"/>
              <w:bottom w:val="single" w:sz="4" w:space="0" w:color="auto"/>
            </w:tcBorders>
            <w:vAlign w:val="center"/>
          </w:tcPr>
          <w:p w14:paraId="68C0FB91" w14:textId="77777777" w:rsidR="00BB0FE3" w:rsidRPr="00BB0FE3" w:rsidRDefault="00BB0FE3" w:rsidP="00EA081C">
            <w:pPr>
              <w:pStyle w:val="EEAtableleftbold"/>
              <w:rPr>
                <w:lang w:eastAsia="de-AT"/>
              </w:rPr>
            </w:pPr>
            <w:r w:rsidRPr="00BB0FE3">
              <w:rPr>
                <w:lang w:eastAsia="de-AT"/>
              </w:rPr>
              <w:t>Air</w:t>
            </w:r>
          </w:p>
        </w:tc>
        <w:tc>
          <w:tcPr>
            <w:tcW w:w="6055" w:type="dxa"/>
            <w:tcBorders>
              <w:top w:val="single" w:sz="4" w:space="0" w:color="auto"/>
              <w:bottom w:val="single" w:sz="4" w:space="0" w:color="auto"/>
            </w:tcBorders>
            <w:shd w:val="clear" w:color="auto" w:fill="auto"/>
            <w:vAlign w:val="center"/>
          </w:tcPr>
          <w:p w14:paraId="4E7FE54F" w14:textId="77777777" w:rsidR="00BB0FE3" w:rsidRPr="00BB0FE3" w:rsidRDefault="00BB0FE3" w:rsidP="00EA081C">
            <w:pPr>
              <w:pStyle w:val="EEAtableleft"/>
              <w:rPr>
                <w:lang w:eastAsia="de-AT"/>
              </w:rPr>
            </w:pPr>
            <w:r w:rsidRPr="00BB0FE3">
              <w:rPr>
                <w:lang w:eastAsia="de-AT"/>
              </w:rPr>
              <w:t>Composition and exchange of soil gas with the atmosphere</w:t>
            </w:r>
          </w:p>
        </w:tc>
        <w:tc>
          <w:tcPr>
            <w:tcW w:w="1611" w:type="dxa"/>
            <w:tcBorders>
              <w:top w:val="single" w:sz="4" w:space="0" w:color="auto"/>
              <w:bottom w:val="single" w:sz="4" w:space="0" w:color="auto"/>
            </w:tcBorders>
            <w:shd w:val="clear" w:color="000000" w:fill="FF0000"/>
            <w:noWrap/>
            <w:vAlign w:val="bottom"/>
          </w:tcPr>
          <w:p w14:paraId="1B8CD64D" w14:textId="77777777" w:rsidR="00BB0FE3" w:rsidRPr="00BB0FE3" w:rsidRDefault="00BB0FE3" w:rsidP="00EA081C">
            <w:pPr>
              <w:pStyle w:val="EEATabcenter"/>
              <w:rPr>
                <w:lang w:eastAsia="de-AT"/>
              </w:rPr>
            </w:pPr>
            <w:r w:rsidRPr="00BB0FE3">
              <w:rPr>
                <w:lang w:eastAsia="de-AT"/>
              </w:rPr>
              <w:t>-</w:t>
            </w:r>
          </w:p>
        </w:tc>
      </w:tr>
      <w:tr w:rsidR="00BB0FE3" w:rsidRPr="00BB0FE3" w14:paraId="3E4AE5CC" w14:textId="77777777" w:rsidTr="007066D9">
        <w:trPr>
          <w:trHeight w:val="300"/>
        </w:trPr>
        <w:tc>
          <w:tcPr>
            <w:tcW w:w="1600" w:type="dxa"/>
            <w:tcBorders>
              <w:top w:val="single" w:sz="4" w:space="0" w:color="auto"/>
              <w:bottom w:val="single" w:sz="4" w:space="0" w:color="auto"/>
            </w:tcBorders>
            <w:shd w:val="clear" w:color="000000" w:fill="FFFFFF"/>
            <w:noWrap/>
            <w:vAlign w:val="center"/>
            <w:hideMark/>
          </w:tcPr>
          <w:p w14:paraId="54A878A0" w14:textId="77777777" w:rsidR="00BB0FE3" w:rsidRPr="00BB0FE3" w:rsidRDefault="00BB0FE3" w:rsidP="00EA081C">
            <w:pPr>
              <w:pStyle w:val="EEAtableleftbold"/>
              <w:rPr>
                <w:lang w:eastAsia="de-AT"/>
              </w:rPr>
            </w:pPr>
            <w:r w:rsidRPr="00BB0FE3">
              <w:rPr>
                <w:lang w:eastAsia="de-AT"/>
              </w:rPr>
              <w:t>Climate</w:t>
            </w:r>
          </w:p>
        </w:tc>
        <w:tc>
          <w:tcPr>
            <w:tcW w:w="6055" w:type="dxa"/>
            <w:tcBorders>
              <w:top w:val="single" w:sz="4" w:space="0" w:color="auto"/>
              <w:bottom w:val="single" w:sz="4" w:space="0" w:color="auto"/>
            </w:tcBorders>
            <w:shd w:val="clear" w:color="auto" w:fill="auto"/>
            <w:vAlign w:val="center"/>
            <w:hideMark/>
          </w:tcPr>
          <w:p w14:paraId="5E2874E1" w14:textId="77777777" w:rsidR="00BB0FE3" w:rsidRPr="00BB0FE3" w:rsidRDefault="00BB0FE3" w:rsidP="00EA081C">
            <w:pPr>
              <w:pStyle w:val="EEAtableleft"/>
              <w:rPr>
                <w:lang w:eastAsia="de-AT"/>
              </w:rPr>
            </w:pPr>
            <w:r w:rsidRPr="00BB0FE3">
              <w:rPr>
                <w:lang w:eastAsia="de-AT"/>
              </w:rPr>
              <w:t xml:space="preserve">Carbon storage and turn over, </w:t>
            </w:r>
            <w:r w:rsidRPr="00BB0FE3">
              <w:t>Avoidance of climate relevant gas releases (e.g. N</w:t>
            </w:r>
            <w:r w:rsidRPr="00BB0FE3">
              <w:rPr>
                <w:vertAlign w:val="subscript"/>
              </w:rPr>
              <w:t>2</w:t>
            </w:r>
            <w:r w:rsidRPr="00BB0FE3">
              <w:t>O, CH</w:t>
            </w:r>
            <w:r w:rsidRPr="00BB0FE3">
              <w:rPr>
                <w:vertAlign w:val="subscript"/>
              </w:rPr>
              <w:t>4</w:t>
            </w:r>
            <w:r w:rsidRPr="00BB0FE3">
              <w:t>)</w:t>
            </w:r>
          </w:p>
        </w:tc>
        <w:tc>
          <w:tcPr>
            <w:tcW w:w="1611" w:type="dxa"/>
            <w:tcBorders>
              <w:top w:val="single" w:sz="4" w:space="0" w:color="auto"/>
              <w:bottom w:val="single" w:sz="4" w:space="0" w:color="auto"/>
            </w:tcBorders>
            <w:shd w:val="clear" w:color="000000" w:fill="FF0000"/>
            <w:noWrap/>
            <w:vAlign w:val="bottom"/>
            <w:hideMark/>
          </w:tcPr>
          <w:p w14:paraId="5118C503" w14:textId="77777777" w:rsidR="00BB0FE3" w:rsidRPr="00BB0FE3" w:rsidRDefault="00BB0FE3" w:rsidP="00EA081C">
            <w:pPr>
              <w:pStyle w:val="EEATabcenter"/>
              <w:rPr>
                <w:lang w:eastAsia="de-AT"/>
              </w:rPr>
            </w:pPr>
            <w:r w:rsidRPr="00BB0FE3">
              <w:rPr>
                <w:lang w:eastAsia="de-AT"/>
              </w:rPr>
              <w:t>-</w:t>
            </w:r>
          </w:p>
        </w:tc>
      </w:tr>
      <w:tr w:rsidR="00BB0FE3" w:rsidRPr="00BB0FE3" w14:paraId="577695D2" w14:textId="77777777" w:rsidTr="007066D9">
        <w:trPr>
          <w:trHeight w:val="300"/>
        </w:trPr>
        <w:tc>
          <w:tcPr>
            <w:tcW w:w="1600" w:type="dxa"/>
            <w:tcBorders>
              <w:top w:val="single" w:sz="4" w:space="0" w:color="auto"/>
              <w:bottom w:val="single" w:sz="4" w:space="0" w:color="auto"/>
            </w:tcBorders>
            <w:shd w:val="clear" w:color="000000" w:fill="FFFFFF"/>
            <w:noWrap/>
            <w:vAlign w:val="center"/>
            <w:hideMark/>
          </w:tcPr>
          <w:p w14:paraId="5A5E978D" w14:textId="77777777" w:rsidR="00BB0FE3" w:rsidRPr="00BB0FE3" w:rsidRDefault="00BB0FE3" w:rsidP="00EA081C">
            <w:pPr>
              <w:pStyle w:val="EEAtableleftbold"/>
              <w:rPr>
                <w:lang w:eastAsia="de-AT"/>
              </w:rPr>
            </w:pPr>
            <w:r w:rsidRPr="00BB0FE3">
              <w:rPr>
                <w:lang w:eastAsia="de-AT"/>
              </w:rPr>
              <w:t>Biodiversity</w:t>
            </w:r>
          </w:p>
        </w:tc>
        <w:tc>
          <w:tcPr>
            <w:tcW w:w="6055" w:type="dxa"/>
            <w:tcBorders>
              <w:top w:val="single" w:sz="4" w:space="0" w:color="auto"/>
              <w:bottom w:val="single" w:sz="4" w:space="0" w:color="auto"/>
            </w:tcBorders>
            <w:shd w:val="clear" w:color="auto" w:fill="auto"/>
            <w:vAlign w:val="center"/>
            <w:hideMark/>
          </w:tcPr>
          <w:p w14:paraId="79E8F142" w14:textId="77777777" w:rsidR="00BB0FE3" w:rsidRPr="00BB0FE3" w:rsidRDefault="00BB0FE3" w:rsidP="00EA081C">
            <w:pPr>
              <w:pStyle w:val="EEAtableleft"/>
              <w:rPr>
                <w:lang w:eastAsia="de-AT"/>
              </w:rPr>
            </w:pPr>
            <w:r w:rsidRPr="00BB0FE3">
              <w:rPr>
                <w:lang w:eastAsia="de-AT"/>
              </w:rPr>
              <w:t>Habitat for plants, insects, microbes, fungi</w:t>
            </w:r>
          </w:p>
        </w:tc>
        <w:tc>
          <w:tcPr>
            <w:tcW w:w="1611" w:type="dxa"/>
            <w:tcBorders>
              <w:top w:val="single" w:sz="4" w:space="0" w:color="auto"/>
              <w:bottom w:val="single" w:sz="4" w:space="0" w:color="auto"/>
            </w:tcBorders>
            <w:shd w:val="clear" w:color="000000" w:fill="FF0000"/>
            <w:noWrap/>
            <w:vAlign w:val="bottom"/>
            <w:hideMark/>
          </w:tcPr>
          <w:p w14:paraId="787C6689" w14:textId="77777777" w:rsidR="00BB0FE3" w:rsidRPr="00BB0FE3" w:rsidRDefault="00BB0FE3" w:rsidP="00EA081C">
            <w:pPr>
              <w:pStyle w:val="EEATabcenter"/>
              <w:rPr>
                <w:lang w:eastAsia="de-AT"/>
              </w:rPr>
            </w:pPr>
            <w:r w:rsidRPr="00BB0FE3">
              <w:rPr>
                <w:lang w:eastAsia="de-AT"/>
              </w:rPr>
              <w:t>-</w:t>
            </w:r>
          </w:p>
        </w:tc>
      </w:tr>
      <w:tr w:rsidR="00BB0FE3" w:rsidRPr="00BB0FE3" w14:paraId="48268F86" w14:textId="77777777" w:rsidTr="007066D9">
        <w:trPr>
          <w:trHeight w:val="300"/>
        </w:trPr>
        <w:tc>
          <w:tcPr>
            <w:tcW w:w="1600" w:type="dxa"/>
            <w:tcBorders>
              <w:top w:val="single" w:sz="4" w:space="0" w:color="auto"/>
              <w:bottom w:val="single" w:sz="4" w:space="0" w:color="auto"/>
            </w:tcBorders>
            <w:shd w:val="clear" w:color="000000" w:fill="FFFFFF"/>
            <w:noWrap/>
            <w:vAlign w:val="center"/>
          </w:tcPr>
          <w:p w14:paraId="7B5E8376" w14:textId="77777777" w:rsidR="00BB0FE3" w:rsidRPr="00BB0FE3" w:rsidRDefault="00BB0FE3" w:rsidP="00EA081C">
            <w:pPr>
              <w:pStyle w:val="EEAtableleftbold"/>
              <w:rPr>
                <w:lang w:eastAsia="de-AT"/>
              </w:rPr>
            </w:pPr>
            <w:r w:rsidRPr="00BB0FE3">
              <w:rPr>
                <w:lang w:eastAsia="de-AT"/>
              </w:rPr>
              <w:t>Cultural heritage</w:t>
            </w:r>
          </w:p>
        </w:tc>
        <w:tc>
          <w:tcPr>
            <w:tcW w:w="6055" w:type="dxa"/>
            <w:tcBorders>
              <w:top w:val="single" w:sz="4" w:space="0" w:color="auto"/>
              <w:bottom w:val="single" w:sz="4" w:space="0" w:color="auto"/>
            </w:tcBorders>
            <w:shd w:val="clear" w:color="auto" w:fill="auto"/>
            <w:vAlign w:val="center"/>
          </w:tcPr>
          <w:p w14:paraId="73E62E77" w14:textId="77777777" w:rsidR="00BB0FE3" w:rsidRPr="00BB0FE3" w:rsidRDefault="00BB0FE3" w:rsidP="00EA081C">
            <w:pPr>
              <w:pStyle w:val="EEAtableleft"/>
              <w:rPr>
                <w:lang w:eastAsia="de-AT"/>
              </w:rPr>
            </w:pPr>
            <w:r w:rsidRPr="00BB0FE3">
              <w:rPr>
                <w:lang w:eastAsia="de-AT"/>
              </w:rPr>
              <w:t>Documentation of historical human culture and land management</w:t>
            </w:r>
          </w:p>
        </w:tc>
        <w:tc>
          <w:tcPr>
            <w:tcW w:w="1611" w:type="dxa"/>
            <w:tcBorders>
              <w:top w:val="single" w:sz="4" w:space="0" w:color="auto"/>
              <w:bottom w:val="single" w:sz="4" w:space="0" w:color="auto"/>
            </w:tcBorders>
            <w:shd w:val="clear" w:color="000000" w:fill="FF0000"/>
            <w:noWrap/>
            <w:vAlign w:val="bottom"/>
          </w:tcPr>
          <w:p w14:paraId="60917AF2" w14:textId="77777777" w:rsidR="00BB0FE3" w:rsidRPr="00BB0FE3" w:rsidRDefault="00BB0FE3" w:rsidP="00EA081C">
            <w:pPr>
              <w:pStyle w:val="EEATabcenter"/>
              <w:rPr>
                <w:lang w:eastAsia="de-AT"/>
              </w:rPr>
            </w:pPr>
            <w:r w:rsidRPr="00BB0FE3">
              <w:rPr>
                <w:lang w:eastAsia="de-AT"/>
              </w:rPr>
              <w:t>-</w:t>
            </w:r>
          </w:p>
        </w:tc>
      </w:tr>
      <w:tr w:rsidR="00BB0FE3" w:rsidRPr="00BB0FE3" w14:paraId="69B0E6B7" w14:textId="77777777" w:rsidTr="007066D9">
        <w:trPr>
          <w:trHeight w:val="300"/>
        </w:trPr>
        <w:tc>
          <w:tcPr>
            <w:tcW w:w="1600" w:type="dxa"/>
            <w:vMerge w:val="restart"/>
            <w:tcBorders>
              <w:top w:val="single" w:sz="4" w:space="0" w:color="auto"/>
              <w:bottom w:val="single" w:sz="4" w:space="0" w:color="auto"/>
            </w:tcBorders>
            <w:shd w:val="clear" w:color="auto" w:fill="auto"/>
            <w:noWrap/>
            <w:vAlign w:val="center"/>
            <w:hideMark/>
          </w:tcPr>
          <w:p w14:paraId="0A5CD9F4" w14:textId="77777777" w:rsidR="00BB0FE3" w:rsidRPr="00BB0FE3" w:rsidRDefault="00BB0FE3" w:rsidP="00EA081C">
            <w:pPr>
              <w:pStyle w:val="EEAtableleftbold"/>
              <w:rPr>
                <w:lang w:eastAsia="de-AT"/>
              </w:rPr>
            </w:pPr>
            <w:r w:rsidRPr="00BB0FE3">
              <w:rPr>
                <w:lang w:eastAsia="de-AT"/>
              </w:rPr>
              <w:t>Infrastructure</w:t>
            </w:r>
          </w:p>
        </w:tc>
        <w:tc>
          <w:tcPr>
            <w:tcW w:w="6055" w:type="dxa"/>
            <w:tcBorders>
              <w:top w:val="single" w:sz="4" w:space="0" w:color="auto"/>
              <w:bottom w:val="single" w:sz="4" w:space="0" w:color="auto"/>
            </w:tcBorders>
            <w:shd w:val="clear" w:color="auto" w:fill="auto"/>
            <w:vAlign w:val="center"/>
            <w:hideMark/>
          </w:tcPr>
          <w:p w14:paraId="27222A0D" w14:textId="77777777" w:rsidR="00BB0FE3" w:rsidRPr="00BB0FE3" w:rsidRDefault="00BB0FE3" w:rsidP="00EA081C">
            <w:pPr>
              <w:pStyle w:val="EEAtableleft"/>
              <w:rPr>
                <w:lang w:eastAsia="de-AT"/>
              </w:rPr>
            </w:pPr>
            <w:r w:rsidRPr="00BB0FE3">
              <w:rPr>
                <w:lang w:eastAsia="de-AT"/>
              </w:rPr>
              <w:t>Platform for infrastructure</w:t>
            </w:r>
          </w:p>
        </w:tc>
        <w:tc>
          <w:tcPr>
            <w:tcW w:w="1611" w:type="dxa"/>
            <w:tcBorders>
              <w:top w:val="single" w:sz="4" w:space="0" w:color="auto"/>
              <w:bottom w:val="single" w:sz="4" w:space="0" w:color="auto"/>
            </w:tcBorders>
            <w:shd w:val="clear" w:color="000000" w:fill="FFFFFF"/>
            <w:noWrap/>
            <w:vAlign w:val="bottom"/>
            <w:hideMark/>
          </w:tcPr>
          <w:p w14:paraId="64B40857" w14:textId="37D96572" w:rsidR="00BB0FE3" w:rsidRPr="00BB0FE3" w:rsidRDefault="00BB0FE3" w:rsidP="00EA081C">
            <w:pPr>
              <w:pStyle w:val="EEATabcenter"/>
              <w:rPr>
                <w:lang w:eastAsia="de-AT"/>
              </w:rPr>
            </w:pPr>
            <w:r w:rsidRPr="00BB0FE3">
              <w:rPr>
                <w:lang w:eastAsia="de-AT"/>
              </w:rPr>
              <w:t>indiff</w:t>
            </w:r>
            <w:r w:rsidR="00CF64FA">
              <w:rPr>
                <w:lang w:eastAsia="de-AT"/>
              </w:rPr>
              <w:t>erent</w:t>
            </w:r>
          </w:p>
        </w:tc>
      </w:tr>
      <w:tr w:rsidR="00BB0FE3" w:rsidRPr="00BB0FE3" w14:paraId="4F777F15" w14:textId="77777777" w:rsidTr="007066D9">
        <w:trPr>
          <w:trHeight w:val="300"/>
        </w:trPr>
        <w:tc>
          <w:tcPr>
            <w:tcW w:w="1600" w:type="dxa"/>
            <w:vMerge/>
            <w:tcBorders>
              <w:top w:val="single" w:sz="4" w:space="0" w:color="auto"/>
              <w:bottom w:val="single" w:sz="4" w:space="0" w:color="auto"/>
            </w:tcBorders>
            <w:vAlign w:val="center"/>
            <w:hideMark/>
          </w:tcPr>
          <w:p w14:paraId="428FF703" w14:textId="77777777" w:rsidR="00BB0FE3" w:rsidRPr="00BB0FE3" w:rsidRDefault="00BB0FE3" w:rsidP="00CD55D6">
            <w:pPr>
              <w:suppressAutoHyphens w:val="0"/>
              <w:spacing w:line="276" w:lineRule="auto"/>
              <w:jc w:val="left"/>
              <w:rPr>
                <w:rFonts w:asciiTheme="majorHAnsi" w:hAnsiTheme="majorHAnsi" w:cstheme="majorHAnsi"/>
                <w:b/>
                <w:bCs/>
                <w:sz w:val="20"/>
                <w:lang w:eastAsia="de-AT"/>
              </w:rPr>
            </w:pPr>
          </w:p>
        </w:tc>
        <w:tc>
          <w:tcPr>
            <w:tcW w:w="6055" w:type="dxa"/>
            <w:tcBorders>
              <w:top w:val="single" w:sz="4" w:space="0" w:color="auto"/>
              <w:bottom w:val="single" w:sz="4" w:space="0" w:color="auto"/>
            </w:tcBorders>
            <w:shd w:val="clear" w:color="auto" w:fill="auto"/>
            <w:vAlign w:val="center"/>
            <w:hideMark/>
          </w:tcPr>
          <w:p w14:paraId="28040396" w14:textId="77777777" w:rsidR="00BB0FE3" w:rsidRPr="00BB0FE3" w:rsidRDefault="00BB0FE3" w:rsidP="00EA081C">
            <w:pPr>
              <w:pStyle w:val="EEAtableleft"/>
              <w:rPr>
                <w:lang w:eastAsia="de-AT"/>
              </w:rPr>
            </w:pPr>
            <w:r w:rsidRPr="00BB0FE3">
              <w:rPr>
                <w:lang w:eastAsia="de-AT"/>
              </w:rPr>
              <w:t>Storage of geological material</w:t>
            </w:r>
          </w:p>
        </w:tc>
        <w:tc>
          <w:tcPr>
            <w:tcW w:w="1611" w:type="dxa"/>
            <w:tcBorders>
              <w:top w:val="single" w:sz="4" w:space="0" w:color="auto"/>
              <w:bottom w:val="single" w:sz="4" w:space="0" w:color="auto"/>
            </w:tcBorders>
            <w:shd w:val="clear" w:color="000000" w:fill="FFFFFF"/>
            <w:noWrap/>
            <w:vAlign w:val="bottom"/>
            <w:hideMark/>
          </w:tcPr>
          <w:p w14:paraId="3D0A4EA2" w14:textId="6E19FB27" w:rsidR="00BB0FE3" w:rsidRPr="00BB0FE3" w:rsidRDefault="00CF64FA" w:rsidP="00EA081C">
            <w:pPr>
              <w:pStyle w:val="EEATabcenter"/>
              <w:rPr>
                <w:lang w:eastAsia="de-AT"/>
              </w:rPr>
            </w:pPr>
            <w:r w:rsidRPr="00BB0FE3">
              <w:rPr>
                <w:lang w:eastAsia="de-AT"/>
              </w:rPr>
              <w:t>indiff</w:t>
            </w:r>
            <w:r>
              <w:rPr>
                <w:lang w:eastAsia="de-AT"/>
              </w:rPr>
              <w:t>erent</w:t>
            </w:r>
          </w:p>
        </w:tc>
      </w:tr>
    </w:tbl>
    <w:p w14:paraId="2F1EBE9A" w14:textId="77777777" w:rsidR="00BB0FE3" w:rsidRPr="00BB0FE3" w:rsidRDefault="00BB0FE3" w:rsidP="007066D9">
      <w:pPr>
        <w:rPr>
          <w:lang w:val="en-US"/>
        </w:rPr>
      </w:pPr>
    </w:p>
    <w:p w14:paraId="6086FE00" w14:textId="6B8594DA" w:rsidR="00E36397" w:rsidRDefault="001840C6" w:rsidP="00C1362E">
      <w:r w:rsidRPr="001840C6">
        <w:t xml:space="preserve">Soil compaction is </w:t>
      </w:r>
      <w:r w:rsidR="00656833">
        <w:t>primarily</w:t>
      </w:r>
      <w:r w:rsidRPr="001840C6">
        <w:t xml:space="preserve"> related to physical soil degradation, but the interactions with chemical and biological properties and functions are evident. </w:t>
      </w:r>
      <w:r w:rsidR="00FB3B8C" w:rsidRPr="00FB3B8C">
        <w:t xml:space="preserve">Soil compaction occurs primarily if the internal soil strength </w:t>
      </w:r>
      <w:r w:rsidR="001911E5">
        <w:t xml:space="preserve">(the so-called </w:t>
      </w:r>
      <w:r w:rsidR="001911E5" w:rsidRPr="00640BB6">
        <w:t>actual precompression stress)</w:t>
      </w:r>
      <w:r w:rsidR="001911E5">
        <w:t xml:space="preserve"> </w:t>
      </w:r>
      <w:r w:rsidR="00D93F31">
        <w:t>is</w:t>
      </w:r>
      <w:r w:rsidR="00FB3B8C" w:rsidRPr="00FB3B8C">
        <w:t xml:space="preserve"> exceeded</w:t>
      </w:r>
      <w:r w:rsidR="00136A78">
        <w:t xml:space="preserve"> by </w:t>
      </w:r>
      <w:r w:rsidR="009E7C0F">
        <w:t xml:space="preserve">additional </w:t>
      </w:r>
      <w:r w:rsidR="00136A78">
        <w:t>stress</w:t>
      </w:r>
      <w:r w:rsidR="009E7C0F">
        <w:t>,</w:t>
      </w:r>
      <w:r w:rsidR="00556F69">
        <w:t xml:space="preserve"> for example</w:t>
      </w:r>
      <w:r w:rsidR="00136A78">
        <w:t>,</w:t>
      </w:r>
      <w:r w:rsidR="00556F69">
        <w:t xml:space="preserve"> th</w:t>
      </w:r>
      <w:r w:rsidR="009E7C0F">
        <w:t>r</w:t>
      </w:r>
      <w:r w:rsidR="00556F69">
        <w:t xml:space="preserve">ough heavy machinery, </w:t>
      </w:r>
      <w:r w:rsidR="00647176">
        <w:t xml:space="preserve">and </w:t>
      </w:r>
      <w:r w:rsidR="0098187A">
        <w:t>trafficking</w:t>
      </w:r>
      <w:r w:rsidR="00136A78">
        <w:t xml:space="preserve"> </w:t>
      </w:r>
      <w:r w:rsidR="00647176">
        <w:t>at high moisture content</w:t>
      </w:r>
      <w:r w:rsidR="00FB3B8C">
        <w:t>.</w:t>
      </w:r>
      <w:r w:rsidR="00B45B43">
        <w:t xml:space="preserve"> </w:t>
      </w:r>
      <w:r w:rsidR="0098187A">
        <w:t xml:space="preserve">This </w:t>
      </w:r>
      <w:r w:rsidR="0098187A" w:rsidRPr="0098187A">
        <w:t>exceedance</w:t>
      </w:r>
      <w:r w:rsidR="0098187A" w:rsidRPr="00FF6C46">
        <w:rPr>
          <w:b/>
          <w:bCs/>
        </w:rPr>
        <w:t xml:space="preserve"> </w:t>
      </w:r>
      <w:r w:rsidR="0098187A" w:rsidRPr="00BB0FE3">
        <w:t>result</w:t>
      </w:r>
      <w:r w:rsidR="0098187A">
        <w:t>s</w:t>
      </w:r>
      <w:r w:rsidR="0098187A" w:rsidRPr="00BB0FE3">
        <w:t xml:space="preserve"> in plastic soil deformation which negatively affects </w:t>
      </w:r>
      <w:r w:rsidR="0098187A">
        <w:t>the soil</w:t>
      </w:r>
      <w:r w:rsidR="0098187A" w:rsidRPr="00BB0FE3">
        <w:t xml:space="preserve"> functions and </w:t>
      </w:r>
      <w:r w:rsidR="0098187A">
        <w:t xml:space="preserve">the provision of ecosystem </w:t>
      </w:r>
      <w:r w:rsidR="0098187A" w:rsidRPr="00BB0FE3">
        <w:t>services.</w:t>
      </w:r>
      <w:r w:rsidR="0098187A">
        <w:t xml:space="preserve"> </w:t>
      </w:r>
      <w:r w:rsidR="00B45B43">
        <w:t>P</w:t>
      </w:r>
      <w:r w:rsidR="00B45B43" w:rsidRPr="00BB0FE3">
        <w:t xml:space="preserve">recompression stress </w:t>
      </w:r>
      <w:r w:rsidR="00B45B43">
        <w:t>indicates</w:t>
      </w:r>
      <w:r w:rsidR="00B45B43" w:rsidRPr="00BB0FE3">
        <w:t xml:space="preserve"> </w:t>
      </w:r>
      <w:r w:rsidR="00B45B43">
        <w:t xml:space="preserve">the </w:t>
      </w:r>
      <w:r w:rsidR="00B45B43" w:rsidRPr="00BB0FE3">
        <w:t>site</w:t>
      </w:r>
      <w:r w:rsidR="00B45B43">
        <w:t>-</w:t>
      </w:r>
      <w:r w:rsidR="00B45B43" w:rsidRPr="00BB0FE3">
        <w:t xml:space="preserve">specific </w:t>
      </w:r>
      <w:r w:rsidR="00B45B43">
        <w:t xml:space="preserve">natural condition to carry and restore external mechanical force; it represents the condition at which soils are </w:t>
      </w:r>
      <w:r w:rsidR="00B45B43" w:rsidRPr="00BB0FE3">
        <w:t xml:space="preserve">resilient and </w:t>
      </w:r>
      <w:r w:rsidR="00B45B43">
        <w:t xml:space="preserve">can be </w:t>
      </w:r>
      <w:r w:rsidR="00B45B43" w:rsidRPr="00BB0FE3">
        <w:t>sustainably managed</w:t>
      </w:r>
      <w:r w:rsidR="00B45B43">
        <w:t>.</w:t>
      </w:r>
      <w:r w:rsidR="0098187A" w:rsidRPr="0098187A">
        <w:rPr>
          <w:b/>
          <w:bCs/>
        </w:rPr>
        <w:t xml:space="preserve"> </w:t>
      </w:r>
      <w:r w:rsidR="00D24130">
        <w:t>Monitoring focusses on s</w:t>
      </w:r>
      <w:r w:rsidR="00C1362E">
        <w:t>pecific</w:t>
      </w:r>
      <w:r w:rsidR="00BB0FE3" w:rsidRPr="00BB0FE3">
        <w:t xml:space="preserve"> soil physical (functional) parameters</w:t>
      </w:r>
      <w:r w:rsidR="00C1362E">
        <w:t xml:space="preserve"> </w:t>
      </w:r>
      <w:r w:rsidR="00D24130">
        <w:t xml:space="preserve">which </w:t>
      </w:r>
      <w:r w:rsidR="00C1362E">
        <w:t>describe</w:t>
      </w:r>
      <w:r w:rsidR="00BB0FE3" w:rsidRPr="00BB0FE3">
        <w:t xml:space="preserve"> the mechanical behaviour of the </w:t>
      </w:r>
      <w:r w:rsidR="00BB0FE3" w:rsidRPr="00E22248">
        <w:t xml:space="preserve">soil. </w:t>
      </w:r>
    </w:p>
    <w:p w14:paraId="3E9BA588" w14:textId="77777777" w:rsidR="00BB0FE3" w:rsidRPr="00BB0FE3" w:rsidRDefault="00BB0FE3" w:rsidP="007066D9">
      <w:pPr>
        <w:rPr>
          <w:lang w:val="en-US"/>
        </w:rPr>
      </w:pPr>
    </w:p>
    <w:p w14:paraId="742A1863" w14:textId="20F2804D" w:rsidR="00BB0FE3" w:rsidRPr="00BB0FE3" w:rsidRDefault="00DA654E" w:rsidP="00BB0FE3">
      <w:pPr>
        <w:pStyle w:val="berschrift2"/>
        <w:spacing w:line="276" w:lineRule="auto"/>
        <w:rPr>
          <w:rFonts w:asciiTheme="majorHAnsi" w:hAnsiTheme="majorHAnsi" w:cstheme="majorHAnsi"/>
          <w:szCs w:val="22"/>
        </w:rPr>
      </w:pPr>
      <w:bookmarkStart w:id="370" w:name="_Toc55299233"/>
      <w:bookmarkStart w:id="371" w:name="_Toc59032868"/>
      <w:bookmarkStart w:id="372" w:name="_Toc83997393"/>
      <w:r>
        <w:rPr>
          <w:rFonts w:asciiTheme="majorHAnsi" w:hAnsiTheme="majorHAnsi" w:cstheme="majorHAnsi"/>
          <w:szCs w:val="22"/>
        </w:rPr>
        <w:t>Role and assessment of</w:t>
      </w:r>
      <w:r w:rsidR="00BB0FE3" w:rsidRPr="00BB0FE3">
        <w:rPr>
          <w:rFonts w:asciiTheme="majorHAnsi" w:hAnsiTheme="majorHAnsi" w:cstheme="majorHAnsi"/>
          <w:szCs w:val="22"/>
        </w:rPr>
        <w:t xml:space="preserve"> soil compaction</w:t>
      </w:r>
      <w:bookmarkEnd w:id="370"/>
      <w:bookmarkEnd w:id="371"/>
      <w:bookmarkEnd w:id="372"/>
    </w:p>
    <w:p w14:paraId="5A98BCCC" w14:textId="45014BC4" w:rsidR="007066D9" w:rsidRPr="009D5972" w:rsidRDefault="000B2FC8" w:rsidP="002C488D">
      <w:pPr>
        <w:pStyle w:val="berschrift2"/>
        <w:numPr>
          <w:ilvl w:val="2"/>
          <w:numId w:val="3"/>
        </w:numPr>
        <w:tabs>
          <w:tab w:val="num" w:pos="360"/>
        </w:tabs>
        <w:rPr>
          <w:rStyle w:val="FormatvorlageFormatvorlageberschrift3Zchn1"/>
        </w:rPr>
      </w:pPr>
      <w:bookmarkStart w:id="373" w:name="_Toc83997394"/>
      <w:r>
        <w:rPr>
          <w:rStyle w:val="FormatvorlageFormatvorlageberschrift3Zchn1"/>
        </w:rPr>
        <w:t>Background and status</w:t>
      </w:r>
      <w:bookmarkEnd w:id="373"/>
      <w:r>
        <w:rPr>
          <w:rStyle w:val="FormatvorlageFormatvorlageberschrift3Zchn1"/>
        </w:rPr>
        <w:t xml:space="preserve"> </w:t>
      </w:r>
    </w:p>
    <w:p w14:paraId="2613A98B" w14:textId="77777777" w:rsidR="007066D9" w:rsidRDefault="007066D9" w:rsidP="007066D9"/>
    <w:p w14:paraId="44B93063" w14:textId="2134B099" w:rsidR="00BB0FE3" w:rsidRDefault="008F7713" w:rsidP="007066D9">
      <w:pPr>
        <w:rPr>
          <w:bCs/>
        </w:rPr>
      </w:pPr>
      <w:r>
        <w:t>S</w:t>
      </w:r>
      <w:r w:rsidR="00BB0FE3" w:rsidRPr="00BB0FE3">
        <w:t xml:space="preserve">oil compaction, </w:t>
      </w:r>
      <w:r>
        <w:t xml:space="preserve">in </w:t>
      </w:r>
      <w:r w:rsidR="0060078F">
        <w:t>particular</w:t>
      </w:r>
      <w:r>
        <w:t xml:space="preserve"> of the subsoil, </w:t>
      </w:r>
      <w:r w:rsidR="00BB0FE3" w:rsidRPr="00BB0FE3">
        <w:t xml:space="preserve">is primarily induced by </w:t>
      </w:r>
      <w:r w:rsidRPr="00BB0FE3">
        <w:t>heav</w:t>
      </w:r>
      <w:r>
        <w:t>y</w:t>
      </w:r>
      <w:r w:rsidRPr="00BB0FE3">
        <w:t xml:space="preserve"> </w:t>
      </w:r>
      <w:r w:rsidR="00BB0FE3" w:rsidRPr="00BB0FE3">
        <w:t>machinery</w:t>
      </w:r>
      <w:r w:rsidR="00267870">
        <w:t>, often paralleled by</w:t>
      </w:r>
      <w:r w:rsidR="00BB0FE3" w:rsidRPr="00BB0FE3">
        <w:t xml:space="preserve"> increasing field size</w:t>
      </w:r>
      <w:r w:rsidR="00217E7D">
        <w:t xml:space="preserve">. Seasonal time </w:t>
      </w:r>
      <w:r w:rsidR="0060078F">
        <w:t>constraints</w:t>
      </w:r>
      <w:r w:rsidR="00267870">
        <w:t xml:space="preserve"> (independent of the soil moisture level)</w:t>
      </w:r>
      <w:r w:rsidR="00217E7D">
        <w:t>, but also the operation</w:t>
      </w:r>
      <w:r w:rsidR="007C388D">
        <w:t>al</w:t>
      </w:r>
      <w:r w:rsidR="00217E7D">
        <w:t xml:space="preserve"> conditions </w:t>
      </w:r>
      <w:r w:rsidR="00A94479">
        <w:t xml:space="preserve">and limited knowledge </w:t>
      </w:r>
      <w:r w:rsidR="00D135D0">
        <w:t>of service providers (</w:t>
      </w:r>
      <w:r w:rsidR="0060078F">
        <w:t>machine</w:t>
      </w:r>
      <w:r w:rsidR="00D135D0">
        <w:t xml:space="preserve"> parks) </w:t>
      </w:r>
      <w:r w:rsidR="00A94479">
        <w:t xml:space="preserve">appear to be </w:t>
      </w:r>
      <w:r w:rsidR="007C388D">
        <w:t>additional pressures</w:t>
      </w:r>
      <w:r w:rsidR="00BB0FE3" w:rsidRPr="00BB0FE3">
        <w:t xml:space="preserve">. The </w:t>
      </w:r>
      <w:r w:rsidR="0060078F">
        <w:t>specif</w:t>
      </w:r>
      <w:r w:rsidR="003C2AA7">
        <w:t>ic damage</w:t>
      </w:r>
      <w:r w:rsidR="00BB0FE3" w:rsidRPr="00BB0FE3">
        <w:t xml:space="preserve"> on soil is conditioned by the machine weight, contact area, number of </w:t>
      </w:r>
      <w:r w:rsidR="00BB0FE3" w:rsidRPr="007C119C">
        <w:t xml:space="preserve">passages and area coverage, but also shearing and soil smearing from wheeling slip (Keller et al. 2019, </w:t>
      </w:r>
      <w:r w:rsidR="00BB0FE3" w:rsidRPr="007C119C">
        <w:lastRenderedPageBreak/>
        <w:t>Horn and Peth 2011, Horn 2021).</w:t>
      </w:r>
      <w:r w:rsidR="00BB0FE3" w:rsidRPr="00BB0FE3">
        <w:t xml:space="preserve"> </w:t>
      </w:r>
      <w:r w:rsidR="00BB0FE3" w:rsidRPr="00BB0FE3">
        <w:rPr>
          <w:bCs/>
        </w:rPr>
        <w:t>It is mainly the h</w:t>
      </w:r>
      <w:r w:rsidR="00BB0FE3" w:rsidRPr="00BB0FE3">
        <w:t>igh wheel and axle loads of transportation vehicles and harvesters which result</w:t>
      </w:r>
      <w:r w:rsidR="00BB0FE3" w:rsidRPr="00BB0FE3">
        <w:rPr>
          <w:bCs/>
        </w:rPr>
        <w:t xml:space="preserve"> at given contact area to mechanical stresses, which exceed the resisting forces within soil, and which then</w:t>
      </w:r>
      <w:r w:rsidR="00BB0FE3" w:rsidRPr="00BB0FE3">
        <w:t xml:space="preserve"> </w:t>
      </w:r>
      <w:r w:rsidR="00BB0FE3" w:rsidRPr="00BB0FE3">
        <w:rPr>
          <w:bCs/>
        </w:rPr>
        <w:t xml:space="preserve">create irreversible soil deformation and </w:t>
      </w:r>
      <w:r w:rsidR="00BB0FE3" w:rsidRPr="00BB0FE3">
        <w:t>permanent compaction</w:t>
      </w:r>
      <w:r w:rsidR="00BB0FE3" w:rsidRPr="00BB0FE3">
        <w:rPr>
          <w:bCs/>
        </w:rPr>
        <w:t xml:space="preserve"> – especially </w:t>
      </w:r>
      <w:r w:rsidR="00A65297">
        <w:rPr>
          <w:bCs/>
        </w:rPr>
        <w:t xml:space="preserve">in the subsoil, and </w:t>
      </w:r>
      <w:r w:rsidR="00BB0FE3" w:rsidRPr="00BB0FE3">
        <w:rPr>
          <w:bCs/>
        </w:rPr>
        <w:t>when soils are wet and weak</w:t>
      </w:r>
      <w:r w:rsidR="003246AC">
        <w:rPr>
          <w:bCs/>
        </w:rPr>
        <w:t>,</w:t>
      </w:r>
      <w:r w:rsidR="00BB0FE3" w:rsidRPr="00BB0FE3">
        <w:rPr>
          <w:bCs/>
        </w:rPr>
        <w:t xml:space="preserve"> and trafficking efficiency is low </w:t>
      </w:r>
      <w:r w:rsidR="00BB0FE3" w:rsidRPr="00E82093">
        <w:rPr>
          <w:bCs/>
        </w:rPr>
        <w:t>(Duttmann et al. 2014).</w:t>
      </w:r>
      <w:r w:rsidR="00BB0FE3" w:rsidRPr="00BB0FE3">
        <w:rPr>
          <w:bCs/>
        </w:rPr>
        <w:t xml:space="preserve"> Repeated trafficking generally results in cumulative soil compaction effects down to deeper soil depth and induces subsoil deformation of the pores and their functions if the given soil strength is exceeded by the applied stresses. </w:t>
      </w:r>
    </w:p>
    <w:p w14:paraId="37E2886B" w14:textId="77777777" w:rsidR="007066D9" w:rsidRPr="00BB0FE3" w:rsidRDefault="007066D9" w:rsidP="007066D9">
      <w:pPr>
        <w:rPr>
          <w:bCs/>
        </w:rPr>
      </w:pPr>
    </w:p>
    <w:p w14:paraId="0F822AF9" w14:textId="250D1054" w:rsidR="00BB0FE3" w:rsidRDefault="00BB0FE3" w:rsidP="007066D9">
      <w:r w:rsidRPr="005F35CC">
        <w:t>Based on the European data base of soil properties -SPADE8- (Koue et al.</w:t>
      </w:r>
      <w:r w:rsidR="003C26FA" w:rsidRPr="005F35CC">
        <w:t>,</w:t>
      </w:r>
      <w:r w:rsidRPr="005F35CC">
        <w:t xml:space="preserve"> 2008), Schjønning et al. (201</w:t>
      </w:r>
      <w:r w:rsidR="007D3906" w:rsidRPr="005F35CC">
        <w:t>6</w:t>
      </w:r>
      <w:r w:rsidRPr="005F35CC">
        <w:t>) estimated that 23% of the total agricultural area of Europe has a critically high level of compaction. Other estimates suggest that between 32% and 36% of European subsoils are highly susceptible to compaction (Jones et al.</w:t>
      </w:r>
      <w:r w:rsidR="00187AC1" w:rsidRPr="005F35CC">
        <w:t>,</w:t>
      </w:r>
      <w:r w:rsidRPr="005F35CC">
        <w:t xml:space="preserve"> 2012). Mordhorst et al. (2020) </w:t>
      </w:r>
      <w:r w:rsidRPr="005F35CC">
        <w:rPr>
          <w:color w:val="1C1D1E"/>
          <w:shd w:val="clear" w:color="auto" w:fill="FFFFFF"/>
        </w:rPr>
        <w:t>quantified the compaction status of 342 soil profiles</w:t>
      </w:r>
      <w:r w:rsidR="00187AC1" w:rsidRPr="005F35CC">
        <w:rPr>
          <w:color w:val="1C1D1E"/>
          <w:shd w:val="clear" w:color="auto" w:fill="FFFFFF"/>
        </w:rPr>
        <w:t xml:space="preserve">, </w:t>
      </w:r>
      <w:r w:rsidRPr="005F35CC">
        <w:rPr>
          <w:color w:val="1C1D1E"/>
          <w:shd w:val="clear" w:color="auto" w:fill="FFFFFF"/>
        </w:rPr>
        <w:t>includ</w:t>
      </w:r>
      <w:r w:rsidR="00187AC1" w:rsidRPr="005F35CC">
        <w:rPr>
          <w:color w:val="1C1D1E"/>
          <w:shd w:val="clear" w:color="auto" w:fill="FFFFFF"/>
        </w:rPr>
        <w:t>ing</w:t>
      </w:r>
      <w:r w:rsidRPr="005F35CC">
        <w:rPr>
          <w:color w:val="1C1D1E"/>
          <w:shd w:val="clear" w:color="auto" w:fill="FFFFFF"/>
        </w:rPr>
        <w:t xml:space="preserve"> both natural and potentially anthropogenic compaction.</w:t>
      </w:r>
      <w:r w:rsidR="002326F9" w:rsidRPr="005F35CC">
        <w:rPr>
          <w:color w:val="1C1D1E"/>
          <w:shd w:val="clear" w:color="auto" w:fill="FFFFFF"/>
        </w:rPr>
        <w:t xml:space="preserve"> A harmful subsoil</w:t>
      </w:r>
      <w:r w:rsidR="002B2A53" w:rsidRPr="005F35CC">
        <w:rPr>
          <w:color w:val="1C1D1E"/>
          <w:shd w:val="clear" w:color="auto" w:fill="FFFFFF"/>
        </w:rPr>
        <w:t xml:space="preserve"> compaction between 20-40% was determined for</w:t>
      </w:r>
      <w:r w:rsidRPr="005F35CC">
        <w:rPr>
          <w:color w:val="1C1D1E"/>
          <w:shd w:val="clear" w:color="auto" w:fill="FFFFFF"/>
        </w:rPr>
        <w:t xml:space="preserve"> </w:t>
      </w:r>
      <w:r w:rsidRPr="005F35CC">
        <w:rPr>
          <w:color w:val="1C1D1E"/>
          <w:shd w:val="clear" w:color="auto" w:fill="FFFFFF"/>
          <w:lang w:val="en-US"/>
        </w:rPr>
        <w:t>(stagnic) Luvisols and Stagnosols</w:t>
      </w:r>
      <w:r w:rsidR="00576A4C" w:rsidRPr="005F35CC">
        <w:rPr>
          <w:color w:val="1C1D1E"/>
          <w:shd w:val="clear" w:color="auto" w:fill="FFFFFF"/>
          <w:lang w:val="en-US"/>
        </w:rPr>
        <w:t>,</w:t>
      </w:r>
      <w:r w:rsidRPr="005F35CC">
        <w:rPr>
          <w:color w:val="1C1D1E"/>
          <w:shd w:val="clear" w:color="auto" w:fill="FFFFFF"/>
          <w:lang w:val="en-US"/>
        </w:rPr>
        <w:t xml:space="preserve"> and </w:t>
      </w:r>
      <w:r w:rsidRPr="005F35CC">
        <w:t xml:space="preserve">an </w:t>
      </w:r>
      <w:r w:rsidRPr="005F35CC">
        <w:rPr>
          <w:color w:val="1C1D1E"/>
          <w:shd w:val="clear" w:color="auto" w:fill="FFFFFF"/>
          <w:lang w:val="en-US"/>
        </w:rPr>
        <w:t xml:space="preserve">anthropogenic proportion of subsoil compaction with </w:t>
      </w:r>
      <w:r w:rsidRPr="005F35CC">
        <w:rPr>
          <w:shd w:val="clear" w:color="auto" w:fill="FFFFFF"/>
          <w:lang w:val="en-US"/>
        </w:rPr>
        <w:t>smallest</w:t>
      </w:r>
      <w:r w:rsidRPr="005F35CC">
        <w:rPr>
          <w:color w:val="1C1D1E"/>
          <w:shd w:val="clear" w:color="auto" w:fill="FFFFFF"/>
          <w:lang w:val="en-US"/>
        </w:rPr>
        <w:t xml:space="preserve"> values for air capacity and saturated hydraulic conductivity </w:t>
      </w:r>
      <w:r w:rsidR="00606B7F" w:rsidRPr="005F35CC">
        <w:rPr>
          <w:color w:val="1C1D1E"/>
          <w:shd w:val="clear" w:color="auto" w:fill="FFFFFF"/>
          <w:lang w:val="en-US"/>
        </w:rPr>
        <w:t xml:space="preserve">was found for at </w:t>
      </w:r>
      <w:r w:rsidRPr="005F35CC">
        <w:rPr>
          <w:color w:val="1C1D1E"/>
          <w:shd w:val="clear" w:color="auto" w:fill="FFFFFF"/>
          <w:lang w:val="en-US"/>
        </w:rPr>
        <w:t xml:space="preserve">least 6%–10% </w:t>
      </w:r>
      <w:r w:rsidR="00606B7F" w:rsidRPr="005F35CC">
        <w:rPr>
          <w:color w:val="1C1D1E"/>
          <w:shd w:val="clear" w:color="auto" w:fill="FFFFFF"/>
          <w:lang w:val="en-US"/>
        </w:rPr>
        <w:t>of the area</w:t>
      </w:r>
      <w:r w:rsidRPr="005F35CC">
        <w:t>. Van den Akker et al. (2013) calculated that about 43% of the subsoils in the Netherlands are over compacted, while for the agricultural area in Central Switzerland, Widmer (2013) estimates that ca. one-third of area may have critically high soil densities</w:t>
      </w:r>
      <w:r w:rsidRPr="00BB0FE3">
        <w:t>.</w:t>
      </w:r>
    </w:p>
    <w:p w14:paraId="0611255B" w14:textId="12A1918C" w:rsidR="007066D9" w:rsidRDefault="007066D9" w:rsidP="007066D9"/>
    <w:p w14:paraId="5B595E55" w14:textId="63A80740" w:rsidR="00671C87" w:rsidRDefault="00671C87" w:rsidP="007066D9">
      <w:r w:rsidRPr="005F35CC">
        <w:t xml:space="preserve">Compaction </w:t>
      </w:r>
      <w:r w:rsidR="00304B3F" w:rsidRPr="005F35CC">
        <w:t>increases the penetration resistance of soil, while root growth and biological activity, like frequency of earthworms, nematodes, or collemboles, are reduced (Gregory et al., 2007; Beylich et al., 2010; Schrader, 1999). The extent to which these changes occur depends on the stress intensity and duration as well as kind of stress applied (static or wheeling induced shear effects)</w:t>
      </w:r>
      <w:r w:rsidR="00A14056" w:rsidRPr="005F35CC">
        <w:t>.</w:t>
      </w:r>
      <w:r w:rsidR="00274AC8" w:rsidRPr="005F35CC">
        <w:t xml:space="preserve"> Also, physicochemical processes are affected, </w:t>
      </w:r>
      <w:r w:rsidR="00CC1908" w:rsidRPr="005F35CC">
        <w:t xml:space="preserve">such as </w:t>
      </w:r>
      <w:r w:rsidR="00274AC8" w:rsidRPr="005F35CC">
        <w:t xml:space="preserve">redox potential, </w:t>
      </w:r>
      <w:r w:rsidR="00CC1908" w:rsidRPr="005F35CC">
        <w:t xml:space="preserve">and </w:t>
      </w:r>
      <w:r w:rsidR="00274AC8" w:rsidRPr="005F35CC">
        <w:t>related effects for the pH value</w:t>
      </w:r>
      <w:r w:rsidR="00CC1908" w:rsidRPr="005F35CC">
        <w:t xml:space="preserve"> in soil</w:t>
      </w:r>
      <w:r w:rsidR="00FD1E53" w:rsidRPr="005F35CC">
        <w:t xml:space="preserve">. Consequently, </w:t>
      </w:r>
      <w:r w:rsidR="00274AC8" w:rsidRPr="005F35CC">
        <w:t xml:space="preserve">microbial composition </w:t>
      </w:r>
      <w:r w:rsidR="00FD1E53" w:rsidRPr="005F35CC">
        <w:t xml:space="preserve">can change </w:t>
      </w:r>
      <w:r w:rsidR="00274AC8" w:rsidRPr="005F35CC">
        <w:t>from oxic to facultative anoxic to anoxic microbiological communities.</w:t>
      </w:r>
      <w:r w:rsidR="008C7230" w:rsidRPr="005F35CC">
        <w:t xml:space="preserve"> Stress-induced formation of a platy structure </w:t>
      </w:r>
      <w:r w:rsidR="00116110" w:rsidRPr="005F35CC">
        <w:t xml:space="preserve">favours </w:t>
      </w:r>
      <w:r w:rsidR="008C7230" w:rsidRPr="005F35CC">
        <w:t>horizontal fluxes in slopy area</w:t>
      </w:r>
      <w:r w:rsidR="00116110" w:rsidRPr="005F35CC">
        <w:t xml:space="preserve">, so that </w:t>
      </w:r>
      <w:r w:rsidR="008C7230" w:rsidRPr="005F35CC">
        <w:t xml:space="preserve">water erosion and </w:t>
      </w:r>
      <w:r w:rsidR="00116110" w:rsidRPr="005F35CC">
        <w:t xml:space="preserve">stronger and </w:t>
      </w:r>
      <w:r w:rsidR="008C7230" w:rsidRPr="005F35CC">
        <w:t>high</w:t>
      </w:r>
      <w:r w:rsidR="00116110" w:rsidRPr="005F35CC">
        <w:t>er</w:t>
      </w:r>
      <w:r w:rsidR="008C7230" w:rsidRPr="005F35CC">
        <w:t xml:space="preserve"> flood</w:t>
      </w:r>
      <w:r w:rsidR="00116110" w:rsidRPr="005F35CC">
        <w:t>s</w:t>
      </w:r>
      <w:r w:rsidR="008C7230" w:rsidRPr="005F35CC">
        <w:t xml:space="preserve"> </w:t>
      </w:r>
      <w:r w:rsidR="00116110" w:rsidRPr="005F35CC">
        <w:t xml:space="preserve">can </w:t>
      </w:r>
      <w:r w:rsidR="008C7230" w:rsidRPr="005F35CC">
        <w:t>occur</w:t>
      </w:r>
      <w:r w:rsidR="00116110" w:rsidRPr="005F35CC">
        <w:t xml:space="preserve"> </w:t>
      </w:r>
      <w:r w:rsidR="008C7230" w:rsidRPr="005F35CC">
        <w:t>(Horn et al. 2019</w:t>
      </w:r>
      <w:r w:rsidR="003C1006" w:rsidRPr="005F35CC">
        <w:t>; see also review by Alaoui et al., 2018</w:t>
      </w:r>
      <w:r w:rsidR="00AE7A77" w:rsidRPr="005F35CC">
        <w:t xml:space="preserve"> and Van der Ploeg et al., 1999, 2002</w:t>
      </w:r>
      <w:r w:rsidR="008C7230" w:rsidRPr="005F35CC">
        <w:t>).</w:t>
      </w:r>
    </w:p>
    <w:p w14:paraId="15964D07" w14:textId="77777777" w:rsidR="00671C87" w:rsidRPr="00BB0FE3" w:rsidRDefault="00671C87" w:rsidP="007066D9"/>
    <w:p w14:paraId="0FB7403E" w14:textId="270E28F2" w:rsidR="00BB0FE3" w:rsidRDefault="00BB0FE3" w:rsidP="00616A32">
      <w:pPr>
        <w:rPr>
          <w:noProof/>
        </w:rPr>
      </w:pPr>
      <w:r w:rsidRPr="00BB0FE3">
        <w:t xml:space="preserve">Trafficking and its effects on compaction receive more and more attention in the development of solutions against compaction. Augustin et al. (2020) concluded from long-term observations, that </w:t>
      </w:r>
      <w:r w:rsidR="00576A4C" w:rsidRPr="00BB0FE3">
        <w:rPr>
          <w:rFonts w:eastAsiaTheme="minorHAnsi"/>
          <w:lang w:val="en-US" w:eastAsia="en-US"/>
        </w:rPr>
        <w:t>between</w:t>
      </w:r>
      <w:r w:rsidRPr="00BB0FE3">
        <w:rPr>
          <w:rFonts w:eastAsiaTheme="minorHAnsi"/>
          <w:lang w:val="en-US" w:eastAsia="en-US"/>
        </w:rPr>
        <w:t xml:space="preserve"> 82% (winter wheat) and 100% (sugar beet) of the total infield area is trafficked during a single season. Of that more than 15 % is repeatedly affected. The highest trafficking density is known for sugar beet or corn</w:t>
      </w:r>
      <w:r w:rsidR="00BF2B83">
        <w:rPr>
          <w:rFonts w:eastAsiaTheme="minorHAnsi"/>
          <w:lang w:val="en-US" w:eastAsia="en-US"/>
        </w:rPr>
        <w:t xml:space="preserve">; there, </w:t>
      </w:r>
      <w:r w:rsidRPr="00BB0FE3">
        <w:rPr>
          <w:rFonts w:eastAsiaTheme="minorHAnsi"/>
          <w:lang w:val="en-US" w:eastAsia="en-US"/>
        </w:rPr>
        <w:t>harvest</w:t>
      </w:r>
      <w:r w:rsidR="00FF3B04">
        <w:rPr>
          <w:rFonts w:eastAsiaTheme="minorHAnsi"/>
          <w:lang w:val="en-US" w:eastAsia="en-US"/>
        </w:rPr>
        <w:t xml:space="preserve"> involves </w:t>
      </w:r>
      <w:r w:rsidRPr="00BB0FE3">
        <w:rPr>
          <w:rFonts w:eastAsiaTheme="minorHAnsi"/>
          <w:lang w:val="en-US" w:eastAsia="en-US"/>
        </w:rPr>
        <w:t>more frequent trafficking with high ground pressure</w:t>
      </w:r>
      <w:r w:rsidR="00FF3B04">
        <w:rPr>
          <w:rFonts w:eastAsiaTheme="minorHAnsi"/>
          <w:lang w:val="en-US" w:eastAsia="en-US"/>
        </w:rPr>
        <w:t>s, at a time</w:t>
      </w:r>
      <w:r w:rsidRPr="00BB0FE3">
        <w:rPr>
          <w:rFonts w:eastAsiaTheme="minorHAnsi"/>
          <w:lang w:val="en-US" w:eastAsia="en-US"/>
        </w:rPr>
        <w:t xml:space="preserve"> </w:t>
      </w:r>
      <w:r w:rsidR="00FF3B04">
        <w:rPr>
          <w:rFonts w:eastAsiaTheme="minorHAnsi"/>
          <w:lang w:val="en-US" w:eastAsia="en-US"/>
        </w:rPr>
        <w:t xml:space="preserve">during </w:t>
      </w:r>
      <w:r w:rsidRPr="00BB0FE3">
        <w:rPr>
          <w:rFonts w:eastAsiaTheme="minorHAnsi"/>
          <w:lang w:val="en-US" w:eastAsia="en-US"/>
        </w:rPr>
        <w:t xml:space="preserve">late autumn </w:t>
      </w:r>
      <w:r w:rsidR="00FF3B04">
        <w:rPr>
          <w:rFonts w:eastAsiaTheme="minorHAnsi"/>
          <w:lang w:val="en-US" w:eastAsia="en-US"/>
        </w:rPr>
        <w:t xml:space="preserve">when </w:t>
      </w:r>
      <w:r w:rsidRPr="00BB0FE3">
        <w:rPr>
          <w:rFonts w:eastAsiaTheme="minorHAnsi"/>
          <w:lang w:val="en-US" w:eastAsia="en-US"/>
        </w:rPr>
        <w:t xml:space="preserve">a higher water content </w:t>
      </w:r>
      <w:r w:rsidR="001F5C3C">
        <w:rPr>
          <w:rFonts w:eastAsiaTheme="minorHAnsi"/>
          <w:lang w:val="en-US" w:eastAsia="en-US"/>
        </w:rPr>
        <w:t>prevails, also at lower</w:t>
      </w:r>
      <w:r w:rsidRPr="00BB0FE3">
        <w:rPr>
          <w:rFonts w:eastAsiaTheme="minorHAnsi"/>
          <w:lang w:val="en-US" w:eastAsia="en-US"/>
        </w:rPr>
        <w:t xml:space="preserve"> depth</w:t>
      </w:r>
      <w:r w:rsidR="001F5C3C">
        <w:rPr>
          <w:rFonts w:eastAsiaTheme="minorHAnsi"/>
          <w:lang w:val="en-US" w:eastAsia="en-US"/>
        </w:rPr>
        <w:t>s</w:t>
      </w:r>
      <w:r w:rsidRPr="00BB0FE3">
        <w:rPr>
          <w:rFonts w:eastAsiaTheme="minorHAnsi"/>
          <w:lang w:val="en-US" w:eastAsia="en-US"/>
        </w:rPr>
        <w:t>. During the last 40 years</w:t>
      </w:r>
      <w:r w:rsidR="003246AC">
        <w:rPr>
          <w:rFonts w:eastAsiaTheme="minorHAnsi"/>
          <w:lang w:val="en-US" w:eastAsia="en-US"/>
        </w:rPr>
        <w:t>,</w:t>
      </w:r>
      <w:r w:rsidRPr="00BB0FE3">
        <w:rPr>
          <w:rFonts w:eastAsiaTheme="minorHAnsi"/>
          <w:lang w:val="en-US" w:eastAsia="en-US"/>
        </w:rPr>
        <w:t xml:space="preserve"> increase</w:t>
      </w:r>
      <w:r w:rsidR="00D307A6">
        <w:rPr>
          <w:rFonts w:eastAsiaTheme="minorHAnsi"/>
          <w:lang w:val="en-US" w:eastAsia="en-US"/>
        </w:rPr>
        <w:t>s</w:t>
      </w:r>
      <w:r w:rsidRPr="00BB0FE3">
        <w:rPr>
          <w:rFonts w:eastAsiaTheme="minorHAnsi"/>
          <w:lang w:val="en-US" w:eastAsia="en-US"/>
        </w:rPr>
        <w:t xml:space="preserve"> </w:t>
      </w:r>
      <w:r w:rsidR="00D307A6">
        <w:rPr>
          <w:rFonts w:eastAsiaTheme="minorHAnsi"/>
          <w:lang w:val="en-US" w:eastAsia="en-US"/>
        </w:rPr>
        <w:t>in</w:t>
      </w:r>
      <w:r w:rsidRPr="00BB0FE3">
        <w:rPr>
          <w:rFonts w:eastAsiaTheme="minorHAnsi"/>
          <w:lang w:val="en-US" w:eastAsia="en-US"/>
        </w:rPr>
        <w:t xml:space="preserve"> stress affected soil depth and decrease</w:t>
      </w:r>
      <w:r w:rsidR="00D307A6">
        <w:rPr>
          <w:rFonts w:eastAsiaTheme="minorHAnsi"/>
          <w:lang w:val="en-US" w:eastAsia="en-US"/>
        </w:rPr>
        <w:t>s</w:t>
      </w:r>
      <w:r w:rsidRPr="00BB0FE3">
        <w:rPr>
          <w:rFonts w:eastAsiaTheme="minorHAnsi"/>
          <w:lang w:val="en-US" w:eastAsia="en-US"/>
        </w:rPr>
        <w:t xml:space="preserve"> </w:t>
      </w:r>
      <w:r w:rsidR="00D307A6">
        <w:rPr>
          <w:rFonts w:eastAsiaTheme="minorHAnsi"/>
          <w:lang w:val="en-US" w:eastAsia="en-US"/>
        </w:rPr>
        <w:t xml:space="preserve">of </w:t>
      </w:r>
      <w:r w:rsidRPr="00BB0FE3">
        <w:rPr>
          <w:rFonts w:eastAsiaTheme="minorHAnsi"/>
          <w:lang w:val="en-US" w:eastAsia="en-US"/>
        </w:rPr>
        <w:t>the rootability</w:t>
      </w:r>
      <w:r w:rsidRPr="00BB0FE3">
        <w:t xml:space="preserve"> </w:t>
      </w:r>
      <w:r w:rsidR="00D307A6">
        <w:t xml:space="preserve">were observed </w:t>
      </w:r>
      <w:r w:rsidRPr="00BB0FE3">
        <w:t>(Keller et al. 2019)</w:t>
      </w:r>
      <w:r w:rsidRPr="00BB0FE3">
        <w:rPr>
          <w:rFonts w:eastAsiaTheme="minorHAnsi"/>
          <w:lang w:val="en-US" w:eastAsia="en-US"/>
        </w:rPr>
        <w:t xml:space="preserve">. The </w:t>
      </w:r>
      <w:r w:rsidR="00791B4A">
        <w:rPr>
          <w:rFonts w:eastAsiaTheme="minorHAnsi"/>
          <w:lang w:val="en-US" w:eastAsia="en-US"/>
        </w:rPr>
        <w:t>impact</w:t>
      </w:r>
      <w:r w:rsidR="005953C4" w:rsidRPr="00BB0FE3">
        <w:rPr>
          <w:rFonts w:eastAsiaTheme="minorHAnsi"/>
          <w:lang w:val="en-US" w:eastAsia="en-US"/>
        </w:rPr>
        <w:t xml:space="preserve"> </w:t>
      </w:r>
      <w:r w:rsidRPr="00BB0FE3">
        <w:rPr>
          <w:rFonts w:eastAsiaTheme="minorHAnsi"/>
          <w:lang w:val="en-US" w:eastAsia="en-US"/>
        </w:rPr>
        <w:t xml:space="preserve">of these </w:t>
      </w:r>
      <w:r w:rsidR="00433054">
        <w:rPr>
          <w:rFonts w:eastAsiaTheme="minorHAnsi"/>
          <w:lang w:val="en-US" w:eastAsia="en-US"/>
        </w:rPr>
        <w:t>stresses</w:t>
      </w:r>
      <w:r w:rsidR="00433054" w:rsidRPr="00BB0FE3">
        <w:rPr>
          <w:rFonts w:eastAsiaTheme="minorHAnsi"/>
          <w:lang w:val="en-US" w:eastAsia="en-US"/>
        </w:rPr>
        <w:t xml:space="preserve"> </w:t>
      </w:r>
      <w:r w:rsidRPr="00BB0FE3">
        <w:rPr>
          <w:rFonts w:eastAsiaTheme="minorHAnsi"/>
          <w:lang w:val="en-US" w:eastAsia="en-US"/>
        </w:rPr>
        <w:t>depend</w:t>
      </w:r>
      <w:r w:rsidR="00931980">
        <w:rPr>
          <w:rFonts w:eastAsiaTheme="minorHAnsi"/>
          <w:lang w:val="en-US" w:eastAsia="en-US"/>
        </w:rPr>
        <w:t>s</w:t>
      </w:r>
      <w:r w:rsidRPr="00BB0FE3">
        <w:rPr>
          <w:rFonts w:eastAsiaTheme="minorHAnsi"/>
          <w:lang w:val="en-US" w:eastAsia="en-US"/>
        </w:rPr>
        <w:t xml:space="preserve"> on the soil internal strength (defined as precompression stress), </w:t>
      </w:r>
      <w:r w:rsidR="00791B4A">
        <w:rPr>
          <w:rFonts w:eastAsiaTheme="minorHAnsi"/>
          <w:lang w:val="en-US" w:eastAsia="en-US"/>
        </w:rPr>
        <w:t xml:space="preserve">for </w:t>
      </w:r>
      <w:r w:rsidRPr="00BB0FE3">
        <w:rPr>
          <w:rFonts w:eastAsiaTheme="minorHAnsi"/>
          <w:lang w:val="en-US" w:eastAsia="en-US"/>
        </w:rPr>
        <w:t xml:space="preserve">which </w:t>
      </w:r>
      <w:r w:rsidR="00433054">
        <w:rPr>
          <w:rFonts w:eastAsiaTheme="minorHAnsi"/>
          <w:lang w:val="en-US" w:eastAsia="en-US"/>
        </w:rPr>
        <w:t>site-specific</w:t>
      </w:r>
      <w:r w:rsidR="00433054" w:rsidRPr="00BB0FE3">
        <w:rPr>
          <w:rFonts w:eastAsiaTheme="minorHAnsi"/>
          <w:lang w:val="en-US" w:eastAsia="en-US"/>
        </w:rPr>
        <w:t xml:space="preserve"> </w:t>
      </w:r>
      <w:r w:rsidRPr="00BB0FE3">
        <w:rPr>
          <w:rFonts w:eastAsiaTheme="minorHAnsi"/>
          <w:lang w:val="en-US" w:eastAsia="en-US"/>
        </w:rPr>
        <w:t>threshold</w:t>
      </w:r>
      <w:r w:rsidR="00F4282A">
        <w:rPr>
          <w:rFonts w:eastAsiaTheme="minorHAnsi"/>
          <w:lang w:val="en-US" w:eastAsia="en-US"/>
        </w:rPr>
        <w:t>s can be defined</w:t>
      </w:r>
      <w:r w:rsidRPr="00BB0FE3">
        <w:rPr>
          <w:rFonts w:eastAsiaTheme="minorHAnsi"/>
          <w:lang w:val="en-US" w:eastAsia="en-US"/>
        </w:rPr>
        <w:t xml:space="preserve"> </w:t>
      </w:r>
      <w:r w:rsidR="001D5E15">
        <w:rPr>
          <w:rFonts w:eastAsiaTheme="minorHAnsi"/>
          <w:lang w:val="en-US" w:eastAsia="en-US"/>
        </w:rPr>
        <w:t>so that</w:t>
      </w:r>
      <w:r w:rsidRPr="00BB0FE3">
        <w:rPr>
          <w:rFonts w:eastAsiaTheme="minorHAnsi"/>
          <w:lang w:val="en-US" w:eastAsia="en-US"/>
        </w:rPr>
        <w:t xml:space="preserve"> further deformation at higher stress</w:t>
      </w:r>
      <w:r w:rsidR="001D5E15">
        <w:rPr>
          <w:rFonts w:eastAsiaTheme="minorHAnsi"/>
          <w:lang w:val="en-US" w:eastAsia="en-US"/>
        </w:rPr>
        <w:t xml:space="preserve"> can be indicated and avoided</w:t>
      </w:r>
      <w:r w:rsidRPr="00BB0FE3">
        <w:rPr>
          <w:rFonts w:eastAsiaTheme="minorHAnsi"/>
          <w:lang w:val="en-US" w:eastAsia="en-US"/>
        </w:rPr>
        <w:t xml:space="preserve"> </w:t>
      </w:r>
      <w:r w:rsidRPr="00BB0FE3">
        <w:t>(</w:t>
      </w:r>
      <w:r w:rsidR="00562E1A">
        <w:t xml:space="preserve">see </w:t>
      </w:r>
      <w:r w:rsidR="00931980">
        <w:t xml:space="preserve">also </w:t>
      </w:r>
      <w:r w:rsidR="002D36BA">
        <w:fldChar w:fldCharType="begin"/>
      </w:r>
      <w:r w:rsidR="002D36BA">
        <w:instrText xml:space="preserve"> REF _Ref82783489 \h </w:instrText>
      </w:r>
      <w:r w:rsidR="00616A32">
        <w:instrText xml:space="preserve"> \* MERGEFORMAT </w:instrText>
      </w:r>
      <w:r w:rsidR="002D36BA">
        <w:fldChar w:fldCharType="separate"/>
      </w:r>
      <w:r w:rsidR="0067767C" w:rsidRPr="00B2361E">
        <w:t xml:space="preserve">Figure </w:t>
      </w:r>
      <w:r w:rsidR="0067767C">
        <w:rPr>
          <w:noProof/>
        </w:rPr>
        <w:t>8</w:t>
      </w:r>
      <w:r w:rsidR="0067767C">
        <w:rPr>
          <w:noProof/>
        </w:rPr>
        <w:noBreakHyphen/>
        <w:t>1</w:t>
      </w:r>
      <w:r w:rsidR="002D36BA">
        <w:fldChar w:fldCharType="end"/>
      </w:r>
      <w:r w:rsidRPr="00BB0FE3">
        <w:t>)</w:t>
      </w:r>
      <w:r w:rsidR="002B2A53">
        <w:t>.</w:t>
      </w:r>
      <w:r w:rsidRPr="00BB0FE3">
        <w:rPr>
          <w:noProof/>
        </w:rPr>
        <w:t xml:space="preserve"> </w:t>
      </w:r>
    </w:p>
    <w:p w14:paraId="5601A14C" w14:textId="0FF52874" w:rsidR="002D36BA" w:rsidRDefault="002D36BA">
      <w:pPr>
        <w:suppressAutoHyphens w:val="0"/>
        <w:jc w:val="left"/>
      </w:pPr>
      <w:r>
        <w:br w:type="page"/>
      </w:r>
    </w:p>
    <w:p w14:paraId="4E7473D4" w14:textId="77777777" w:rsidR="00CA7716" w:rsidRDefault="00CA7716" w:rsidP="002D36BA"/>
    <w:p w14:paraId="1795D294" w14:textId="48FEA036" w:rsidR="002D36BA" w:rsidRPr="00B2361E" w:rsidRDefault="00E533B5" w:rsidP="002D36BA">
      <w:pPr>
        <w:pStyle w:val="FormatvorlageBeschriftung"/>
      </w:pPr>
      <w:bookmarkStart w:id="374" w:name="_Ref82783489"/>
      <w:bookmarkStart w:id="375" w:name="_Toc83997440"/>
      <w:r w:rsidRPr="00BB0FE3">
        <w:rPr>
          <w:rFonts w:asciiTheme="majorHAnsi" w:hAnsiTheme="majorHAnsi" w:cstheme="majorHAnsi"/>
          <w:noProof/>
          <w:szCs w:val="22"/>
          <w:lang w:eastAsia="en-GB"/>
        </w:rPr>
        <w:drawing>
          <wp:anchor distT="0" distB="0" distL="114300" distR="114300" simplePos="0" relativeHeight="251745792" behindDoc="0" locked="0" layoutInCell="1" allowOverlap="1" wp14:anchorId="51992D05" wp14:editId="32ADD92B">
            <wp:simplePos x="0" y="0"/>
            <wp:positionH relativeFrom="margin">
              <wp:posOffset>144772</wp:posOffset>
            </wp:positionH>
            <wp:positionV relativeFrom="paragraph">
              <wp:posOffset>310301</wp:posOffset>
            </wp:positionV>
            <wp:extent cx="5720080" cy="2640330"/>
            <wp:effectExtent l="0" t="0" r="0" b="762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0080" cy="2640330"/>
                    </a:xfrm>
                    <a:prstGeom prst="rect">
                      <a:avLst/>
                    </a:prstGeom>
                    <a:noFill/>
                  </pic:spPr>
                </pic:pic>
              </a:graphicData>
            </a:graphic>
            <wp14:sizeRelH relativeFrom="margin">
              <wp14:pctWidth>0</wp14:pctWidth>
            </wp14:sizeRelH>
            <wp14:sizeRelV relativeFrom="margin">
              <wp14:pctHeight>0</wp14:pctHeight>
            </wp14:sizeRelV>
          </wp:anchor>
        </w:drawing>
      </w:r>
      <w:r w:rsidR="002D36BA" w:rsidRPr="00B2361E">
        <w:t xml:space="preserve">Figure </w:t>
      </w:r>
      <w:r w:rsidR="00CA7716">
        <w:fldChar w:fldCharType="begin"/>
      </w:r>
      <w:r w:rsidR="00CA7716">
        <w:instrText xml:space="preserve"> STYLEREF 1 \s </w:instrText>
      </w:r>
      <w:r w:rsidR="00CA7716">
        <w:fldChar w:fldCharType="separate"/>
      </w:r>
      <w:r w:rsidR="0067767C">
        <w:rPr>
          <w:noProof/>
        </w:rPr>
        <w:t>8</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374"/>
      <w:r w:rsidR="002D36BA" w:rsidRPr="00B2361E">
        <w:t>:</w:t>
      </w:r>
      <w:r w:rsidR="002D36BA" w:rsidRPr="00B2361E">
        <w:tab/>
      </w:r>
      <w:r w:rsidR="002D36BA" w:rsidRPr="00EA081C">
        <w:t>Soil compaction processes, parameters and indicators</w:t>
      </w:r>
      <w:bookmarkEnd w:id="375"/>
    </w:p>
    <w:p w14:paraId="57BF41DB" w14:textId="489A0DA5" w:rsidR="002D36BA" w:rsidRDefault="002D36BA" w:rsidP="00562E1A">
      <w:pPr>
        <w:suppressAutoHyphens w:val="0"/>
        <w:jc w:val="left"/>
        <w:rPr>
          <w:noProof/>
        </w:rPr>
      </w:pPr>
    </w:p>
    <w:p w14:paraId="3B01A1F5" w14:textId="77777777" w:rsidR="002D36BA" w:rsidRDefault="002D36BA" w:rsidP="007066D9"/>
    <w:p w14:paraId="57B79FC6" w14:textId="78A05C4B" w:rsidR="00BB0FE3" w:rsidRPr="00BB0FE3" w:rsidRDefault="00BB0FE3" w:rsidP="007066D9">
      <w:r w:rsidRPr="00BB0FE3">
        <w:t xml:space="preserve">Without doubt, soil compaction is the most serious problem, and monitoring of soil compaction based on the indicators and impact effects is urgently needed in order to maintain the sustainable soil properties and their resilience for </w:t>
      </w:r>
      <w:r w:rsidRPr="005F35CC">
        <w:t>future generations and to avoid enhanced climate change or soil erosion and surface water pollution effects (Jones et al 2003, Batey 2009, Rogger et al. 2018, Horn 2021)</w:t>
      </w:r>
    </w:p>
    <w:p w14:paraId="286654DB" w14:textId="77777777" w:rsidR="00BB0FE3" w:rsidRPr="00BB0FE3" w:rsidRDefault="00BB0FE3" w:rsidP="007066D9"/>
    <w:p w14:paraId="3D008676" w14:textId="3FB9EAC8" w:rsidR="000C097B" w:rsidRPr="009D5972" w:rsidRDefault="000C097B" w:rsidP="002C488D">
      <w:pPr>
        <w:pStyle w:val="berschrift2"/>
        <w:numPr>
          <w:ilvl w:val="2"/>
          <w:numId w:val="3"/>
        </w:numPr>
        <w:rPr>
          <w:rStyle w:val="FormatvorlageFormatvorlageberschrift3Zchn1"/>
        </w:rPr>
      </w:pPr>
      <w:bookmarkStart w:id="376" w:name="_Toc83997395"/>
      <w:r w:rsidRPr="000C097B">
        <w:rPr>
          <w:rStyle w:val="FormatvorlageFormatvorlageberschrift3Zchn1"/>
        </w:rPr>
        <w:t>Soil compaction processes</w:t>
      </w:r>
      <w:bookmarkEnd w:id="376"/>
    </w:p>
    <w:p w14:paraId="6B543AB0" w14:textId="77777777" w:rsidR="000C097B" w:rsidRDefault="000C097B" w:rsidP="007066D9"/>
    <w:p w14:paraId="78D22F18" w14:textId="338571DF" w:rsidR="00BB0FE3" w:rsidRPr="00BB0FE3" w:rsidRDefault="00BB0FE3" w:rsidP="007066D9">
      <w:r w:rsidRPr="00BB0FE3">
        <w:t>Observation of soil compaction and the definition and selection of the proper indicator(s) require knowledge of the pressures on soil and its properties, and the spatio-temporal response processes in the soil (</w:t>
      </w:r>
      <w:r w:rsidR="004C089C">
        <w:fldChar w:fldCharType="begin"/>
      </w:r>
      <w:r w:rsidR="004C089C">
        <w:instrText xml:space="preserve"> REF _Ref64646758 \h </w:instrText>
      </w:r>
      <w:r w:rsidR="004C089C">
        <w:fldChar w:fldCharType="separate"/>
      </w:r>
      <w:r w:rsidR="0067767C">
        <w:t xml:space="preserve">Table </w:t>
      </w:r>
      <w:r w:rsidR="0067767C">
        <w:rPr>
          <w:noProof/>
        </w:rPr>
        <w:t>8</w:t>
      </w:r>
      <w:r w:rsidR="0067767C">
        <w:noBreakHyphen/>
      </w:r>
      <w:r w:rsidR="0067767C">
        <w:rPr>
          <w:noProof/>
        </w:rPr>
        <w:t>2</w:t>
      </w:r>
      <w:r w:rsidR="004C089C">
        <w:fldChar w:fldCharType="end"/>
      </w:r>
      <w:r w:rsidRPr="00BB0FE3">
        <w:t>).</w:t>
      </w:r>
    </w:p>
    <w:p w14:paraId="6A84BB97" w14:textId="77777777" w:rsidR="00BB0FE3" w:rsidRPr="00BB0FE3" w:rsidRDefault="00BB0FE3" w:rsidP="007066D9"/>
    <w:p w14:paraId="01DA6A8D" w14:textId="228016E9" w:rsidR="00BB0FE3" w:rsidRPr="00BB0FE3" w:rsidRDefault="007066D9" w:rsidP="00BB0FE3">
      <w:pPr>
        <w:pStyle w:val="EEALabel"/>
        <w:spacing w:line="276" w:lineRule="auto"/>
        <w:rPr>
          <w:rFonts w:asciiTheme="majorHAnsi" w:eastAsia="Calibri" w:hAnsiTheme="majorHAnsi" w:cstheme="majorHAnsi"/>
          <w:szCs w:val="22"/>
        </w:rPr>
      </w:pPr>
      <w:bookmarkStart w:id="377" w:name="_Ref64646758"/>
      <w:bookmarkStart w:id="378" w:name="_Toc83997533"/>
      <w:r>
        <w:t xml:space="preserve">Table </w:t>
      </w:r>
      <w:r w:rsidR="00C76C23">
        <w:fldChar w:fldCharType="begin"/>
      </w:r>
      <w:r w:rsidR="00C76C23">
        <w:instrText xml:space="preserve"> STYLEREF 1 \s </w:instrText>
      </w:r>
      <w:r w:rsidR="00C76C23">
        <w:fldChar w:fldCharType="separate"/>
      </w:r>
      <w:r w:rsidR="0067767C">
        <w:rPr>
          <w:noProof/>
        </w:rPr>
        <w:t>8</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2</w:t>
      </w:r>
      <w:r w:rsidR="00C76C23">
        <w:fldChar w:fldCharType="end"/>
      </w:r>
      <w:bookmarkEnd w:id="377"/>
      <w:r>
        <w:t>:</w:t>
      </w:r>
      <w:r>
        <w:rPr>
          <w:rFonts w:eastAsia="Calibri"/>
        </w:rPr>
        <w:tab/>
      </w:r>
      <w:r w:rsidR="00F53111">
        <w:rPr>
          <w:rFonts w:asciiTheme="majorHAnsi" w:eastAsia="Calibri" w:hAnsiTheme="majorHAnsi" w:cstheme="majorHAnsi"/>
          <w:szCs w:val="22"/>
        </w:rPr>
        <w:t>P</w:t>
      </w:r>
      <w:r w:rsidR="00F53111" w:rsidRPr="00BB0FE3">
        <w:rPr>
          <w:rFonts w:asciiTheme="majorHAnsi" w:eastAsia="Calibri" w:hAnsiTheme="majorHAnsi" w:cstheme="majorHAnsi"/>
          <w:szCs w:val="22"/>
        </w:rPr>
        <w:t xml:space="preserve">ossible indicators </w:t>
      </w:r>
      <w:r w:rsidR="00F53111">
        <w:rPr>
          <w:rFonts w:asciiTheme="majorHAnsi" w:eastAsia="Calibri" w:hAnsiTheme="majorHAnsi" w:cstheme="majorHAnsi"/>
          <w:szCs w:val="22"/>
        </w:rPr>
        <w:t xml:space="preserve">for </w:t>
      </w:r>
      <w:r w:rsidR="00DD5369">
        <w:rPr>
          <w:rFonts w:asciiTheme="majorHAnsi" w:eastAsia="Calibri" w:hAnsiTheme="majorHAnsi" w:cstheme="majorHAnsi"/>
          <w:szCs w:val="22"/>
        </w:rPr>
        <w:t>s</w:t>
      </w:r>
      <w:r w:rsidR="00BB0FE3" w:rsidRPr="00BB0FE3">
        <w:rPr>
          <w:rFonts w:asciiTheme="majorHAnsi" w:eastAsia="Calibri" w:hAnsiTheme="majorHAnsi" w:cstheme="majorHAnsi"/>
          <w:szCs w:val="22"/>
        </w:rPr>
        <w:t xml:space="preserve">oil </w:t>
      </w:r>
      <w:r w:rsidR="00F53111">
        <w:rPr>
          <w:rFonts w:asciiTheme="majorHAnsi" w:eastAsia="Calibri" w:hAnsiTheme="majorHAnsi" w:cstheme="majorHAnsi"/>
          <w:szCs w:val="22"/>
        </w:rPr>
        <w:t xml:space="preserve">(sub) </w:t>
      </w:r>
      <w:r w:rsidR="00BB0FE3" w:rsidRPr="00BB0FE3">
        <w:rPr>
          <w:rFonts w:asciiTheme="majorHAnsi" w:eastAsia="Calibri" w:hAnsiTheme="majorHAnsi" w:cstheme="majorHAnsi"/>
          <w:szCs w:val="22"/>
        </w:rPr>
        <w:t xml:space="preserve">functions directly </w:t>
      </w:r>
      <w:r w:rsidR="00F53111">
        <w:rPr>
          <w:rFonts w:asciiTheme="majorHAnsi" w:eastAsia="Calibri" w:hAnsiTheme="majorHAnsi" w:cstheme="majorHAnsi"/>
          <w:szCs w:val="22"/>
        </w:rPr>
        <w:t>affected by soil compaction</w:t>
      </w:r>
      <w:bookmarkEnd w:id="378"/>
    </w:p>
    <w:p w14:paraId="46C88147" w14:textId="77777777" w:rsidR="00BB0FE3" w:rsidRPr="00BB0FE3" w:rsidRDefault="00BB0FE3" w:rsidP="00BB0FE3">
      <w:pPr>
        <w:spacing w:line="276" w:lineRule="auto"/>
        <w:rPr>
          <w:rFonts w:asciiTheme="majorHAnsi" w:hAnsiTheme="majorHAnsi" w:cstheme="majorHAnsi"/>
          <w:szCs w:val="22"/>
        </w:rPr>
      </w:pPr>
    </w:p>
    <w:tbl>
      <w:tblPr>
        <w:tblW w:w="7650" w:type="dxa"/>
        <w:jc w:val="center"/>
        <w:tblBorders>
          <w:top w:val="single" w:sz="4" w:space="0" w:color="auto"/>
          <w:bottom w:val="single" w:sz="4" w:space="0" w:color="auto"/>
          <w:insideH w:val="single" w:sz="4" w:space="0" w:color="auto"/>
        </w:tblBorders>
        <w:tblLayout w:type="fixed"/>
        <w:tblCellMar>
          <w:top w:w="28" w:type="dxa"/>
          <w:left w:w="57" w:type="dxa"/>
          <w:right w:w="57" w:type="dxa"/>
        </w:tblCellMar>
        <w:tblLook w:val="04A0" w:firstRow="1" w:lastRow="0" w:firstColumn="1" w:lastColumn="0" w:noHBand="0" w:noVBand="1"/>
      </w:tblPr>
      <w:tblGrid>
        <w:gridCol w:w="1842"/>
        <w:gridCol w:w="1555"/>
        <w:gridCol w:w="4253"/>
      </w:tblGrid>
      <w:tr w:rsidR="00A152C1" w:rsidRPr="00BB0FE3" w14:paraId="1FE8BAF1" w14:textId="77777777" w:rsidTr="00EA081C">
        <w:trPr>
          <w:cantSplit/>
          <w:tblHeader/>
          <w:jc w:val="center"/>
        </w:trPr>
        <w:tc>
          <w:tcPr>
            <w:tcW w:w="1842" w:type="dxa"/>
            <w:tcBorders>
              <w:top w:val="single" w:sz="4" w:space="0" w:color="auto"/>
              <w:left w:val="nil"/>
              <w:bottom w:val="single" w:sz="4" w:space="0" w:color="auto"/>
              <w:right w:val="nil"/>
            </w:tcBorders>
            <w:shd w:val="pct10" w:color="auto" w:fill="auto"/>
            <w:vAlign w:val="center"/>
          </w:tcPr>
          <w:p w14:paraId="50977A83" w14:textId="4EEE894A" w:rsidR="00A152C1" w:rsidRPr="00BB0FE3" w:rsidDel="00A152C1" w:rsidRDefault="00A152C1" w:rsidP="00CD55D6">
            <w:pPr>
              <w:pStyle w:val="EEATabcenterbold"/>
              <w:spacing w:line="276" w:lineRule="auto"/>
              <w:jc w:val="left"/>
              <w:rPr>
                <w:rFonts w:asciiTheme="majorHAnsi" w:hAnsiTheme="majorHAnsi" w:cstheme="majorHAnsi"/>
                <w:sz w:val="22"/>
              </w:rPr>
            </w:pPr>
            <w:r w:rsidRPr="00BB0FE3">
              <w:rPr>
                <w:rFonts w:asciiTheme="majorHAnsi" w:hAnsiTheme="majorHAnsi" w:cstheme="majorHAnsi"/>
                <w:sz w:val="22"/>
              </w:rPr>
              <w:t xml:space="preserve">Soil </w:t>
            </w:r>
            <w:r>
              <w:rPr>
                <w:rFonts w:asciiTheme="majorHAnsi" w:hAnsiTheme="majorHAnsi" w:cstheme="majorHAnsi"/>
                <w:sz w:val="22"/>
              </w:rPr>
              <w:t>environment</w:t>
            </w:r>
          </w:p>
        </w:tc>
        <w:tc>
          <w:tcPr>
            <w:tcW w:w="1555" w:type="dxa"/>
            <w:tcBorders>
              <w:top w:val="single" w:sz="4" w:space="0" w:color="auto"/>
              <w:left w:val="nil"/>
              <w:bottom w:val="single" w:sz="4" w:space="0" w:color="auto"/>
              <w:right w:val="nil"/>
            </w:tcBorders>
            <w:shd w:val="pct10" w:color="auto" w:fill="auto"/>
            <w:vAlign w:val="center"/>
          </w:tcPr>
          <w:p w14:paraId="4B3BAFA0" w14:textId="3015AB3C" w:rsidR="00A152C1" w:rsidRPr="00BB0FE3" w:rsidRDefault="00A152C1" w:rsidP="0092417F">
            <w:pPr>
              <w:pStyle w:val="EEATabcenterbold"/>
              <w:tabs>
                <w:tab w:val="clear" w:pos="851"/>
              </w:tabs>
              <w:spacing w:line="276" w:lineRule="auto"/>
              <w:jc w:val="left"/>
              <w:rPr>
                <w:rFonts w:asciiTheme="majorHAnsi" w:hAnsiTheme="majorHAnsi" w:cstheme="majorHAnsi"/>
                <w:sz w:val="22"/>
              </w:rPr>
            </w:pPr>
          </w:p>
        </w:tc>
        <w:tc>
          <w:tcPr>
            <w:tcW w:w="4253" w:type="dxa"/>
            <w:tcBorders>
              <w:top w:val="single" w:sz="4" w:space="0" w:color="auto"/>
              <w:left w:val="nil"/>
              <w:bottom w:val="single" w:sz="4" w:space="0" w:color="auto"/>
              <w:right w:val="nil"/>
            </w:tcBorders>
            <w:shd w:val="pct10" w:color="auto" w:fill="auto"/>
            <w:vAlign w:val="center"/>
          </w:tcPr>
          <w:p w14:paraId="4BCD5954" w14:textId="77777777" w:rsidR="00A152C1" w:rsidRPr="00BB0FE3" w:rsidRDefault="00A152C1" w:rsidP="00CD55D6">
            <w:pPr>
              <w:pStyle w:val="EEATabcenterbold"/>
              <w:spacing w:line="276" w:lineRule="auto"/>
              <w:jc w:val="left"/>
              <w:rPr>
                <w:rFonts w:asciiTheme="majorHAnsi" w:hAnsiTheme="majorHAnsi" w:cstheme="majorHAnsi"/>
                <w:sz w:val="22"/>
              </w:rPr>
            </w:pPr>
            <w:r w:rsidRPr="00BB0FE3">
              <w:rPr>
                <w:rFonts w:asciiTheme="majorHAnsi" w:hAnsiTheme="majorHAnsi" w:cstheme="majorHAnsi"/>
                <w:sz w:val="22"/>
              </w:rPr>
              <w:t xml:space="preserve">Properties and indicators </w:t>
            </w:r>
          </w:p>
        </w:tc>
      </w:tr>
      <w:tr w:rsidR="00BB0FE3" w:rsidRPr="00BB0FE3" w14:paraId="481D2A41" w14:textId="77777777" w:rsidTr="0092417F">
        <w:trPr>
          <w:cantSplit/>
          <w:jc w:val="center"/>
        </w:trPr>
        <w:tc>
          <w:tcPr>
            <w:tcW w:w="1842" w:type="dxa"/>
            <w:vMerge w:val="restart"/>
            <w:tcBorders>
              <w:top w:val="single" w:sz="4" w:space="0" w:color="auto"/>
              <w:left w:val="nil"/>
              <w:bottom w:val="nil"/>
              <w:right w:val="nil"/>
            </w:tcBorders>
            <w:vAlign w:val="center"/>
          </w:tcPr>
          <w:p w14:paraId="3E5877B5" w14:textId="77777777" w:rsidR="00BB0FE3" w:rsidRPr="00BB0FE3" w:rsidRDefault="00BB0FE3" w:rsidP="00EA081C">
            <w:pPr>
              <w:pStyle w:val="EEAtableleft"/>
            </w:pPr>
            <w:r w:rsidRPr="00BB0FE3">
              <w:t>Air regime</w:t>
            </w:r>
          </w:p>
        </w:tc>
        <w:tc>
          <w:tcPr>
            <w:tcW w:w="1555" w:type="dxa"/>
            <w:tcBorders>
              <w:top w:val="single" w:sz="4" w:space="0" w:color="auto"/>
              <w:left w:val="nil"/>
              <w:bottom w:val="single" w:sz="4" w:space="0" w:color="auto"/>
              <w:right w:val="nil"/>
            </w:tcBorders>
            <w:vAlign w:val="center"/>
          </w:tcPr>
          <w:p w14:paraId="62F53185" w14:textId="77777777" w:rsidR="00BB0FE3" w:rsidRPr="00BB0FE3" w:rsidRDefault="00BB0FE3" w:rsidP="00EA081C">
            <w:pPr>
              <w:pStyle w:val="EEAtableleft"/>
            </w:pPr>
            <w:r w:rsidRPr="00BB0FE3">
              <w:t>Air storage</w:t>
            </w:r>
          </w:p>
        </w:tc>
        <w:tc>
          <w:tcPr>
            <w:tcW w:w="4253" w:type="dxa"/>
            <w:tcBorders>
              <w:top w:val="single" w:sz="4" w:space="0" w:color="auto"/>
              <w:left w:val="nil"/>
              <w:bottom w:val="single" w:sz="4" w:space="0" w:color="auto"/>
              <w:right w:val="nil"/>
            </w:tcBorders>
            <w:vAlign w:val="center"/>
          </w:tcPr>
          <w:p w14:paraId="7379A231" w14:textId="77777777" w:rsidR="00BB0FE3" w:rsidRPr="00BB0FE3" w:rsidRDefault="00BB0FE3" w:rsidP="00EA081C">
            <w:pPr>
              <w:pStyle w:val="EEAtableleft"/>
            </w:pPr>
            <w:r w:rsidRPr="00BB0FE3">
              <w:t>Air capacity</w:t>
            </w:r>
          </w:p>
          <w:p w14:paraId="1C501AB4" w14:textId="77777777" w:rsidR="00BB0FE3" w:rsidRPr="00BB0FE3" w:rsidRDefault="00BB0FE3" w:rsidP="00EA081C">
            <w:pPr>
              <w:pStyle w:val="EEAtableleft"/>
            </w:pPr>
            <w:r w:rsidRPr="00BB0FE3">
              <w:t>Bulk density</w:t>
            </w:r>
          </w:p>
        </w:tc>
      </w:tr>
      <w:tr w:rsidR="00BB0FE3" w:rsidRPr="00BB0FE3" w14:paraId="65678367" w14:textId="77777777" w:rsidTr="0092417F">
        <w:trPr>
          <w:cantSplit/>
          <w:jc w:val="center"/>
        </w:trPr>
        <w:tc>
          <w:tcPr>
            <w:tcW w:w="1842" w:type="dxa"/>
            <w:vMerge/>
            <w:tcBorders>
              <w:top w:val="nil"/>
              <w:left w:val="nil"/>
              <w:bottom w:val="single" w:sz="4" w:space="0" w:color="auto"/>
              <w:right w:val="nil"/>
            </w:tcBorders>
            <w:vAlign w:val="center"/>
          </w:tcPr>
          <w:p w14:paraId="21EAE8AA" w14:textId="77777777" w:rsidR="00BB0FE3" w:rsidRPr="00BB0FE3" w:rsidRDefault="00BB0FE3" w:rsidP="00EA081C">
            <w:pPr>
              <w:pStyle w:val="EEAtableleft"/>
              <w:rPr>
                <w:rFonts w:asciiTheme="majorHAnsi" w:hAnsiTheme="majorHAnsi" w:cstheme="majorHAnsi"/>
                <w:sz w:val="22"/>
                <w:szCs w:val="22"/>
              </w:rPr>
            </w:pPr>
          </w:p>
        </w:tc>
        <w:tc>
          <w:tcPr>
            <w:tcW w:w="1555" w:type="dxa"/>
            <w:tcBorders>
              <w:top w:val="single" w:sz="4" w:space="0" w:color="auto"/>
              <w:left w:val="nil"/>
              <w:bottom w:val="single" w:sz="4" w:space="0" w:color="auto"/>
              <w:right w:val="nil"/>
            </w:tcBorders>
            <w:vAlign w:val="center"/>
          </w:tcPr>
          <w:p w14:paraId="4BEC8E8F" w14:textId="77777777" w:rsidR="00BB0FE3" w:rsidRPr="00BB0FE3" w:rsidRDefault="00BB0FE3" w:rsidP="00EA081C">
            <w:pPr>
              <w:pStyle w:val="EEAtableleft"/>
            </w:pPr>
            <w:r w:rsidRPr="00BB0FE3">
              <w:t>Air flow</w:t>
            </w:r>
          </w:p>
        </w:tc>
        <w:tc>
          <w:tcPr>
            <w:tcW w:w="4253" w:type="dxa"/>
            <w:tcBorders>
              <w:top w:val="single" w:sz="4" w:space="0" w:color="auto"/>
              <w:left w:val="nil"/>
              <w:bottom w:val="single" w:sz="4" w:space="0" w:color="auto"/>
              <w:right w:val="nil"/>
            </w:tcBorders>
            <w:vAlign w:val="center"/>
          </w:tcPr>
          <w:p w14:paraId="4D25E4C2" w14:textId="77777777" w:rsidR="00BB0FE3" w:rsidRPr="00BB0FE3" w:rsidRDefault="00BB0FE3" w:rsidP="00EA081C">
            <w:pPr>
              <w:pStyle w:val="EEAtableleft"/>
            </w:pPr>
            <w:r w:rsidRPr="00BB0FE3">
              <w:t>Air permeability</w:t>
            </w:r>
          </w:p>
          <w:p w14:paraId="41C5B407" w14:textId="77777777" w:rsidR="00BB0FE3" w:rsidRPr="00BB0FE3" w:rsidRDefault="00BB0FE3" w:rsidP="00EA081C">
            <w:pPr>
              <w:pStyle w:val="EEAtableleft"/>
            </w:pPr>
            <w:r w:rsidRPr="00BB0FE3">
              <w:t>O</w:t>
            </w:r>
            <w:r w:rsidRPr="00BB0FE3">
              <w:rPr>
                <w:vertAlign w:val="subscript"/>
              </w:rPr>
              <w:t>2</w:t>
            </w:r>
            <w:r w:rsidRPr="00BB0FE3">
              <w:t>-diffusion</w:t>
            </w:r>
          </w:p>
          <w:p w14:paraId="58984A4E" w14:textId="77777777" w:rsidR="00BB0FE3" w:rsidRPr="00BB0FE3" w:rsidRDefault="00BB0FE3" w:rsidP="00EA081C">
            <w:pPr>
              <w:pStyle w:val="EEAtableleft"/>
            </w:pPr>
            <w:r w:rsidRPr="00BB0FE3">
              <w:t>Pore continuity</w:t>
            </w:r>
          </w:p>
        </w:tc>
      </w:tr>
      <w:tr w:rsidR="00BB0FE3" w:rsidRPr="00BB0FE3" w14:paraId="50FCEB67" w14:textId="77777777" w:rsidTr="0092417F">
        <w:trPr>
          <w:cantSplit/>
          <w:jc w:val="center"/>
        </w:trPr>
        <w:tc>
          <w:tcPr>
            <w:tcW w:w="1842" w:type="dxa"/>
            <w:vMerge w:val="restart"/>
            <w:tcBorders>
              <w:top w:val="single" w:sz="4" w:space="0" w:color="auto"/>
              <w:left w:val="nil"/>
              <w:bottom w:val="nil"/>
              <w:right w:val="nil"/>
            </w:tcBorders>
            <w:vAlign w:val="center"/>
          </w:tcPr>
          <w:p w14:paraId="4F28E3EE" w14:textId="77777777" w:rsidR="00BB0FE3" w:rsidRPr="00BB0FE3" w:rsidRDefault="00BB0FE3" w:rsidP="00EA081C">
            <w:pPr>
              <w:pStyle w:val="EEAtableleft"/>
            </w:pPr>
            <w:r w:rsidRPr="00BB0FE3">
              <w:t>Water regime</w:t>
            </w:r>
          </w:p>
        </w:tc>
        <w:tc>
          <w:tcPr>
            <w:tcW w:w="1555" w:type="dxa"/>
            <w:tcBorders>
              <w:top w:val="single" w:sz="4" w:space="0" w:color="auto"/>
              <w:left w:val="nil"/>
              <w:bottom w:val="single" w:sz="4" w:space="0" w:color="auto"/>
              <w:right w:val="nil"/>
            </w:tcBorders>
            <w:vAlign w:val="center"/>
          </w:tcPr>
          <w:p w14:paraId="6EBCEF4F" w14:textId="77777777" w:rsidR="00BB0FE3" w:rsidRPr="00BB0FE3" w:rsidRDefault="00BB0FE3" w:rsidP="00EA081C">
            <w:pPr>
              <w:pStyle w:val="EEAtableleft"/>
            </w:pPr>
            <w:r w:rsidRPr="00BB0FE3">
              <w:t>Water storage</w:t>
            </w:r>
          </w:p>
        </w:tc>
        <w:tc>
          <w:tcPr>
            <w:tcW w:w="4253" w:type="dxa"/>
            <w:tcBorders>
              <w:top w:val="single" w:sz="4" w:space="0" w:color="auto"/>
              <w:left w:val="nil"/>
              <w:bottom w:val="single" w:sz="4" w:space="0" w:color="auto"/>
              <w:right w:val="nil"/>
            </w:tcBorders>
            <w:vAlign w:val="center"/>
          </w:tcPr>
          <w:p w14:paraId="61359F56" w14:textId="77777777" w:rsidR="00BB0FE3" w:rsidRPr="00BB0FE3" w:rsidRDefault="00BB0FE3" w:rsidP="00EA081C">
            <w:pPr>
              <w:pStyle w:val="EEAtableleft"/>
            </w:pPr>
            <w:r w:rsidRPr="00BB0FE3">
              <w:t>Available water capacity</w:t>
            </w:r>
          </w:p>
          <w:p w14:paraId="612E86F9" w14:textId="77777777" w:rsidR="00BB0FE3" w:rsidRPr="00BB0FE3" w:rsidRDefault="00BB0FE3" w:rsidP="00EA081C">
            <w:pPr>
              <w:pStyle w:val="EEAtableleft"/>
            </w:pPr>
            <w:r w:rsidRPr="00BB0FE3">
              <w:t>Bulk density</w:t>
            </w:r>
          </w:p>
        </w:tc>
      </w:tr>
      <w:tr w:rsidR="00BB0FE3" w:rsidRPr="00BB0FE3" w14:paraId="0D694F0F" w14:textId="77777777" w:rsidTr="0092417F">
        <w:trPr>
          <w:cantSplit/>
          <w:jc w:val="center"/>
        </w:trPr>
        <w:tc>
          <w:tcPr>
            <w:tcW w:w="1842" w:type="dxa"/>
            <w:vMerge/>
            <w:tcBorders>
              <w:top w:val="nil"/>
              <w:left w:val="nil"/>
              <w:bottom w:val="single" w:sz="4" w:space="0" w:color="auto"/>
              <w:right w:val="nil"/>
            </w:tcBorders>
            <w:vAlign w:val="center"/>
          </w:tcPr>
          <w:p w14:paraId="11DFAC4E" w14:textId="77777777" w:rsidR="00BB0FE3" w:rsidRPr="00BB0FE3" w:rsidRDefault="00BB0FE3" w:rsidP="00EA081C">
            <w:pPr>
              <w:pStyle w:val="EEAtableleft"/>
            </w:pPr>
          </w:p>
        </w:tc>
        <w:tc>
          <w:tcPr>
            <w:tcW w:w="1555" w:type="dxa"/>
            <w:tcBorders>
              <w:top w:val="single" w:sz="4" w:space="0" w:color="auto"/>
              <w:left w:val="nil"/>
              <w:bottom w:val="single" w:sz="4" w:space="0" w:color="auto"/>
              <w:right w:val="nil"/>
            </w:tcBorders>
            <w:vAlign w:val="center"/>
          </w:tcPr>
          <w:p w14:paraId="4CE1F6AA" w14:textId="77777777" w:rsidR="00BB0FE3" w:rsidRPr="00BB0FE3" w:rsidRDefault="00BB0FE3" w:rsidP="00EA081C">
            <w:pPr>
              <w:pStyle w:val="EEAtableleft"/>
            </w:pPr>
            <w:r w:rsidRPr="00BB0FE3">
              <w:t>Water seepage</w:t>
            </w:r>
          </w:p>
        </w:tc>
        <w:tc>
          <w:tcPr>
            <w:tcW w:w="4253" w:type="dxa"/>
            <w:tcBorders>
              <w:top w:val="single" w:sz="4" w:space="0" w:color="auto"/>
              <w:left w:val="nil"/>
              <w:bottom w:val="single" w:sz="4" w:space="0" w:color="auto"/>
              <w:right w:val="nil"/>
            </w:tcBorders>
            <w:vAlign w:val="center"/>
          </w:tcPr>
          <w:p w14:paraId="13C0B8CB" w14:textId="77777777" w:rsidR="00BB0FE3" w:rsidRPr="00BB0FE3" w:rsidRDefault="00BB0FE3" w:rsidP="00EA081C">
            <w:pPr>
              <w:pStyle w:val="EEAtableleft"/>
            </w:pPr>
            <w:r w:rsidRPr="00BB0FE3">
              <w:t>Hydraulic conductivity (saturated/unsaturated)</w:t>
            </w:r>
          </w:p>
          <w:p w14:paraId="637DFFD6" w14:textId="77777777" w:rsidR="00BB0FE3" w:rsidRPr="00BB0FE3" w:rsidRDefault="00BB0FE3" w:rsidP="00EA081C">
            <w:pPr>
              <w:pStyle w:val="EEAtableleft"/>
            </w:pPr>
            <w:r w:rsidRPr="00BB0FE3">
              <w:t>Pore continuity</w:t>
            </w:r>
          </w:p>
          <w:p w14:paraId="73CCA881" w14:textId="77777777" w:rsidR="00BB0FE3" w:rsidRPr="00BB0FE3" w:rsidRDefault="00BB0FE3" w:rsidP="00EA081C">
            <w:pPr>
              <w:pStyle w:val="EEAtableleft"/>
            </w:pPr>
            <w:r w:rsidRPr="00BB0FE3">
              <w:t xml:space="preserve">Flux directions: isotropy/anisotropy </w:t>
            </w:r>
          </w:p>
        </w:tc>
      </w:tr>
      <w:tr w:rsidR="00BB0FE3" w:rsidRPr="00BB0FE3" w14:paraId="24678FC2" w14:textId="77777777" w:rsidTr="0092417F">
        <w:trPr>
          <w:cantSplit/>
          <w:jc w:val="center"/>
        </w:trPr>
        <w:tc>
          <w:tcPr>
            <w:tcW w:w="1842" w:type="dxa"/>
            <w:tcBorders>
              <w:top w:val="single" w:sz="4" w:space="0" w:color="auto"/>
              <w:left w:val="nil"/>
              <w:bottom w:val="single" w:sz="4" w:space="0" w:color="auto"/>
              <w:right w:val="nil"/>
            </w:tcBorders>
            <w:vAlign w:val="center"/>
          </w:tcPr>
          <w:p w14:paraId="1C0A9F09" w14:textId="77777777" w:rsidR="00BB0FE3" w:rsidRPr="00BB0FE3" w:rsidRDefault="00BB0FE3" w:rsidP="00EA081C">
            <w:pPr>
              <w:pStyle w:val="EEAtableleft"/>
            </w:pPr>
            <w:r w:rsidRPr="00BB0FE3">
              <w:t>Thermal regime</w:t>
            </w:r>
          </w:p>
        </w:tc>
        <w:tc>
          <w:tcPr>
            <w:tcW w:w="1555" w:type="dxa"/>
            <w:tcBorders>
              <w:top w:val="single" w:sz="4" w:space="0" w:color="auto"/>
              <w:left w:val="nil"/>
              <w:bottom w:val="single" w:sz="4" w:space="0" w:color="auto"/>
              <w:right w:val="nil"/>
            </w:tcBorders>
            <w:vAlign w:val="center"/>
          </w:tcPr>
          <w:p w14:paraId="5E83D2AA" w14:textId="77777777" w:rsidR="00BB0FE3" w:rsidRPr="00BB0FE3" w:rsidRDefault="00BB0FE3" w:rsidP="00EA081C">
            <w:pPr>
              <w:pStyle w:val="EEAtableleft"/>
            </w:pPr>
            <w:r w:rsidRPr="00BB0FE3">
              <w:t xml:space="preserve">Heat storage </w:t>
            </w:r>
          </w:p>
          <w:p w14:paraId="0235BF05" w14:textId="77777777" w:rsidR="00BB0FE3" w:rsidRPr="00BB0FE3" w:rsidRDefault="00BB0FE3" w:rsidP="00EA081C">
            <w:pPr>
              <w:pStyle w:val="EEAtableleft"/>
            </w:pPr>
          </w:p>
          <w:p w14:paraId="62EDCE93" w14:textId="77777777" w:rsidR="00BB0FE3" w:rsidRPr="00BB0FE3" w:rsidRDefault="00BB0FE3" w:rsidP="00EA081C">
            <w:pPr>
              <w:pStyle w:val="EEAtableleft"/>
            </w:pPr>
            <w:r w:rsidRPr="00BB0FE3">
              <w:t>Heat flux</w:t>
            </w:r>
          </w:p>
        </w:tc>
        <w:tc>
          <w:tcPr>
            <w:tcW w:w="4253" w:type="dxa"/>
            <w:tcBorders>
              <w:top w:val="single" w:sz="4" w:space="0" w:color="auto"/>
              <w:left w:val="nil"/>
              <w:bottom w:val="single" w:sz="4" w:space="0" w:color="auto"/>
              <w:right w:val="nil"/>
            </w:tcBorders>
            <w:vAlign w:val="center"/>
          </w:tcPr>
          <w:p w14:paraId="581ABA3D" w14:textId="74FAA0D2" w:rsidR="00BB0FE3" w:rsidRPr="00BB0FE3" w:rsidRDefault="00BB0FE3" w:rsidP="00EA081C">
            <w:pPr>
              <w:pStyle w:val="EEAtableleft"/>
            </w:pPr>
            <w:r w:rsidRPr="00BB0FE3">
              <w:t>Heat capacity</w:t>
            </w:r>
            <w:r w:rsidR="0011210C">
              <w:t xml:space="preserve"> and con</w:t>
            </w:r>
            <w:r w:rsidR="002F7357">
              <w:t>d</w:t>
            </w:r>
            <w:r w:rsidR="0011210C">
              <w:t>uctivity</w:t>
            </w:r>
            <w:r w:rsidRPr="00BB0FE3">
              <w:t xml:space="preserve">, </w:t>
            </w:r>
          </w:p>
          <w:p w14:paraId="67CC367A" w14:textId="4A56DDFC" w:rsidR="00BB0FE3" w:rsidRPr="00BB0FE3" w:rsidRDefault="00A152C1" w:rsidP="00EA081C">
            <w:pPr>
              <w:pStyle w:val="EEAtableleft"/>
            </w:pPr>
            <w:r>
              <w:t>T</w:t>
            </w:r>
            <w:r w:rsidRPr="00BB0FE3">
              <w:t xml:space="preserve">hermal </w:t>
            </w:r>
            <w:r w:rsidR="00BB0FE3" w:rsidRPr="00BB0FE3">
              <w:t>diffusivity,</w:t>
            </w:r>
          </w:p>
          <w:p w14:paraId="2243AF54" w14:textId="77777777" w:rsidR="00BB0FE3" w:rsidRPr="00BB0FE3" w:rsidRDefault="00BB0FE3" w:rsidP="00EA081C">
            <w:pPr>
              <w:pStyle w:val="EEAtableleft"/>
            </w:pPr>
            <w:r w:rsidRPr="00BB0FE3">
              <w:t>Water content</w:t>
            </w:r>
          </w:p>
          <w:p w14:paraId="19A9DBF2" w14:textId="77777777" w:rsidR="00BB0FE3" w:rsidRPr="00BB0FE3" w:rsidRDefault="00BB0FE3" w:rsidP="00EA081C">
            <w:pPr>
              <w:pStyle w:val="EEAtableleft"/>
            </w:pPr>
            <w:r w:rsidRPr="00BB0FE3">
              <w:t>Pore continuity</w:t>
            </w:r>
          </w:p>
        </w:tc>
      </w:tr>
      <w:tr w:rsidR="00BB0FE3" w:rsidRPr="00BB0FE3" w14:paraId="1AF46B77" w14:textId="77777777" w:rsidTr="0092417F">
        <w:trPr>
          <w:cantSplit/>
          <w:jc w:val="center"/>
        </w:trPr>
        <w:tc>
          <w:tcPr>
            <w:tcW w:w="1842" w:type="dxa"/>
            <w:vMerge w:val="restart"/>
            <w:tcBorders>
              <w:top w:val="single" w:sz="4" w:space="0" w:color="auto"/>
              <w:left w:val="nil"/>
              <w:bottom w:val="nil"/>
              <w:right w:val="nil"/>
            </w:tcBorders>
            <w:vAlign w:val="center"/>
          </w:tcPr>
          <w:p w14:paraId="3402CBD6" w14:textId="77777777" w:rsidR="00BB0FE3" w:rsidRPr="00BB0FE3" w:rsidRDefault="00BB0FE3" w:rsidP="00EA081C">
            <w:pPr>
              <w:pStyle w:val="EEAtableleft"/>
            </w:pPr>
            <w:r w:rsidRPr="00BB0FE3">
              <w:lastRenderedPageBreak/>
              <w:t>Biological regime</w:t>
            </w:r>
          </w:p>
        </w:tc>
        <w:tc>
          <w:tcPr>
            <w:tcW w:w="1555" w:type="dxa"/>
            <w:tcBorders>
              <w:top w:val="single" w:sz="4" w:space="0" w:color="auto"/>
              <w:left w:val="nil"/>
              <w:bottom w:val="nil"/>
              <w:right w:val="nil"/>
            </w:tcBorders>
            <w:vAlign w:val="center"/>
          </w:tcPr>
          <w:p w14:paraId="6A5299B8" w14:textId="77777777" w:rsidR="00BB0FE3" w:rsidRPr="00BB0FE3" w:rsidRDefault="00BB0FE3" w:rsidP="00EA081C">
            <w:pPr>
              <w:pStyle w:val="EEAtableleft"/>
            </w:pPr>
            <w:r w:rsidRPr="00BB0FE3">
              <w:t>Microbial composition</w:t>
            </w:r>
          </w:p>
        </w:tc>
        <w:tc>
          <w:tcPr>
            <w:tcW w:w="4253" w:type="dxa"/>
            <w:tcBorders>
              <w:top w:val="single" w:sz="4" w:space="0" w:color="auto"/>
              <w:left w:val="nil"/>
              <w:bottom w:val="nil"/>
              <w:right w:val="nil"/>
            </w:tcBorders>
            <w:vAlign w:val="center"/>
          </w:tcPr>
          <w:p w14:paraId="7DE024E5" w14:textId="77777777" w:rsidR="00BB0FE3" w:rsidRPr="00BB0FE3" w:rsidRDefault="00BB0FE3" w:rsidP="00EA081C">
            <w:pPr>
              <w:pStyle w:val="EEAtableleft"/>
            </w:pPr>
            <w:r w:rsidRPr="00BB0FE3">
              <w:t>Number of species</w:t>
            </w:r>
          </w:p>
        </w:tc>
      </w:tr>
      <w:tr w:rsidR="00BB0FE3" w:rsidRPr="00BB0FE3" w14:paraId="66AADE1E" w14:textId="77777777" w:rsidTr="0092417F">
        <w:trPr>
          <w:cantSplit/>
          <w:jc w:val="center"/>
        </w:trPr>
        <w:tc>
          <w:tcPr>
            <w:tcW w:w="1842" w:type="dxa"/>
            <w:vMerge/>
            <w:tcBorders>
              <w:top w:val="nil"/>
            </w:tcBorders>
            <w:vAlign w:val="center"/>
          </w:tcPr>
          <w:p w14:paraId="2DCB7AE4" w14:textId="77777777" w:rsidR="00BB0FE3" w:rsidRPr="00BB0FE3" w:rsidRDefault="00BB0FE3" w:rsidP="00EA081C">
            <w:pPr>
              <w:pStyle w:val="EEAtableleft"/>
              <w:rPr>
                <w:rFonts w:asciiTheme="majorHAnsi" w:hAnsiTheme="majorHAnsi" w:cstheme="majorHAnsi"/>
                <w:sz w:val="22"/>
                <w:szCs w:val="22"/>
              </w:rPr>
            </w:pPr>
          </w:p>
        </w:tc>
        <w:tc>
          <w:tcPr>
            <w:tcW w:w="1555" w:type="dxa"/>
            <w:tcBorders>
              <w:top w:val="nil"/>
            </w:tcBorders>
            <w:vAlign w:val="center"/>
          </w:tcPr>
          <w:p w14:paraId="72363B51" w14:textId="77777777" w:rsidR="00BB0FE3" w:rsidRPr="00BB0FE3" w:rsidRDefault="00BB0FE3" w:rsidP="00EA081C">
            <w:pPr>
              <w:pStyle w:val="EEAtableleft"/>
            </w:pPr>
            <w:r w:rsidRPr="00BB0FE3">
              <w:t>Abundance of functional species groups</w:t>
            </w:r>
          </w:p>
        </w:tc>
        <w:tc>
          <w:tcPr>
            <w:tcW w:w="4253" w:type="dxa"/>
            <w:tcBorders>
              <w:top w:val="nil"/>
            </w:tcBorders>
            <w:vAlign w:val="center"/>
          </w:tcPr>
          <w:p w14:paraId="258E7F00" w14:textId="77777777" w:rsidR="00BB0FE3" w:rsidRPr="00BB0FE3" w:rsidRDefault="00BB0FE3" w:rsidP="00EA081C">
            <w:pPr>
              <w:pStyle w:val="EEAtableleft"/>
            </w:pPr>
            <w:r w:rsidRPr="00BB0FE3">
              <w:t xml:space="preserve">Oxic/anoxic species and distribution </w:t>
            </w:r>
          </w:p>
        </w:tc>
      </w:tr>
      <w:tr w:rsidR="00BB0FE3" w:rsidRPr="00BB0FE3" w14:paraId="306BA9EA" w14:textId="77777777" w:rsidTr="0092417F">
        <w:trPr>
          <w:cantSplit/>
          <w:jc w:val="center"/>
        </w:trPr>
        <w:tc>
          <w:tcPr>
            <w:tcW w:w="1842" w:type="dxa"/>
            <w:vMerge w:val="restart"/>
            <w:vAlign w:val="center"/>
          </w:tcPr>
          <w:p w14:paraId="44180ACD" w14:textId="1A954ECA" w:rsidR="00BB0FE3" w:rsidRPr="00BB0FE3" w:rsidRDefault="00280BFF" w:rsidP="00EA081C">
            <w:pPr>
              <w:pStyle w:val="EEAtableleft"/>
            </w:pPr>
            <w:r>
              <w:t>Physical soil regime: soil s</w:t>
            </w:r>
            <w:r w:rsidR="00BB0FE3" w:rsidRPr="00BB0FE3">
              <w:t>trengt</w:t>
            </w:r>
            <w:r w:rsidR="000653E7">
              <w:t>h</w:t>
            </w:r>
          </w:p>
        </w:tc>
        <w:tc>
          <w:tcPr>
            <w:tcW w:w="1555" w:type="dxa"/>
            <w:vAlign w:val="center"/>
          </w:tcPr>
          <w:p w14:paraId="69633582" w14:textId="77777777" w:rsidR="00BB0FE3" w:rsidRPr="00BB0FE3" w:rsidRDefault="00BB0FE3" w:rsidP="00EA081C">
            <w:pPr>
              <w:pStyle w:val="EEAtableleft"/>
            </w:pPr>
            <w:r w:rsidRPr="00BB0FE3">
              <w:t>Deformation status</w:t>
            </w:r>
          </w:p>
        </w:tc>
        <w:tc>
          <w:tcPr>
            <w:tcW w:w="4253" w:type="dxa"/>
            <w:vAlign w:val="center"/>
          </w:tcPr>
          <w:p w14:paraId="1E08B0AB" w14:textId="77777777" w:rsidR="00BB0FE3" w:rsidRPr="00BB0FE3" w:rsidRDefault="00BB0FE3" w:rsidP="00EA081C">
            <w:pPr>
              <w:pStyle w:val="EEAtableleft"/>
            </w:pPr>
            <w:r w:rsidRPr="00BB0FE3">
              <w:t>Bulk density</w:t>
            </w:r>
          </w:p>
          <w:p w14:paraId="4E6E4DF0" w14:textId="77777777" w:rsidR="00BB0FE3" w:rsidRPr="00BB0FE3" w:rsidRDefault="00BB0FE3" w:rsidP="00EA081C">
            <w:pPr>
              <w:pStyle w:val="EEAtableleft"/>
            </w:pPr>
            <w:r w:rsidRPr="00BB0FE3">
              <w:t>Proctor density</w:t>
            </w:r>
            <w:r w:rsidRPr="00BB0FE3">
              <w:rPr>
                <w:rStyle w:val="Funotenzeichen"/>
                <w:rFonts w:asciiTheme="majorHAnsi" w:hAnsiTheme="majorHAnsi" w:cstheme="majorHAnsi"/>
                <w:sz w:val="22"/>
                <w:szCs w:val="22"/>
              </w:rPr>
              <w:footnoteReference w:id="50"/>
            </w:r>
          </w:p>
          <w:p w14:paraId="78B0C467" w14:textId="77777777" w:rsidR="00BB0FE3" w:rsidRPr="00BB0FE3" w:rsidRDefault="00BB0FE3" w:rsidP="00EA081C">
            <w:pPr>
              <w:pStyle w:val="EEAtableleft"/>
            </w:pPr>
            <w:r w:rsidRPr="00BB0FE3">
              <w:t>Average mean diameter of aggregates</w:t>
            </w:r>
          </w:p>
        </w:tc>
      </w:tr>
      <w:tr w:rsidR="00BB0FE3" w:rsidRPr="00BB0FE3" w14:paraId="3E649F0C" w14:textId="77777777" w:rsidTr="0092417F">
        <w:trPr>
          <w:cantSplit/>
          <w:jc w:val="center"/>
        </w:trPr>
        <w:tc>
          <w:tcPr>
            <w:tcW w:w="1842" w:type="dxa"/>
            <w:vMerge/>
            <w:vAlign w:val="center"/>
          </w:tcPr>
          <w:p w14:paraId="2D6251A6" w14:textId="77777777" w:rsidR="00BB0FE3" w:rsidRPr="00BB0FE3" w:rsidRDefault="00BB0FE3" w:rsidP="00EA081C">
            <w:pPr>
              <w:pStyle w:val="EEAtableleft"/>
            </w:pPr>
          </w:p>
        </w:tc>
        <w:tc>
          <w:tcPr>
            <w:tcW w:w="1555" w:type="dxa"/>
            <w:vAlign w:val="center"/>
          </w:tcPr>
          <w:p w14:paraId="2FE30667" w14:textId="77777777" w:rsidR="00BB0FE3" w:rsidRPr="00BB0FE3" w:rsidRDefault="00BB0FE3" w:rsidP="00EA081C">
            <w:pPr>
              <w:pStyle w:val="EEAtableleft"/>
            </w:pPr>
            <w:r w:rsidRPr="00BB0FE3">
              <w:t>Stress-strain</w:t>
            </w:r>
            <w:r w:rsidRPr="00BB0FE3">
              <w:rPr>
                <w:rStyle w:val="Funotenzeichen"/>
                <w:rFonts w:asciiTheme="majorHAnsi" w:hAnsiTheme="majorHAnsi" w:cstheme="majorHAnsi"/>
                <w:sz w:val="22"/>
                <w:szCs w:val="22"/>
              </w:rPr>
              <w:footnoteReference w:id="51"/>
            </w:r>
            <w:r w:rsidRPr="00BB0FE3">
              <w:t xml:space="preserve"> </w:t>
            </w:r>
          </w:p>
        </w:tc>
        <w:tc>
          <w:tcPr>
            <w:tcW w:w="4253" w:type="dxa"/>
            <w:vAlign w:val="center"/>
          </w:tcPr>
          <w:p w14:paraId="337960A1" w14:textId="77777777" w:rsidR="00BB0FE3" w:rsidRPr="00BB0FE3" w:rsidRDefault="00BB0FE3" w:rsidP="00EA081C">
            <w:pPr>
              <w:pStyle w:val="EEAtableleft"/>
            </w:pPr>
            <w:r w:rsidRPr="00BB0FE3">
              <w:t>Precompression stress</w:t>
            </w:r>
          </w:p>
          <w:p w14:paraId="527CD7B4" w14:textId="77777777" w:rsidR="00BB0FE3" w:rsidRPr="00BB0FE3" w:rsidRDefault="00BB0FE3" w:rsidP="00EA081C">
            <w:pPr>
              <w:pStyle w:val="EEAtableleft"/>
            </w:pPr>
            <w:r w:rsidRPr="00BB0FE3">
              <w:t>Crushing strength</w:t>
            </w:r>
          </w:p>
          <w:p w14:paraId="1A6BFEB7" w14:textId="77777777" w:rsidR="00BB0FE3" w:rsidRPr="00BB0FE3" w:rsidRDefault="00BB0FE3" w:rsidP="00EA081C">
            <w:pPr>
              <w:pStyle w:val="EEAtableleft"/>
            </w:pPr>
            <w:r w:rsidRPr="00BB0FE3">
              <w:t>Shear strength</w:t>
            </w:r>
          </w:p>
          <w:p w14:paraId="3C1782A8" w14:textId="77777777" w:rsidR="00BB0FE3" w:rsidRPr="00BB0FE3" w:rsidRDefault="00BB0FE3" w:rsidP="00EA081C">
            <w:pPr>
              <w:pStyle w:val="EEAtableleft"/>
            </w:pPr>
            <w:r w:rsidRPr="00BB0FE3">
              <w:t xml:space="preserve">Stress propagation </w:t>
            </w:r>
          </w:p>
          <w:p w14:paraId="6CFC2824" w14:textId="77777777" w:rsidR="00BB0FE3" w:rsidRPr="00BB0FE3" w:rsidRDefault="00BB0FE3" w:rsidP="00EA081C">
            <w:pPr>
              <w:pStyle w:val="EEAtableleft"/>
            </w:pPr>
            <w:r w:rsidRPr="00BB0FE3">
              <w:t xml:space="preserve">Ratio of precompression stress and actually applied stress </w:t>
            </w:r>
          </w:p>
          <w:p w14:paraId="209CE75D" w14:textId="77777777" w:rsidR="00BB0FE3" w:rsidRPr="00BB0FE3" w:rsidRDefault="00BB0FE3" w:rsidP="00EA081C">
            <w:pPr>
              <w:pStyle w:val="EEAtableleft"/>
            </w:pPr>
            <w:r w:rsidRPr="00BB0FE3">
              <w:t>Changes in air, water, thermal flow processes and biological regimes</w:t>
            </w:r>
          </w:p>
        </w:tc>
      </w:tr>
      <w:tr w:rsidR="00BB0FE3" w:rsidRPr="00BB0FE3" w14:paraId="785A668E" w14:textId="77777777" w:rsidTr="0092417F">
        <w:trPr>
          <w:cantSplit/>
          <w:jc w:val="center"/>
        </w:trPr>
        <w:tc>
          <w:tcPr>
            <w:tcW w:w="1842" w:type="dxa"/>
            <w:vAlign w:val="center"/>
          </w:tcPr>
          <w:p w14:paraId="3536550B" w14:textId="713F936C" w:rsidR="00BB0FE3" w:rsidRPr="00BB0FE3" w:rsidRDefault="00265C53" w:rsidP="00EA081C">
            <w:pPr>
              <w:pStyle w:val="EEAtableleft"/>
            </w:pPr>
            <w:r>
              <w:t>Soil</w:t>
            </w:r>
            <w:r w:rsidR="00BB0FE3" w:rsidRPr="00BB0FE3">
              <w:t xml:space="preserve"> production</w:t>
            </w:r>
            <w:r>
              <w:t xml:space="preserve"> function</w:t>
            </w:r>
          </w:p>
        </w:tc>
        <w:tc>
          <w:tcPr>
            <w:tcW w:w="1555" w:type="dxa"/>
            <w:vAlign w:val="center"/>
          </w:tcPr>
          <w:p w14:paraId="00695DFE" w14:textId="225EA61A" w:rsidR="00BB0FE3" w:rsidRPr="00BB0FE3" w:rsidRDefault="00D14DE5" w:rsidP="00EA081C">
            <w:pPr>
              <w:pStyle w:val="EEAtableleft"/>
            </w:pPr>
            <w:r>
              <w:t>Rootability</w:t>
            </w:r>
          </w:p>
          <w:p w14:paraId="65478854" w14:textId="77777777" w:rsidR="00BB0FE3" w:rsidRPr="00BB0FE3" w:rsidRDefault="00BB0FE3" w:rsidP="00EA081C">
            <w:pPr>
              <w:pStyle w:val="EEAtableleft"/>
            </w:pPr>
            <w:r w:rsidRPr="00BB0FE3">
              <w:rPr>
                <w:lang w:val="de-DE"/>
              </w:rPr>
              <w:t>Nutrient availability</w:t>
            </w:r>
          </w:p>
        </w:tc>
        <w:tc>
          <w:tcPr>
            <w:tcW w:w="4253" w:type="dxa"/>
            <w:vAlign w:val="center"/>
          </w:tcPr>
          <w:p w14:paraId="0445DB0F" w14:textId="77777777" w:rsidR="00BB0FE3" w:rsidRPr="00BB0FE3" w:rsidRDefault="00BB0FE3" w:rsidP="00EA081C">
            <w:pPr>
              <w:pStyle w:val="EEAtableleft"/>
            </w:pPr>
            <w:r w:rsidRPr="00BB0FE3">
              <w:t>Root length - and root surface density</w:t>
            </w:r>
          </w:p>
          <w:p w14:paraId="06F17677" w14:textId="77777777" w:rsidR="00BB0FE3" w:rsidRPr="00BB0FE3" w:rsidRDefault="00BB0FE3" w:rsidP="00EA081C">
            <w:pPr>
              <w:pStyle w:val="EEAtableleft"/>
            </w:pPr>
            <w:r w:rsidRPr="00BB0FE3">
              <w:t>Penetration resistance</w:t>
            </w:r>
          </w:p>
        </w:tc>
      </w:tr>
    </w:tbl>
    <w:p w14:paraId="15F10B47" w14:textId="29D3F848" w:rsidR="007066D9" w:rsidRPr="00BB0FE3" w:rsidRDefault="007066D9" w:rsidP="007066D9">
      <w:pPr>
        <w:pStyle w:val="FormatvorlageEEATabfootnoteLinks0cmErsteZeile0cm"/>
      </w:pPr>
      <w:r w:rsidRPr="007066D9">
        <w:rPr>
          <w:b/>
        </w:rPr>
        <w:t>Sources</w:t>
      </w:r>
      <w:r w:rsidRPr="00BB0FE3">
        <w:t xml:space="preserve"> </w:t>
      </w:r>
      <w:r>
        <w:tab/>
      </w:r>
      <w:r w:rsidR="000653E7">
        <w:t>A</w:t>
      </w:r>
      <w:r w:rsidRPr="00BB0FE3">
        <w:t xml:space="preserve">mongst others: Horn and Fleige </w:t>
      </w:r>
      <w:r w:rsidR="00834449">
        <w:t>(</w:t>
      </w:r>
      <w:r w:rsidRPr="00BB0FE3">
        <w:t>2003,2009</w:t>
      </w:r>
      <w:r w:rsidR="00834449">
        <w:t>)</w:t>
      </w:r>
      <w:r w:rsidRPr="00BB0FE3">
        <w:t xml:space="preserve">, Jones et al. </w:t>
      </w:r>
      <w:r w:rsidR="00834449" w:rsidRPr="00BE7C9A">
        <w:rPr>
          <w:lang w:val="de-DE"/>
        </w:rPr>
        <w:t>(</w:t>
      </w:r>
      <w:r w:rsidRPr="00BE7C9A">
        <w:rPr>
          <w:lang w:val="de-DE"/>
        </w:rPr>
        <w:t>2003</w:t>
      </w:r>
      <w:r w:rsidR="00834449" w:rsidRPr="00BE7C9A">
        <w:rPr>
          <w:lang w:val="de-DE"/>
        </w:rPr>
        <w:t>)</w:t>
      </w:r>
      <w:r w:rsidRPr="00BE7C9A">
        <w:rPr>
          <w:lang w:val="de-DE"/>
        </w:rPr>
        <w:t>, Lebert et al.</w:t>
      </w:r>
      <w:r w:rsidR="00834449" w:rsidRPr="00BE7C9A">
        <w:rPr>
          <w:lang w:val="de-DE"/>
        </w:rPr>
        <w:t xml:space="preserve"> (</w:t>
      </w:r>
      <w:r w:rsidRPr="00BE7C9A">
        <w:rPr>
          <w:lang w:val="de-DE"/>
        </w:rPr>
        <w:t>2007</w:t>
      </w:r>
      <w:r w:rsidR="00834449" w:rsidRPr="00BE7C9A">
        <w:rPr>
          <w:lang w:val="de-DE"/>
        </w:rPr>
        <w:t>)</w:t>
      </w:r>
      <w:r w:rsidRPr="00BE7C9A">
        <w:rPr>
          <w:lang w:val="de-DE"/>
        </w:rPr>
        <w:t xml:space="preserve">, Lebert </w:t>
      </w:r>
      <w:r w:rsidR="00834449" w:rsidRPr="00BE7C9A">
        <w:rPr>
          <w:lang w:val="de-DE"/>
        </w:rPr>
        <w:t>(</w:t>
      </w:r>
      <w:r w:rsidRPr="00BE7C9A">
        <w:rPr>
          <w:lang w:val="de-DE"/>
        </w:rPr>
        <w:t>2010</w:t>
      </w:r>
      <w:r w:rsidR="00834449" w:rsidRPr="00BE7C9A">
        <w:rPr>
          <w:lang w:val="de-DE"/>
        </w:rPr>
        <w:t>)</w:t>
      </w:r>
      <w:r w:rsidRPr="00BE7C9A">
        <w:rPr>
          <w:lang w:val="de-DE"/>
        </w:rPr>
        <w:t xml:space="preserve">, Schjonning et al. </w:t>
      </w:r>
      <w:r w:rsidR="00834449" w:rsidRPr="00BE7C9A">
        <w:rPr>
          <w:lang w:val="de-DE"/>
        </w:rPr>
        <w:t>(</w:t>
      </w:r>
      <w:r w:rsidRPr="00BE7C9A">
        <w:rPr>
          <w:lang w:val="de-DE"/>
        </w:rPr>
        <w:t>201</w:t>
      </w:r>
      <w:r w:rsidR="00EE4293" w:rsidRPr="00BE7C9A">
        <w:rPr>
          <w:lang w:val="de-DE"/>
        </w:rPr>
        <w:t>6</w:t>
      </w:r>
      <w:r w:rsidR="00834449" w:rsidRPr="00BE7C9A">
        <w:rPr>
          <w:lang w:val="de-DE"/>
        </w:rPr>
        <w:t>)</w:t>
      </w:r>
      <w:r w:rsidRPr="00BE7C9A">
        <w:rPr>
          <w:lang w:val="de-DE"/>
        </w:rPr>
        <w:t xml:space="preserve">, Keller et al. </w:t>
      </w:r>
      <w:r w:rsidR="00834449">
        <w:t>(</w:t>
      </w:r>
      <w:r w:rsidRPr="00BB0FE3">
        <w:t>2019</w:t>
      </w:r>
      <w:r w:rsidR="00834449">
        <w:t>)</w:t>
      </w:r>
      <w:r w:rsidRPr="00BB0FE3">
        <w:t xml:space="preserve">, Horn </w:t>
      </w:r>
      <w:r w:rsidR="00834449">
        <w:t>(</w:t>
      </w:r>
      <w:r w:rsidR="00834449" w:rsidRPr="00BB0FE3">
        <w:t>2021</w:t>
      </w:r>
      <w:r w:rsidR="00834449">
        <w:t>)</w:t>
      </w:r>
    </w:p>
    <w:p w14:paraId="3F1D3FAF" w14:textId="422B007F" w:rsidR="00BB0FE3" w:rsidRDefault="00BB0FE3" w:rsidP="007066D9"/>
    <w:p w14:paraId="06BEE68D" w14:textId="77777777" w:rsidR="009742BB" w:rsidRPr="00BB0FE3" w:rsidRDefault="009742BB" w:rsidP="007066D9"/>
    <w:p w14:paraId="6020FE34" w14:textId="2C4E922C" w:rsidR="00BB0FE3" w:rsidRDefault="00BB0FE3" w:rsidP="007066D9">
      <w:r w:rsidRPr="00BB0FE3">
        <w:t xml:space="preserve">The strength of the soil, hence its capacity to resist to stress which can cause compaction, is greatly influenced by external as well as internal properties and functions – it is obvious that in spring after the snow melting or when soils are wet, </w:t>
      </w:r>
      <w:r w:rsidR="00265C53">
        <w:t>soils</w:t>
      </w:r>
      <w:r w:rsidR="00265C53" w:rsidRPr="00BB0FE3">
        <w:t xml:space="preserve"> </w:t>
      </w:r>
      <w:r w:rsidRPr="00BB0FE3">
        <w:t xml:space="preserve">are </w:t>
      </w:r>
      <w:r w:rsidR="00265C53">
        <w:t xml:space="preserve">physically </w:t>
      </w:r>
      <w:r w:rsidRPr="00BB0FE3">
        <w:t>weak and more susceptible to deformation; during summer, soils dry out and hydraulic stress increase</w:t>
      </w:r>
      <w:r w:rsidR="004E4D2D">
        <w:t>s</w:t>
      </w:r>
      <w:r w:rsidRPr="00BB0FE3">
        <w:t xml:space="preserve"> the rigidity of the pore system due to additional structure formation and strengthening. </w:t>
      </w:r>
    </w:p>
    <w:p w14:paraId="6E974983" w14:textId="77777777" w:rsidR="007066D9" w:rsidRPr="00BB0FE3" w:rsidRDefault="007066D9" w:rsidP="007066D9"/>
    <w:p w14:paraId="195B4584" w14:textId="726DE365" w:rsidR="00BB0FE3" w:rsidRDefault="00BB0FE3" w:rsidP="007066D9">
      <w:r w:rsidRPr="00BB0FE3">
        <w:t xml:space="preserve">Depending on the parent material and soil structure formation during its natural development (pedogenesis), soil has a natural range of </w:t>
      </w:r>
      <w:r w:rsidRPr="002E7D0F">
        <w:rPr>
          <w:b/>
          <w:bCs/>
        </w:rPr>
        <w:t>rigidity (= strength)</w:t>
      </w:r>
      <w:r w:rsidRPr="00BB0FE3">
        <w:t xml:space="preserve">. Compaction occurs when the applied stress overcomes this strength - the </w:t>
      </w:r>
      <w:r w:rsidRPr="002E7D0F">
        <w:rPr>
          <w:b/>
          <w:bCs/>
        </w:rPr>
        <w:t xml:space="preserve">mechanical rigidity </w:t>
      </w:r>
      <w:r w:rsidRPr="005F35CC">
        <w:rPr>
          <w:b/>
          <w:bCs/>
        </w:rPr>
        <w:t>limits of the internal soil strength are exceeded</w:t>
      </w:r>
      <w:r w:rsidRPr="005F35CC">
        <w:t xml:space="preserve">: the soil “fails”. This </w:t>
      </w:r>
      <w:r w:rsidRPr="005F35CC">
        <w:rPr>
          <w:b/>
          <w:bCs/>
        </w:rPr>
        <w:t>internal strength</w:t>
      </w:r>
      <w:r w:rsidRPr="005F35CC">
        <w:t xml:space="preserve"> can be derived from so-called stress-strain curves</w:t>
      </w:r>
      <w:r w:rsidRPr="005F35CC">
        <w:rPr>
          <w:rStyle w:val="Funotenzeichen"/>
          <w:rFonts w:asciiTheme="majorHAnsi" w:hAnsiTheme="majorHAnsi" w:cstheme="majorHAnsi"/>
          <w:szCs w:val="22"/>
        </w:rPr>
        <w:footnoteReference w:id="52"/>
      </w:r>
      <w:r w:rsidRPr="005F35CC">
        <w:t xml:space="preserve">, which define also the </w:t>
      </w:r>
      <w:r w:rsidRPr="005F35CC">
        <w:rPr>
          <w:b/>
          <w:bCs/>
        </w:rPr>
        <w:t>precompression stress</w:t>
      </w:r>
      <w:r w:rsidRPr="005F35CC">
        <w:t xml:space="preserve"> for soil</w:t>
      </w:r>
      <w:r w:rsidR="004E4D2D" w:rsidRPr="005F35CC">
        <w:t>s</w:t>
      </w:r>
      <w:r w:rsidRPr="005F35CC">
        <w:t xml:space="preserve"> under consideration (Horn and Fleige 2009). This soil</w:t>
      </w:r>
      <w:r w:rsidRPr="00BB0FE3">
        <w:t xml:space="preserve">-specific relationship between stress and strain characterizes the level of natural compression stress, prior to the current compressed state (due to former stress applications). Only if this soil strength (defined by its precompression stress) is exceeded by actual stresses applied, </w:t>
      </w:r>
      <w:r w:rsidR="00553D88">
        <w:t>soil functions deteriorate upon</w:t>
      </w:r>
      <w:r w:rsidR="004F483C">
        <w:t xml:space="preserve"> </w:t>
      </w:r>
      <w:r w:rsidR="00553D88">
        <w:t>unsustainable soil management</w:t>
      </w:r>
      <w:r w:rsidRPr="00BB0FE3">
        <w:t xml:space="preserve">. The </w:t>
      </w:r>
      <w:r w:rsidRPr="0034502F">
        <w:rPr>
          <w:b/>
          <w:bCs/>
        </w:rPr>
        <w:t xml:space="preserve">precompression stress of a soil (horizon) therefore defines </w:t>
      </w:r>
      <w:r w:rsidR="00553D88" w:rsidRPr="0034502F">
        <w:rPr>
          <w:b/>
          <w:bCs/>
        </w:rPr>
        <w:t xml:space="preserve">a degradation </w:t>
      </w:r>
      <w:r w:rsidRPr="0034502F">
        <w:rPr>
          <w:b/>
          <w:bCs/>
        </w:rPr>
        <w:t xml:space="preserve">threshold </w:t>
      </w:r>
      <w:r w:rsidRPr="00BB0FE3">
        <w:t xml:space="preserve">because it quantifies the rigidity limits for </w:t>
      </w:r>
      <w:r w:rsidR="00553D88">
        <w:t xml:space="preserve">physical, compaction-related </w:t>
      </w:r>
      <w:r w:rsidRPr="00BB0FE3">
        <w:t xml:space="preserve">soil functions. The precompression stress as </w:t>
      </w:r>
      <w:r w:rsidR="00553D88">
        <w:t xml:space="preserve">a </w:t>
      </w:r>
      <w:r w:rsidRPr="00BB0FE3">
        <w:t>threshold is consequently the basis for determining or adjust</w:t>
      </w:r>
      <w:r w:rsidR="00C66CFF">
        <w:t>ing</w:t>
      </w:r>
      <w:r w:rsidRPr="00BB0FE3">
        <w:t xml:space="preserve"> soil management systems. </w:t>
      </w:r>
      <w:r w:rsidRPr="00C66CFF">
        <w:rPr>
          <w:b/>
          <w:bCs/>
        </w:rPr>
        <w:t>Exceedance of the soil’s precompression stress</w:t>
      </w:r>
      <w:r w:rsidRPr="00BB0FE3">
        <w:t xml:space="preserve"> (</w:t>
      </w:r>
      <w:r w:rsidR="002F7357" w:rsidRPr="00BB0FE3">
        <w:t>i.e.,</w:t>
      </w:r>
      <w:r w:rsidRPr="00BB0FE3">
        <w:t xml:space="preserve"> the actual soil strength) can be documented not only by a volume loss (soil subsidence) or increase in bulk density (densification), but more importantly, by changes of sub-indicators (presented here in the overall compaction assessment) which are more directly related to physical soil functions. Such sub-indicators are:</w:t>
      </w:r>
    </w:p>
    <w:p w14:paraId="48E7DE43" w14:textId="77777777" w:rsidR="00EA081C" w:rsidRDefault="00EA081C" w:rsidP="007066D9"/>
    <w:p w14:paraId="43AA2F55" w14:textId="0532B002" w:rsidR="004C089C" w:rsidRDefault="004C089C" w:rsidP="004C089C">
      <w:pPr>
        <w:pStyle w:val="EEAbullet0"/>
      </w:pPr>
      <w:r w:rsidRPr="004C089C">
        <w:t>decreas</w:t>
      </w:r>
      <w:r>
        <w:t>ing</w:t>
      </w:r>
      <w:r w:rsidRPr="004C089C">
        <w:t xml:space="preserve"> with compaction</w:t>
      </w:r>
    </w:p>
    <w:p w14:paraId="50B31073" w14:textId="77777777" w:rsidR="004C089C" w:rsidRDefault="004C089C" w:rsidP="004C089C">
      <w:pPr>
        <w:pStyle w:val="EEAbullet1"/>
      </w:pPr>
      <w:r>
        <w:t>air permeability</w:t>
      </w:r>
    </w:p>
    <w:p w14:paraId="008AEE76" w14:textId="77777777" w:rsidR="004C089C" w:rsidRDefault="004C089C" w:rsidP="004C089C">
      <w:pPr>
        <w:pStyle w:val="EEAbullet1"/>
      </w:pPr>
      <w:r>
        <w:t>gas diffusion</w:t>
      </w:r>
    </w:p>
    <w:p w14:paraId="3529C134" w14:textId="3AE1D24A" w:rsidR="004C089C" w:rsidRDefault="004C089C" w:rsidP="004C089C">
      <w:pPr>
        <w:pStyle w:val="EEAbullet1"/>
      </w:pPr>
      <w:r>
        <w:t>(saturated) hydraulic conductivity</w:t>
      </w:r>
    </w:p>
    <w:p w14:paraId="044D2885" w14:textId="3C336B4B" w:rsidR="004C089C" w:rsidRDefault="004C089C" w:rsidP="004C089C">
      <w:pPr>
        <w:pStyle w:val="EEAbullet0"/>
      </w:pPr>
      <w:r w:rsidRPr="00BB0FE3">
        <w:t>increas</w:t>
      </w:r>
      <w:r>
        <w:t>ing</w:t>
      </w:r>
      <w:r w:rsidRPr="00BB0FE3">
        <w:t xml:space="preserve"> with compaction</w:t>
      </w:r>
    </w:p>
    <w:p w14:paraId="78029CBC" w14:textId="294EE663" w:rsidR="004C089C" w:rsidRDefault="004C089C" w:rsidP="004C089C">
      <w:pPr>
        <w:pStyle w:val="EEAbullet1"/>
      </w:pPr>
      <w:r w:rsidRPr="00BB0FE3">
        <w:t>heat flux at a given matrix potential</w:t>
      </w:r>
      <w:r w:rsidRPr="00BB0FE3">
        <w:rPr>
          <w:rStyle w:val="Funotenzeichen"/>
          <w:rFonts w:asciiTheme="majorHAnsi" w:hAnsiTheme="majorHAnsi" w:cstheme="majorHAnsi"/>
          <w:szCs w:val="22"/>
        </w:rPr>
        <w:footnoteReference w:id="53"/>
      </w:r>
    </w:p>
    <w:p w14:paraId="51E04BD8" w14:textId="77777777" w:rsidR="004C089C" w:rsidRDefault="004C089C" w:rsidP="00CF64FA"/>
    <w:p w14:paraId="7FE29C36" w14:textId="2E2AD1B4" w:rsidR="00BB0FE3" w:rsidRDefault="00BB0FE3" w:rsidP="00CF64FA">
      <w:r w:rsidRPr="00BB0FE3">
        <w:t xml:space="preserve">They depend on natural soil processes including texture, structure, organic carbon, chemical properties and can either be already very low (as a natural site property) or they </w:t>
      </w:r>
      <w:r w:rsidR="00D6763C">
        <w:t>exceed</w:t>
      </w:r>
      <w:r w:rsidRPr="00BB0FE3">
        <w:t xml:space="preserve"> acceptable values due to soil deformation. Physico-chemical parameters, like redox potential, biological composition, and microbial abundance are also altered (Horn 2021). Consequently, the link between physicochemical and biological processes are indicated through different gas emissions from the soil (</w:t>
      </w:r>
      <w:r w:rsidR="00D6465E" w:rsidRPr="00BB0FE3">
        <w:t>e.g.,</w:t>
      </w:r>
      <w:r w:rsidRPr="00BB0FE3">
        <w:t xml:space="preserve"> increased N</w:t>
      </w:r>
      <w:r w:rsidRPr="00BB0FE3">
        <w:rPr>
          <w:vertAlign w:val="subscript"/>
        </w:rPr>
        <w:t>2</w:t>
      </w:r>
      <w:r w:rsidRPr="00BB0FE3">
        <w:t xml:space="preserve">O emission). Beyond the threshold value (the soil strength) are all changes irreversible and soil amelioration necessitates decades to improve soil functions, what is documented by long lasting changes of the corresponding values. </w:t>
      </w:r>
    </w:p>
    <w:p w14:paraId="45103E70" w14:textId="77777777" w:rsidR="00CF64FA" w:rsidRPr="00BB0FE3" w:rsidRDefault="00CF64FA" w:rsidP="00CF64FA"/>
    <w:p w14:paraId="338FADCB" w14:textId="22A98201" w:rsidR="00BB0FE3" w:rsidRPr="005F35CC" w:rsidRDefault="00BB0FE3" w:rsidP="00CF64FA">
      <w:r w:rsidRPr="00BB0FE3">
        <w:t xml:space="preserve">Change of soil strength often occurs when soils are moist or wet and/ or under mechanical stress when the natural aggregate strength is exceeded, or, when the </w:t>
      </w:r>
      <w:r w:rsidRPr="00BB0FE3">
        <w:rPr>
          <w:bCs/>
        </w:rPr>
        <w:t xml:space="preserve">soil strength </w:t>
      </w:r>
      <w:r w:rsidRPr="00BB0FE3">
        <w:t xml:space="preserve">(or: rigidity of the pore and soil </w:t>
      </w:r>
      <w:r w:rsidRPr="005F35CC">
        <w:t>structure system) is low compared to the applied stress (Horn et al. 2014). The extent to which these changes occur depends on the stress intensity and duration as well as kind of stress applied (static = vertical loading or wheeling-induced shear and strain effects</w:t>
      </w:r>
      <w:r w:rsidRPr="005F35CC">
        <w:rPr>
          <w:rStyle w:val="Funotenzeichen"/>
          <w:rFonts w:asciiTheme="majorHAnsi" w:hAnsiTheme="majorHAnsi" w:cstheme="majorHAnsi"/>
          <w:szCs w:val="22"/>
        </w:rPr>
        <w:footnoteReference w:id="54"/>
      </w:r>
      <w:r w:rsidRPr="005F35CC">
        <w:t>). Among other effects, plastic deformation and consecutive stress release moreover induce the formation of a platy soil structure which then results in prevailing horizontal water fluxes</w:t>
      </w:r>
      <w:r w:rsidRPr="005F35CC" w:rsidDel="001B1445">
        <w:t xml:space="preserve"> </w:t>
      </w:r>
      <w:r w:rsidRPr="005F35CC">
        <w:t xml:space="preserve">(Horn et al. 2019). Such decline in soil structure impacts water erosion and flooding risk, </w:t>
      </w:r>
      <w:r w:rsidRPr="005F35CC">
        <w:rPr>
          <w:color w:val="323232"/>
          <w:shd w:val="clear" w:color="auto" w:fill="FFFFFF"/>
        </w:rPr>
        <w:t>especially in areas with prevailing fine textured soils with a typically low infiltration capacity (Alaoui et al. 2018)</w:t>
      </w:r>
      <w:r w:rsidRPr="005F35CC">
        <w:t>.</w:t>
      </w:r>
    </w:p>
    <w:p w14:paraId="2A0B070F" w14:textId="5EE6F594" w:rsidR="00BB0FE3" w:rsidRPr="005F35CC" w:rsidRDefault="00BB0FE3" w:rsidP="00CF64FA"/>
    <w:p w14:paraId="69776EE3" w14:textId="3DF97150" w:rsidR="00EA081C" w:rsidRPr="005F35CC" w:rsidRDefault="00EA081C" w:rsidP="00EA081C">
      <w:pPr>
        <w:pStyle w:val="berschrift2"/>
        <w:numPr>
          <w:ilvl w:val="2"/>
          <w:numId w:val="3"/>
        </w:numPr>
        <w:rPr>
          <w:rStyle w:val="FormatvorlageFormatvorlageberschrift3Zchn1"/>
        </w:rPr>
      </w:pPr>
      <w:bookmarkStart w:id="379" w:name="_Toc83997396"/>
      <w:r w:rsidRPr="005F35CC">
        <w:rPr>
          <w:rStyle w:val="FormatvorlageFormatvorlageberschrift3Zchn1"/>
        </w:rPr>
        <w:t>Subsoil compaction</w:t>
      </w:r>
      <w:bookmarkEnd w:id="379"/>
    </w:p>
    <w:p w14:paraId="5D6810B2" w14:textId="77777777" w:rsidR="00EA081C" w:rsidRPr="005F35CC" w:rsidRDefault="00EA081C" w:rsidP="00CF64FA"/>
    <w:p w14:paraId="0A51A4DD" w14:textId="4A12BBE6" w:rsidR="00BB0FE3" w:rsidRDefault="00BB0FE3" w:rsidP="00EA081C">
      <w:r w:rsidRPr="005F35CC">
        <w:t xml:space="preserve">When the internal soil strength is exceeded during wheeling, animal trampling, or continuous loading, soil deformation occurs down to depths until an equilibration between external stress and internal strength is reached. Thus, both topsoil and subsoil are affected. The </w:t>
      </w:r>
      <w:r w:rsidRPr="005F35CC">
        <w:rPr>
          <w:b/>
          <w:bCs/>
        </w:rPr>
        <w:t>subsoil</w:t>
      </w:r>
      <w:r w:rsidRPr="005F35CC">
        <w:t xml:space="preserve"> in agriculture is defined as soil below the tillage depth (usually around 20-35 cm). However, while compaction in the topsoil can be mitigated through effective management (like ploughing or chiselling) or through natural processes (like soil biota activity, swelling and shrinkage or temperature changes: freeze, thaw), the damage to the subsoil is particularly relevant since, at these depths, compaction is cumulative and persistent over decades or maybe even centuries (Wiechmann 1995, Keller et al. 2019). Subsoil compaction is hence the main responsible factor for soil degradation, having a persistent impact</w:t>
      </w:r>
      <w:r w:rsidRPr="00BB0FE3">
        <w:t xml:space="preserve"> on other soil threats and functions, too.</w:t>
      </w:r>
    </w:p>
    <w:p w14:paraId="1E3EFCF1" w14:textId="77777777" w:rsidR="004C089C" w:rsidRPr="00BB0FE3" w:rsidRDefault="004C089C" w:rsidP="00EA081C"/>
    <w:p w14:paraId="792E774A" w14:textId="77777777" w:rsidR="00BB0FE3" w:rsidRPr="00BB0FE3" w:rsidRDefault="00BB0FE3" w:rsidP="00BB0FE3">
      <w:pPr>
        <w:pStyle w:val="berschrift2"/>
        <w:spacing w:line="276" w:lineRule="auto"/>
        <w:rPr>
          <w:rFonts w:asciiTheme="majorHAnsi" w:hAnsiTheme="majorHAnsi" w:cstheme="majorHAnsi"/>
          <w:szCs w:val="22"/>
          <w:lang w:val="en-US"/>
        </w:rPr>
      </w:pPr>
      <w:bookmarkStart w:id="380" w:name="_Toc59032872"/>
      <w:bookmarkStart w:id="381" w:name="_Toc83997397"/>
      <w:r w:rsidRPr="00BB0FE3">
        <w:rPr>
          <w:rFonts w:asciiTheme="majorHAnsi" w:hAnsiTheme="majorHAnsi" w:cstheme="majorHAnsi"/>
          <w:szCs w:val="22"/>
          <w:lang w:val="en-US"/>
        </w:rPr>
        <w:t>Indicator specifications</w:t>
      </w:r>
      <w:bookmarkEnd w:id="380"/>
      <w:bookmarkEnd w:id="381"/>
    </w:p>
    <w:p w14:paraId="0DF44A9E" w14:textId="3582F518" w:rsidR="00A15094" w:rsidRPr="005F35CC" w:rsidRDefault="00A15094" w:rsidP="00A15094">
      <w:pPr>
        <w:pStyle w:val="berschrift2"/>
        <w:numPr>
          <w:ilvl w:val="2"/>
          <w:numId w:val="3"/>
        </w:numPr>
        <w:rPr>
          <w:rStyle w:val="FormatvorlageFormatvorlageberschrift3Zchn1"/>
        </w:rPr>
      </w:pPr>
      <w:bookmarkStart w:id="382" w:name="_Toc57021090"/>
      <w:bookmarkStart w:id="383" w:name="_Toc57021520"/>
      <w:bookmarkStart w:id="384" w:name="_Toc57022808"/>
      <w:bookmarkStart w:id="385" w:name="_Toc57022819"/>
      <w:bookmarkStart w:id="386" w:name="_Toc57022830"/>
      <w:bookmarkStart w:id="387" w:name="_Toc83997398"/>
      <w:bookmarkEnd w:id="382"/>
      <w:bookmarkEnd w:id="383"/>
      <w:bookmarkEnd w:id="384"/>
      <w:bookmarkEnd w:id="385"/>
      <w:bookmarkEnd w:id="386"/>
      <w:r>
        <w:rPr>
          <w:rStyle w:val="FormatvorlageFormatvorlageberschrift3Zchn1"/>
        </w:rPr>
        <w:t>Physical soil functional parameters</w:t>
      </w:r>
      <w:r w:rsidR="00827DA0">
        <w:rPr>
          <w:rStyle w:val="FormatvorlageFormatvorlageberschrift3Zchn1"/>
        </w:rPr>
        <w:t xml:space="preserve"> and indicators</w:t>
      </w:r>
      <w:bookmarkEnd w:id="387"/>
      <w:r>
        <w:rPr>
          <w:rStyle w:val="FormatvorlageFormatvorlageberschrift3Zchn1"/>
        </w:rPr>
        <w:t xml:space="preserve"> </w:t>
      </w:r>
    </w:p>
    <w:p w14:paraId="443D3465" w14:textId="6FEE7D6D" w:rsidR="00BB0FE3" w:rsidRPr="00BB0FE3" w:rsidRDefault="00BB0FE3" w:rsidP="00DE4C01">
      <w:pPr>
        <w:spacing w:before="120"/>
      </w:pPr>
      <w:r w:rsidRPr="00BB0FE3">
        <w:t xml:space="preserve">Indicators on compaction for soil monitoring were amongst others also suggested by Huber et al. (2008). In the absence of data on actual soil compaction, </w:t>
      </w:r>
      <w:bookmarkStart w:id="388" w:name="_Hlk57629456"/>
      <w:r w:rsidRPr="00BB0FE3">
        <w:t xml:space="preserve">Huber et al. (2008) have suggested to spatially predict </w:t>
      </w:r>
      <w:r w:rsidRPr="00BB0FE3">
        <w:lastRenderedPageBreak/>
        <w:t xml:space="preserve">the </w:t>
      </w:r>
      <w:r w:rsidRPr="00BB0FE3">
        <w:rPr>
          <w:b/>
          <w:bCs/>
        </w:rPr>
        <w:t>vulnerability of soils for compaction</w:t>
      </w:r>
      <w:r w:rsidRPr="00BB0FE3">
        <w:t xml:space="preserve"> by </w:t>
      </w:r>
      <w:r w:rsidR="00933056">
        <w:t xml:space="preserve">(a) </w:t>
      </w:r>
      <w:r w:rsidRPr="00BB0FE3">
        <w:t xml:space="preserve">the actual water saturation or its binding forces within the </w:t>
      </w:r>
      <w:r w:rsidRPr="005F35CC">
        <w:t xml:space="preserve">pores (defined as matric potential), </w:t>
      </w:r>
      <w:r w:rsidR="00933056" w:rsidRPr="005F35CC">
        <w:t xml:space="preserve">(b) </w:t>
      </w:r>
      <w:r w:rsidRPr="005F35CC">
        <w:t xml:space="preserve">the initial drainage condition and </w:t>
      </w:r>
      <w:r w:rsidR="00933056" w:rsidRPr="005F35CC">
        <w:t xml:space="preserve">(c) </w:t>
      </w:r>
      <w:r w:rsidRPr="005F35CC">
        <w:t xml:space="preserve">the </w:t>
      </w:r>
      <w:bookmarkEnd w:id="388"/>
      <w:r w:rsidRPr="005F35CC">
        <w:t>bulk density. However, such estimates provide only very rough information about where soils are over-compacted (van den Akker et al. 2013). Therefore, here, indicators are suggested which are sufficiently sensitive to document and to quantify the intensity of soil compaction and the consecutive effects on soil functions. The application of thresholds available</w:t>
      </w:r>
      <w:r w:rsidRPr="00BB0FE3">
        <w:t xml:space="preserve"> to at least some of these indicators offers orientation to avoid further soil deformation, and to select soil restauration approaches. Indicators are presented in two sets, according to their precision, explanatory power, and easiness of obtaining the input data. </w:t>
      </w:r>
    </w:p>
    <w:p w14:paraId="1DF32261" w14:textId="782E2F63" w:rsidR="00D14DE5" w:rsidRDefault="00D14DE5" w:rsidP="00D14DE5"/>
    <w:p w14:paraId="1EDCDD55" w14:textId="319B7D48" w:rsidR="004C089C" w:rsidRDefault="004C089C" w:rsidP="004C089C">
      <w:pPr>
        <w:pStyle w:val="EEAbullet0"/>
      </w:pPr>
      <w:r w:rsidRPr="004C089C">
        <w:rPr>
          <w:b/>
        </w:rPr>
        <w:t>Indicator subset I,</w:t>
      </w:r>
      <w:r>
        <w:t xml:space="preserve"> indicators can be e</w:t>
      </w:r>
      <w:r w:rsidRPr="00BB0FE3">
        <w:t>asily measured or mostly available in regular soil monitoring</w:t>
      </w:r>
    </w:p>
    <w:p w14:paraId="6A30CCF2" w14:textId="77777777" w:rsidR="004C089C" w:rsidRPr="004C089C" w:rsidRDefault="004C089C" w:rsidP="004C089C">
      <w:pPr>
        <w:pStyle w:val="EEAbullet1"/>
      </w:pPr>
      <w:r w:rsidRPr="004C089C">
        <w:t>dry bulk density</w:t>
      </w:r>
    </w:p>
    <w:p w14:paraId="6D335699" w14:textId="77777777" w:rsidR="004C089C" w:rsidRPr="004C089C" w:rsidRDefault="004C089C" w:rsidP="004C089C">
      <w:pPr>
        <w:pStyle w:val="EEAbullet1"/>
      </w:pPr>
      <w:r w:rsidRPr="004C089C">
        <w:t>air-filled pore volume</w:t>
      </w:r>
    </w:p>
    <w:p w14:paraId="658E20FE" w14:textId="77777777" w:rsidR="004C089C" w:rsidRPr="004C089C" w:rsidRDefault="004C089C" w:rsidP="004C089C">
      <w:pPr>
        <w:pStyle w:val="EEAbullet1"/>
      </w:pPr>
      <w:r w:rsidRPr="004C089C">
        <w:t>soil texture</w:t>
      </w:r>
    </w:p>
    <w:p w14:paraId="71416F26" w14:textId="669BA158" w:rsidR="004C089C" w:rsidRPr="004C089C" w:rsidRDefault="004C089C" w:rsidP="004C089C">
      <w:pPr>
        <w:pStyle w:val="EEAbullet1"/>
      </w:pPr>
      <w:r w:rsidRPr="004C089C">
        <w:t>visual features of compaction</w:t>
      </w:r>
    </w:p>
    <w:p w14:paraId="6D1D1100" w14:textId="77777777" w:rsidR="004C089C" w:rsidRDefault="004C089C" w:rsidP="00CF64FA">
      <w:pPr>
        <w:pStyle w:val="EEAStandardbold"/>
      </w:pPr>
    </w:p>
    <w:p w14:paraId="14FE0B19" w14:textId="14DC93C1" w:rsidR="00BB0FE3" w:rsidRPr="00BB0FE3" w:rsidRDefault="00BB0FE3" w:rsidP="00CF64FA">
      <w:pPr>
        <w:pStyle w:val="EEAStandardbold"/>
      </w:pPr>
      <w:r w:rsidRPr="00BB0FE3">
        <w:t>Bulk density</w:t>
      </w:r>
    </w:p>
    <w:p w14:paraId="70FC8244" w14:textId="6237DE4B" w:rsidR="00BB0FE3" w:rsidRDefault="00BB0FE3" w:rsidP="0005058D">
      <w:pPr>
        <w:spacing w:before="120"/>
      </w:pPr>
      <w:r w:rsidRPr="00BB0FE3">
        <w:t>The bulk density D</w:t>
      </w:r>
      <w:r w:rsidRPr="00BB0FE3">
        <w:rPr>
          <w:vertAlign w:val="subscript"/>
        </w:rPr>
        <w:t>b</w:t>
      </w:r>
      <w:r w:rsidRPr="00BB0FE3">
        <w:t xml:space="preserve"> defines a mass of dry soil material per volume. The values depend on texture, aggregation, organic carbon content as well as in situ water drainage and anthropogenic, geogenic or pedogenic processes. D</w:t>
      </w:r>
      <w:r w:rsidRPr="00BB0FE3">
        <w:rPr>
          <w:vertAlign w:val="subscript"/>
        </w:rPr>
        <w:t>b</w:t>
      </w:r>
      <w:r w:rsidRPr="00BB0FE3">
        <w:t xml:space="preserve"> is a parameter with high spatial and temporal variability. The </w:t>
      </w:r>
      <w:r w:rsidRPr="00BB0FE3">
        <w:rPr>
          <w:color w:val="1C1D1E"/>
          <w:shd w:val="clear" w:color="auto" w:fill="FFFFFF"/>
        </w:rPr>
        <w:t xml:space="preserve">compaction‐sensitive parameter </w:t>
      </w:r>
      <w:proofErr w:type="gramStart"/>
      <w:r w:rsidR="00D97E4B">
        <w:rPr>
          <w:color w:val="1C1D1E"/>
          <w:shd w:val="clear" w:color="auto" w:fill="FFFFFF"/>
        </w:rPr>
        <w:t>While</w:t>
      </w:r>
      <w:proofErr w:type="gramEnd"/>
      <w:r w:rsidR="00D97E4B">
        <w:rPr>
          <w:color w:val="1C1D1E"/>
          <w:shd w:val="clear" w:color="auto" w:fill="FFFFFF"/>
        </w:rPr>
        <w:t xml:space="preserve"> </w:t>
      </w:r>
      <w:r w:rsidRPr="00BB0FE3">
        <w:rPr>
          <w:color w:val="1C1D1E"/>
          <w:shd w:val="clear" w:color="auto" w:fill="FFFFFF"/>
        </w:rPr>
        <w:t>bulk density (ρ</w:t>
      </w:r>
      <w:r w:rsidRPr="00BB0FE3">
        <w:rPr>
          <w:color w:val="1C1D1E"/>
          <w:shd w:val="clear" w:color="auto" w:fill="FFFFFF"/>
          <w:vertAlign w:val="subscript"/>
        </w:rPr>
        <w:t>Bf</w:t>
      </w:r>
      <w:r w:rsidRPr="00BB0FE3">
        <w:rPr>
          <w:color w:val="1C1D1E"/>
          <w:shd w:val="clear" w:color="auto" w:fill="FFFFFF"/>
        </w:rPr>
        <w:t>)</w:t>
      </w:r>
      <w:r w:rsidR="00C348C1">
        <w:rPr>
          <w:color w:val="1C1D1E"/>
          <w:shd w:val="clear" w:color="auto" w:fill="FFFFFF"/>
        </w:rPr>
        <w:t xml:space="preserve"> is compaction-sensitive</w:t>
      </w:r>
      <w:r w:rsidRPr="00BB0FE3">
        <w:rPr>
          <w:color w:val="1C1D1E"/>
          <w:shd w:val="clear" w:color="auto" w:fill="FFFFFF"/>
        </w:rPr>
        <w:t>,</w:t>
      </w:r>
      <w:r w:rsidR="00C348C1">
        <w:rPr>
          <w:color w:val="1C1D1E"/>
          <w:shd w:val="clear" w:color="auto" w:fill="FFFFFF"/>
        </w:rPr>
        <w:t xml:space="preserve"> it</w:t>
      </w:r>
      <w:r w:rsidRPr="00BB0FE3">
        <w:rPr>
          <w:color w:val="1C1D1E"/>
          <w:shd w:val="clear" w:color="auto" w:fill="FFFFFF"/>
        </w:rPr>
        <w:t xml:space="preserve"> is </w:t>
      </w:r>
      <w:r w:rsidR="00C348C1">
        <w:rPr>
          <w:color w:val="1C1D1E"/>
          <w:shd w:val="clear" w:color="auto" w:fill="FFFFFF"/>
        </w:rPr>
        <w:t xml:space="preserve">nevertheless </w:t>
      </w:r>
      <w:r w:rsidRPr="00BB0FE3">
        <w:rPr>
          <w:color w:val="1C1D1E"/>
          <w:shd w:val="clear" w:color="auto" w:fill="FFFFFF"/>
        </w:rPr>
        <w:t xml:space="preserve">considered </w:t>
      </w:r>
      <w:r w:rsidR="00C348C1">
        <w:rPr>
          <w:color w:val="1C1D1E"/>
          <w:shd w:val="clear" w:color="auto" w:fill="FFFFFF"/>
        </w:rPr>
        <w:t xml:space="preserve">a rather </w:t>
      </w:r>
      <w:r w:rsidR="00F4080D">
        <w:rPr>
          <w:color w:val="1C1D1E"/>
          <w:shd w:val="clear" w:color="auto" w:fill="FFFFFF"/>
        </w:rPr>
        <w:t xml:space="preserve">unspecific </w:t>
      </w:r>
      <w:r w:rsidR="00E5506C">
        <w:rPr>
          <w:color w:val="1C1D1E"/>
          <w:shd w:val="clear" w:color="auto" w:fill="FFFFFF"/>
        </w:rPr>
        <w:t>parameter</w:t>
      </w:r>
      <w:r w:rsidRPr="00BB0FE3">
        <w:rPr>
          <w:color w:val="1C1D1E"/>
          <w:shd w:val="clear" w:color="auto" w:fill="FFFFFF"/>
        </w:rPr>
        <w:t xml:space="preserve">, because it describes only volume changes but do not quantify the potentially negative impacts on pore functions. Thus, </w:t>
      </w:r>
      <w:r w:rsidRPr="00BB0FE3">
        <w:t xml:space="preserve">there is no direct link to soil strength or compaction. Measurement of </w:t>
      </w:r>
      <w:r w:rsidRPr="00BB0FE3">
        <w:rPr>
          <w:iCs/>
        </w:rPr>
        <w:t>D</w:t>
      </w:r>
      <w:r w:rsidRPr="00BB0FE3">
        <w:rPr>
          <w:iCs/>
          <w:vertAlign w:val="subscript"/>
        </w:rPr>
        <w:t>b</w:t>
      </w:r>
      <w:r w:rsidRPr="00BB0FE3">
        <w:t xml:space="preserve"> can be furthermore misleading because sampling in dry, strongly rooted and stony soils is difficult. Irrespective of these limitations, it is often used to estimate soil compaction. </w:t>
      </w:r>
      <w:r w:rsidR="00842188">
        <w:t>P</w:t>
      </w:r>
      <w:r w:rsidRPr="00BB0FE3">
        <w:t>acking density</w:t>
      </w:r>
      <w:r w:rsidR="00833C09">
        <w:t xml:space="preserve"> (PD)</w:t>
      </w:r>
      <w:r w:rsidRPr="00BB0FE3">
        <w:t xml:space="preserve"> </w:t>
      </w:r>
      <w:r w:rsidR="00833C09">
        <w:t xml:space="preserve">is sometimes used instead of </w:t>
      </w:r>
      <w:r w:rsidR="00833C09" w:rsidRPr="00833C09">
        <w:t>D</w:t>
      </w:r>
      <w:r w:rsidR="00833C09" w:rsidRPr="00833C09">
        <w:rPr>
          <w:vertAlign w:val="subscript"/>
        </w:rPr>
        <w:t>b</w:t>
      </w:r>
      <w:r w:rsidR="00833C09">
        <w:t xml:space="preserve"> </w:t>
      </w:r>
      <w:r w:rsidR="00262BC5">
        <w:t xml:space="preserve">it </w:t>
      </w:r>
      <w:r w:rsidR="0062366F">
        <w:t xml:space="preserve">is derived as a function of </w:t>
      </w:r>
      <w:r w:rsidRPr="00BB0FE3">
        <w:t xml:space="preserve">bulk density </w:t>
      </w:r>
      <w:r w:rsidR="0062366F">
        <w:t xml:space="preserve">and </w:t>
      </w:r>
      <w:r w:rsidRPr="00BB0FE3">
        <w:t>clay content in order to indirectly evaluate the aggregate formation. However, this value has n</w:t>
      </w:r>
      <w:r w:rsidR="004C089C">
        <w:t>o easily comparable dimension.</w:t>
      </w:r>
    </w:p>
    <w:p w14:paraId="6A7A8E5F" w14:textId="77777777" w:rsidR="004C089C" w:rsidRPr="00BB0FE3" w:rsidRDefault="004C089C" w:rsidP="00D14DE5"/>
    <w:p w14:paraId="221E4FC9" w14:textId="77777777" w:rsidR="00BB0FE3" w:rsidRPr="00BB0FE3" w:rsidRDefault="00BB0FE3" w:rsidP="00CF64FA">
      <w:pPr>
        <w:pStyle w:val="EEAStandardbold"/>
      </w:pPr>
      <w:r w:rsidRPr="00BB0FE3">
        <w:t>Pore volume</w:t>
      </w:r>
    </w:p>
    <w:p w14:paraId="7FE786D7" w14:textId="299BE524" w:rsidR="00BB0FE3" w:rsidRDefault="00BB0FE3" w:rsidP="0005058D">
      <w:pPr>
        <w:spacing w:before="120"/>
      </w:pPr>
      <w:r w:rsidRPr="00BB0FE3">
        <w:t xml:space="preserve">The pore volume is directly related to the bulk density given the values for the specific density </w:t>
      </w:r>
      <w:r w:rsidR="00F517E6">
        <w:t xml:space="preserve">of the mineral soil components </w:t>
      </w:r>
      <w:r w:rsidRPr="00BB0FE3">
        <w:t xml:space="preserve">have been previously determined or estimated, depending on the </w:t>
      </w:r>
      <w:r w:rsidR="009F5D8D">
        <w:t xml:space="preserve">parent material (texture of the weathering product), clay </w:t>
      </w:r>
      <w:r w:rsidRPr="00BB0FE3">
        <w:t>mineralogy</w:t>
      </w:r>
      <w:r w:rsidR="009F5D8D">
        <w:t>,</w:t>
      </w:r>
      <w:r w:rsidR="00D604BC">
        <w:t xml:space="preserve"> and soil</w:t>
      </w:r>
      <w:r w:rsidRPr="00BB0FE3">
        <w:t xml:space="preserve"> organic carbon content. </w:t>
      </w:r>
    </w:p>
    <w:p w14:paraId="5B3A8399" w14:textId="77777777" w:rsidR="004C089C" w:rsidRPr="00BB0FE3" w:rsidRDefault="004C089C" w:rsidP="00D14DE5"/>
    <w:p w14:paraId="702CE87A" w14:textId="77777777" w:rsidR="00BB0FE3" w:rsidRPr="00BB0FE3" w:rsidRDefault="00BB0FE3" w:rsidP="00CF64FA">
      <w:pPr>
        <w:pStyle w:val="EEAStandardbold"/>
      </w:pPr>
      <w:r w:rsidRPr="00BB0FE3">
        <w:t>Air capacity</w:t>
      </w:r>
    </w:p>
    <w:p w14:paraId="05DF92A0" w14:textId="196CE8F5" w:rsidR="00BB0FE3" w:rsidRDefault="00BB0FE3" w:rsidP="0005058D">
      <w:pPr>
        <w:spacing w:before="120"/>
      </w:pPr>
      <w:r w:rsidRPr="00BB0FE3">
        <w:t xml:space="preserve">Air capacity: the air-filled pore volume </w:t>
      </w:r>
      <w:r w:rsidRPr="00BB0FE3">
        <w:rPr>
          <w:i/>
        </w:rPr>
        <w:t>AC (%)</w:t>
      </w:r>
      <w:r w:rsidRPr="00BB0FE3">
        <w:t xml:space="preserve"> is a measure of the degree of densification which has a strong relationship with aeration and functioning of the root zone.</w:t>
      </w:r>
      <w:r w:rsidR="009F5D8D">
        <w:t xml:space="preserve"> </w:t>
      </w:r>
      <w:r w:rsidRPr="00BB0FE3">
        <w:t>It is most often determined as t</w:t>
      </w:r>
      <w:r w:rsidR="009F5D8D">
        <w:t>he</w:t>
      </w:r>
      <w:r w:rsidRPr="00BB0FE3">
        <w:t xml:space="preserve"> difference between water content at saturation (= total pore volume) and the volumetric water content at -6kPa</w:t>
      </w:r>
      <w:r w:rsidR="009F5D8D">
        <w:t xml:space="preserve">; </w:t>
      </w:r>
      <w:r w:rsidRPr="00BB0FE3">
        <w:t xml:space="preserve">if other desiccation intensities (e.g. -5kPa) are used, it needs to be documented. Air capacity </w:t>
      </w:r>
      <w:r w:rsidRPr="005F35CC">
        <w:t xml:space="preserve">depends naturally on texture, soil aggregation </w:t>
      </w:r>
      <w:r w:rsidR="005E54A6" w:rsidRPr="005F35CC">
        <w:t xml:space="preserve">(structure), </w:t>
      </w:r>
      <w:r w:rsidRPr="005F35CC">
        <w:t xml:space="preserve">and </w:t>
      </w:r>
      <w:r w:rsidR="005E54A6" w:rsidRPr="005F35CC">
        <w:t xml:space="preserve">soil </w:t>
      </w:r>
      <w:r w:rsidRPr="005F35CC">
        <w:t>organic carbon content</w:t>
      </w:r>
      <w:r w:rsidR="005E54A6" w:rsidRPr="005F35CC">
        <w:t>,</w:t>
      </w:r>
      <w:r w:rsidRPr="005F35CC">
        <w:t xml:space="preserve"> and is further </w:t>
      </w:r>
      <w:r w:rsidR="0073640F" w:rsidRPr="005F35CC">
        <w:t xml:space="preserve">modified </w:t>
      </w:r>
      <w:r w:rsidRPr="005F35CC">
        <w:t>by anthropogenic, geogenic and biogenic processes. The air capacity can be monitored by (a) comparison of a current measurement to an initial measurement (as a reference value), (b) comparison to an undisturbed site-specific value, or (c) applying a threshold to be expected at a specific soil (Wösten et al. 1990).</w:t>
      </w:r>
    </w:p>
    <w:p w14:paraId="152EB9A3" w14:textId="77777777" w:rsidR="004C089C" w:rsidRPr="00BB0FE3" w:rsidRDefault="004C089C" w:rsidP="00D14DE5"/>
    <w:p w14:paraId="6D08B2CE" w14:textId="77777777" w:rsidR="00BB0FE3" w:rsidRPr="00BB0FE3" w:rsidRDefault="00BB0FE3" w:rsidP="00CF64FA">
      <w:pPr>
        <w:pStyle w:val="EEAStandardbold"/>
      </w:pPr>
      <w:r w:rsidRPr="00BB0FE3">
        <w:t>Visual soil evaluation</w:t>
      </w:r>
    </w:p>
    <w:p w14:paraId="01C068E6" w14:textId="45823D9C" w:rsidR="00BB0FE3" w:rsidRDefault="00BB0FE3" w:rsidP="00972E53">
      <w:pPr>
        <w:spacing w:before="120"/>
      </w:pPr>
      <w:r w:rsidRPr="00BB0FE3">
        <w:rPr>
          <w:b/>
          <w:bCs/>
        </w:rPr>
        <w:t>Penetration resistance (penetrometer):</w:t>
      </w:r>
      <w:r w:rsidRPr="00BB0FE3">
        <w:t xml:space="preserve"> With this approach, the rootability of a soil is described. However, there is no clear dependency between penetration resistance, other visual monitoring, and soil functions: a well-structured soil can have a high penetration resistance although the rootability may be still very good. Nevertheless, penetration resistance can provide a rough estimation of soil compaction effects. For example, it is lower for conservation agriculture, especially under zero tillage, compared to conventional management; soils become better rootable and macroscopically well-aerated, while they are at the same </w:t>
      </w:r>
      <w:r w:rsidRPr="00BB0FE3">
        <w:lastRenderedPageBreak/>
        <w:t>time mechanically very strong. It is important to consider that penetration resistance is best determined at “field-capacity”.</w:t>
      </w:r>
    </w:p>
    <w:p w14:paraId="3082641D" w14:textId="77777777" w:rsidR="00EA081C" w:rsidRPr="00BB0FE3" w:rsidRDefault="00EA081C" w:rsidP="00EA081C"/>
    <w:p w14:paraId="4D84EDEF" w14:textId="251B1FDE" w:rsidR="00BB0FE3" w:rsidRDefault="00BB0FE3" w:rsidP="00EA081C">
      <w:r w:rsidRPr="00BB0FE3">
        <w:rPr>
          <w:b/>
          <w:bCs/>
        </w:rPr>
        <w:t xml:space="preserve">Spade diagnosis (VESS: Visual Evaluation of Soil Structure): </w:t>
      </w:r>
      <w:r w:rsidRPr="00BB0FE3">
        <w:t xml:space="preserve">VESS is a method to detect changes in </w:t>
      </w:r>
      <w:r w:rsidRPr="00BB0FE3">
        <w:rPr>
          <w:b/>
        </w:rPr>
        <w:t>packing density</w:t>
      </w:r>
      <w:r w:rsidRPr="00BB0FE3">
        <w:rPr>
          <w:rStyle w:val="Funotenzeichen"/>
          <w:rFonts w:asciiTheme="majorHAnsi" w:hAnsiTheme="majorHAnsi" w:cstheme="majorHAnsi"/>
          <w:szCs w:val="22"/>
        </w:rPr>
        <w:footnoteReference w:id="55"/>
      </w:r>
      <w:r w:rsidRPr="00BB0FE3">
        <w:t xml:space="preserve">; the method is described by Diez and Weichelt (1997, in German) and Ball et al. (2017). The soil structure is classified in 5 classes from 1 (= very loose structure) to 5 (= very dense structure). </w:t>
      </w:r>
    </w:p>
    <w:p w14:paraId="7C1B89BF" w14:textId="18A9856A" w:rsidR="004C089C" w:rsidRDefault="004C089C" w:rsidP="00D14DE5"/>
    <w:p w14:paraId="3A6FE8EF" w14:textId="77777777" w:rsidR="00972E53" w:rsidRDefault="00972E53" w:rsidP="00D14DE5"/>
    <w:p w14:paraId="71675553" w14:textId="553FDC4C" w:rsidR="004C089C" w:rsidRDefault="004C089C" w:rsidP="00AC4033">
      <w:pPr>
        <w:pStyle w:val="EEAbullet0"/>
      </w:pPr>
      <w:r w:rsidRPr="004C089C">
        <w:rPr>
          <w:b/>
        </w:rPr>
        <w:t>Indicator subset II,</w:t>
      </w:r>
      <w:r>
        <w:t xml:space="preserve"> </w:t>
      </w:r>
      <w:r w:rsidR="0057521F">
        <w:t xml:space="preserve">indicators </w:t>
      </w:r>
      <w:r>
        <w:t>with well-defined physical units like hPa, kPa or MPa, and a strong dependency on the actual water saturation, soil structure, pedo- and anthropogenic processes. These indicators can be linked to the actual and dynamic changes of gas, water and heat fluxes in soils as they are sensitive to document the consequences of soil compaction and soil degradation on physical, chemical and biological functions</w:t>
      </w:r>
    </w:p>
    <w:p w14:paraId="51167E82" w14:textId="07EA0DBD" w:rsidR="004C089C" w:rsidRDefault="004C089C" w:rsidP="004C089C">
      <w:pPr>
        <w:pStyle w:val="EEAbullet1"/>
      </w:pPr>
      <w:r>
        <w:t xml:space="preserve">precompression stress (kPa) </w:t>
      </w:r>
    </w:p>
    <w:p w14:paraId="67002A46" w14:textId="521BCCE9" w:rsidR="004C089C" w:rsidRDefault="004C089C" w:rsidP="004C089C">
      <w:pPr>
        <w:pStyle w:val="EEAbullet1"/>
      </w:pPr>
      <w:r>
        <w:t xml:space="preserve">contact area pressure (kPa) </w:t>
      </w:r>
    </w:p>
    <w:p w14:paraId="0C62B299" w14:textId="25E5E8A9" w:rsidR="004C089C" w:rsidRDefault="004C089C" w:rsidP="004C089C">
      <w:pPr>
        <w:pStyle w:val="EEAbullet1"/>
      </w:pPr>
      <w:r>
        <w:t>soil rigidity (-)</w:t>
      </w:r>
    </w:p>
    <w:p w14:paraId="416A5207" w14:textId="20AE6DFC" w:rsidR="004C089C" w:rsidRDefault="004C089C" w:rsidP="004C089C">
      <w:pPr>
        <w:pStyle w:val="EEAbullet1"/>
      </w:pPr>
      <w:r>
        <w:t>Shear strength (kPa) (stiffness)</w:t>
      </w:r>
    </w:p>
    <w:p w14:paraId="018B02ED" w14:textId="34D4B330" w:rsidR="004C089C" w:rsidRPr="00BB0FE3" w:rsidRDefault="004C089C" w:rsidP="004C089C">
      <w:pPr>
        <w:pStyle w:val="EEAbullet1"/>
      </w:pPr>
      <w:r>
        <w:t>Hydraulic conductivity (K) (cm/d) and air permeability (Kl)</w:t>
      </w:r>
    </w:p>
    <w:p w14:paraId="7FA8D45F" w14:textId="377443D6" w:rsidR="00BB0FE3" w:rsidRDefault="00BB0FE3" w:rsidP="00BB0FE3">
      <w:pPr>
        <w:pStyle w:val="Listenabsatz"/>
        <w:ind w:left="1080"/>
        <w:rPr>
          <w:rFonts w:asciiTheme="majorHAnsi" w:hAnsiTheme="majorHAnsi" w:cstheme="majorHAnsi"/>
          <w:szCs w:val="22"/>
        </w:rPr>
      </w:pPr>
    </w:p>
    <w:p w14:paraId="4046832F" w14:textId="77777777" w:rsidR="00BB0FE3" w:rsidRPr="00BB0FE3" w:rsidRDefault="00BB0FE3" w:rsidP="00CF64FA">
      <w:pPr>
        <w:pStyle w:val="EEAStandardbold"/>
      </w:pPr>
      <w:r w:rsidRPr="00BB0FE3">
        <w:t>Precompression stress</w:t>
      </w:r>
    </w:p>
    <w:p w14:paraId="6C2367E8" w14:textId="768ECF25" w:rsidR="00BB0FE3" w:rsidRPr="005F35CC" w:rsidRDefault="00BB0FE3" w:rsidP="00972E53">
      <w:pPr>
        <w:spacing w:before="120"/>
      </w:pPr>
      <w:r w:rsidRPr="00BB0FE3">
        <w:t xml:space="preserve">The precompression stress (= </w:t>
      </w:r>
      <w:r w:rsidRPr="00BB0FE3">
        <w:rPr>
          <w:b/>
          <w:bCs/>
        </w:rPr>
        <w:t>internal soil strength</w:t>
      </w:r>
      <w:r w:rsidRPr="00BB0FE3">
        <w:t xml:space="preserve">) is a sensitive and scale-spanning parameter that defines the </w:t>
      </w:r>
      <w:r w:rsidRPr="00BB0FE3">
        <w:rPr>
          <w:b/>
          <w:bCs/>
        </w:rPr>
        <w:t>rigidity</w:t>
      </w:r>
      <w:r w:rsidRPr="00BB0FE3">
        <w:t xml:space="preserve"> of soil. It</w:t>
      </w:r>
      <w:r w:rsidRPr="00BB0FE3" w:rsidDel="003E08A9">
        <w:t xml:space="preserve"> </w:t>
      </w:r>
      <w:r w:rsidRPr="00BB0FE3">
        <w:t xml:space="preserve">indicates the current state of compaction, as a result of all previous physical, chemical or biological compressive and stabilizing processes as well as natural decompression (loosening such as bioturbation). It is derived from </w:t>
      </w:r>
      <w:r w:rsidRPr="00BB0FE3">
        <w:rPr>
          <w:b/>
          <w:bCs/>
        </w:rPr>
        <w:t>stress strain curves</w:t>
      </w:r>
      <w:r w:rsidRPr="00BB0FE3">
        <w:t xml:space="preserve"> as transition from the recompression to the </w:t>
      </w:r>
      <w:r w:rsidRPr="005F35CC">
        <w:t>virgin compression range and depends on the soil’s matric potential, as well as former pedo- and anthropogenic processes. The higher the soil strength, the lower the likelihood for additional mechanical stress, and long-term degradation of soil structure</w:t>
      </w:r>
      <w:r w:rsidRPr="005F35CC">
        <w:rPr>
          <w:lang w:val="en-US"/>
        </w:rPr>
        <w:t xml:space="preserve"> (Horn et al. 1989, van den Akker et al. 199</w:t>
      </w:r>
      <w:r w:rsidR="00EE4293" w:rsidRPr="005F35CC">
        <w:rPr>
          <w:lang w:val="en-US"/>
        </w:rPr>
        <w:t>8</w:t>
      </w:r>
      <w:r w:rsidRPr="005F35CC">
        <w:rPr>
          <w:lang w:val="en-US"/>
        </w:rPr>
        <w:t xml:space="preserve">), Trautner et al. (2003), Horn and Fleige (2009), Keller et al. 2019). </w:t>
      </w:r>
      <w:r w:rsidRPr="005F35CC">
        <w:t>The values of the precompression stress and the stress-dependent changes of these properties and functions are under laboratory conditions often quantified when the soil is most sensitive (usually in early spring at matric potential values of pF 1.8 =-60 hPa matric potential), or when drying due to evapotranspiration reduces the soil water content (like pF 2.5 or -300 hPa matric potential). The precompression stress i.e. the strength defines the threshold as scale dependent value for single soil horizons to bulk soils, soil distributions within given geological origin up to country or continent scale or e.g. at given land use managements. The PTF´s to quantify the precompression stress are described</w:t>
      </w:r>
      <w:r w:rsidR="00172899" w:rsidRPr="005F35CC">
        <w:t xml:space="preserve">, amongst others, </w:t>
      </w:r>
      <w:r w:rsidRPr="005F35CC">
        <w:t xml:space="preserve">in Horn and Fleige </w:t>
      </w:r>
      <w:r w:rsidR="00172899" w:rsidRPr="005F35CC">
        <w:t>(</w:t>
      </w:r>
      <w:r w:rsidRPr="005F35CC">
        <w:t>2009</w:t>
      </w:r>
      <w:r w:rsidR="00172899" w:rsidRPr="005F35CC">
        <w:t>) and</w:t>
      </w:r>
      <w:r w:rsidRPr="005F35CC">
        <w:t xml:space="preserve"> S</w:t>
      </w:r>
      <w:r w:rsidR="00693FC8" w:rsidRPr="005F35CC">
        <w:t>imota</w:t>
      </w:r>
      <w:r w:rsidR="00172899" w:rsidRPr="005F35CC">
        <w:t xml:space="preserve"> et al. (</w:t>
      </w:r>
      <w:r w:rsidR="004C089C" w:rsidRPr="005F35CC">
        <w:t>2005).</w:t>
      </w:r>
    </w:p>
    <w:p w14:paraId="7796D4F1" w14:textId="77777777" w:rsidR="004C089C" w:rsidRPr="005F35CC" w:rsidRDefault="004C089C" w:rsidP="00D14DE5">
      <w:pPr>
        <w:rPr>
          <w:lang w:val="en-US"/>
        </w:rPr>
      </w:pPr>
    </w:p>
    <w:p w14:paraId="25561436" w14:textId="77777777" w:rsidR="00BB0FE3" w:rsidRPr="00BB0FE3" w:rsidRDefault="00BB0FE3" w:rsidP="00CF64FA">
      <w:pPr>
        <w:pStyle w:val="EEAStandardbold"/>
        <w:rPr>
          <w:lang w:val="en-US"/>
        </w:rPr>
      </w:pPr>
      <w:r w:rsidRPr="005F35CC">
        <w:rPr>
          <w:lang w:val="en-US"/>
        </w:rPr>
        <w:t>Contact area pressure</w:t>
      </w:r>
    </w:p>
    <w:p w14:paraId="725228DE" w14:textId="3D5A7527" w:rsidR="00BB0FE3" w:rsidRDefault="00BB0FE3" w:rsidP="00972E53">
      <w:pPr>
        <w:spacing w:before="120"/>
      </w:pPr>
      <w:r w:rsidRPr="00BB0FE3">
        <w:t>The contact area pressure defines the stress transmitted into the soil as a function of the load applied (e.g. of the machines, animals etc) and the corresponding contact area of the tires, hooves etc. At a given contact area pressure is the stress transmission into the soil the deeper the greater the contact area (Horn 2015)</w:t>
      </w:r>
      <w:r w:rsidR="004C089C">
        <w:t>.</w:t>
      </w:r>
    </w:p>
    <w:p w14:paraId="204B28C8" w14:textId="77777777" w:rsidR="004C089C" w:rsidRPr="00BB0FE3" w:rsidRDefault="004C089C" w:rsidP="00D14DE5">
      <w:pPr>
        <w:rPr>
          <w:lang w:val="en-US"/>
        </w:rPr>
      </w:pPr>
    </w:p>
    <w:p w14:paraId="54F6B0E7" w14:textId="77777777" w:rsidR="00BB0FE3" w:rsidRPr="00BB0FE3" w:rsidRDefault="00BB0FE3" w:rsidP="00CF64FA">
      <w:pPr>
        <w:pStyle w:val="EEAStandardbold"/>
        <w:rPr>
          <w:lang w:val="en-US"/>
        </w:rPr>
      </w:pPr>
      <w:r w:rsidRPr="00BB0FE3">
        <w:t>Soil rigidity ratio</w:t>
      </w:r>
    </w:p>
    <w:p w14:paraId="16ED6942" w14:textId="6F3C2021" w:rsidR="00BB0FE3" w:rsidRDefault="00BB0FE3" w:rsidP="00972E53">
      <w:pPr>
        <w:spacing w:before="120"/>
      </w:pPr>
      <w:r w:rsidRPr="00BB0FE3">
        <w:t xml:space="preserve">The ratio between the actual precompression stress (= internal soil strength) and the actual soil stress applied by machines, animals or permanent loads i.e. the contact area pressure, defines the soil sensitivity for changes in the physical, chemical and biological functions. Values &gt; 1.2 define rigid soil structure conditions with no compaction processes, while values &lt; 0.8 define structure as irreversibly deformable. Values in between classify soil properties and functions as very susceptible for further soil deformation. Thus, in order to properly interpret the soil-related indicators (subsets 1-2), the applied external stresses </w:t>
      </w:r>
      <w:r w:rsidRPr="00BB0FE3">
        <w:lastRenderedPageBreak/>
        <w:t xml:space="preserve">by machines need to be monitored and set in relation to the internal soil parameters initially and the </w:t>
      </w:r>
      <w:r w:rsidRPr="005F35CC">
        <w:t xml:space="preserve">changes due to the applied stress. Combining soil strength and management-dependent pressure as an indicator allows to define sustainability or resilience limits like those in </w:t>
      </w:r>
      <w:r w:rsidR="0090303E" w:rsidRPr="005F35CC">
        <w:fldChar w:fldCharType="begin"/>
      </w:r>
      <w:r w:rsidR="0090303E" w:rsidRPr="005F35CC">
        <w:instrText xml:space="preserve"> REF _Ref64646853 \h </w:instrText>
      </w:r>
      <w:r w:rsidR="005F35CC">
        <w:instrText xml:space="preserve"> \* MERGEFORMAT </w:instrText>
      </w:r>
      <w:r w:rsidR="0090303E" w:rsidRPr="005F35CC">
        <w:fldChar w:fldCharType="separate"/>
      </w:r>
      <w:r w:rsidR="0067767C">
        <w:t xml:space="preserve">Table </w:t>
      </w:r>
      <w:r w:rsidR="0067767C">
        <w:rPr>
          <w:noProof/>
        </w:rPr>
        <w:t>8</w:t>
      </w:r>
      <w:r w:rsidR="0067767C">
        <w:rPr>
          <w:noProof/>
        </w:rPr>
        <w:noBreakHyphen/>
        <w:t>4</w:t>
      </w:r>
      <w:r w:rsidR="0090303E" w:rsidRPr="005F35CC">
        <w:fldChar w:fldCharType="end"/>
      </w:r>
      <w:r w:rsidRPr="005F35CC">
        <w:t xml:space="preserve"> (see Horn et al</w:t>
      </w:r>
      <w:r w:rsidR="00126926" w:rsidRPr="005F35CC">
        <w:t>.,</w:t>
      </w:r>
      <w:r w:rsidRPr="005F35CC">
        <w:t xml:space="preserve"> 2005, Horn and Fleige 2011).</w:t>
      </w:r>
    </w:p>
    <w:p w14:paraId="4A38F32F" w14:textId="77777777" w:rsidR="004C089C" w:rsidRPr="00BB0FE3" w:rsidRDefault="004C089C" w:rsidP="00D14DE5"/>
    <w:p w14:paraId="2CEBCC90" w14:textId="77777777" w:rsidR="00BB0FE3" w:rsidRPr="00BB0FE3" w:rsidRDefault="00BB0FE3" w:rsidP="00CF64FA">
      <w:pPr>
        <w:pStyle w:val="EEAStandardbold"/>
      </w:pPr>
      <w:r w:rsidRPr="00BB0FE3">
        <w:t>Shear strength</w:t>
      </w:r>
    </w:p>
    <w:p w14:paraId="6D138401" w14:textId="7A4B0689" w:rsidR="00BB0FE3" w:rsidRDefault="00BB0FE3" w:rsidP="00972E53">
      <w:pPr>
        <w:spacing w:before="120"/>
      </w:pPr>
      <w:r w:rsidRPr="00BB0FE3">
        <w:rPr>
          <w:lang w:val="en-US"/>
        </w:rPr>
        <w:t xml:space="preserve">Shear strength or the </w:t>
      </w:r>
      <w:r w:rsidRPr="00BB0FE3">
        <w:rPr>
          <w:bCs/>
          <w:lang w:val="en-US"/>
        </w:rPr>
        <w:t>stiffness</w:t>
      </w:r>
      <w:r w:rsidRPr="00BB0FE3">
        <w:rPr>
          <w:lang w:val="en-US"/>
        </w:rPr>
        <w:t xml:space="preserve"> of soil determines the binding forces between particles (texture) or soil aggregates to withstand the rearrangement (= </w:t>
      </w:r>
      <w:r w:rsidRPr="00BB0FE3">
        <w:rPr>
          <w:bCs/>
          <w:lang w:val="en-US"/>
        </w:rPr>
        <w:t>strain</w:t>
      </w:r>
      <w:r w:rsidRPr="00BB0FE3">
        <w:rPr>
          <w:rStyle w:val="Funotenzeichen"/>
          <w:rFonts w:asciiTheme="majorHAnsi" w:hAnsiTheme="majorHAnsi" w:cstheme="majorHAnsi"/>
          <w:b/>
          <w:szCs w:val="22"/>
          <w:lang w:val="en-US"/>
        </w:rPr>
        <w:footnoteReference w:id="56"/>
      </w:r>
      <w:r w:rsidRPr="00BB0FE3">
        <w:rPr>
          <w:lang w:val="en-US"/>
        </w:rPr>
        <w:t xml:space="preserve">) due to smearing (also defined as </w:t>
      </w:r>
      <w:r w:rsidRPr="00BB0FE3">
        <w:rPr>
          <w:bCs/>
          <w:lang w:val="en-US"/>
        </w:rPr>
        <w:t>slip</w:t>
      </w:r>
      <w:r w:rsidRPr="00BB0FE3">
        <w:rPr>
          <w:lang w:val="en-US"/>
        </w:rPr>
        <w:t xml:space="preserve">) </w:t>
      </w:r>
      <w:proofErr w:type="gramStart"/>
      <w:r w:rsidRPr="00BB0FE3">
        <w:rPr>
          <w:lang w:val="en-US"/>
        </w:rPr>
        <w:t>The</w:t>
      </w:r>
      <w:proofErr w:type="gramEnd"/>
      <w:r w:rsidRPr="00BB0FE3">
        <w:rPr>
          <w:lang w:val="en-US"/>
        </w:rPr>
        <w:t xml:space="preserve"> pore functions within the soil will be affected due to such particle arrangement.</w:t>
      </w:r>
      <w:r w:rsidRPr="00BB0FE3">
        <w:t xml:space="preserve"> </w:t>
      </w:r>
    </w:p>
    <w:p w14:paraId="2B46ABB5" w14:textId="77777777" w:rsidR="004C089C" w:rsidRPr="00BB0FE3" w:rsidRDefault="004C089C" w:rsidP="00D14DE5"/>
    <w:p w14:paraId="20BC1672" w14:textId="77777777" w:rsidR="00BB0FE3" w:rsidRPr="00BB0FE3" w:rsidRDefault="00BB0FE3" w:rsidP="00CF64FA">
      <w:pPr>
        <w:pStyle w:val="EEAStandardbold"/>
      </w:pPr>
      <w:r w:rsidRPr="00BB0FE3">
        <w:t>Hydraulic conductivity (K) and air permeability (K</w:t>
      </w:r>
      <w:r w:rsidRPr="00BB0FE3">
        <w:rPr>
          <w:vertAlign w:val="subscript"/>
        </w:rPr>
        <w:t>l</w:t>
      </w:r>
      <w:r w:rsidRPr="00BB0FE3">
        <w:t>)</w:t>
      </w:r>
    </w:p>
    <w:p w14:paraId="6AB5E575" w14:textId="166218A2" w:rsidR="00BB0FE3" w:rsidRDefault="00BB0FE3" w:rsidP="00972E53">
      <w:pPr>
        <w:spacing w:before="120"/>
      </w:pPr>
      <w:r w:rsidRPr="00BB0FE3">
        <w:t xml:space="preserve">The saturated or unsaturated hydraulic conductivity as well as the air permeability are sensitive indicators </w:t>
      </w:r>
      <w:r w:rsidRPr="00BB0FE3">
        <w:rPr>
          <w:b/>
        </w:rPr>
        <w:t>and</w:t>
      </w:r>
      <w:r w:rsidRPr="00BB0FE3">
        <w:t xml:space="preserve"> represent the functional quality of soil structure and pore continuity, depending on the matric potential. Both air permeability and hydraulic conductivity can be used to determine trafficability. The saturated hydraulic conductivity (K</w:t>
      </w:r>
      <w:r w:rsidRPr="00BB0FE3">
        <w:rPr>
          <w:vertAlign w:val="subscript"/>
        </w:rPr>
        <w:t>s</w:t>
      </w:r>
      <w:r w:rsidRPr="00BB0FE3">
        <w:t xml:space="preserve">) primarily depends on all saturated macro pores while the unsaturated hydraulic conductivity as well as the air permeability also quantify the fluxes within the various pore diameters. The number of blocked pores which cannot contribute anymore to mass exchanges, can be adducted to also document the slip as well as smearing effects apart from densified aggregates. Data for local sites, for small </w:t>
      </w:r>
      <w:r w:rsidRPr="005F35CC">
        <w:t>scale evaluation up to the EU scale can be derived from existing databases like national soil mapping instructions (</w:t>
      </w:r>
      <w:r w:rsidR="00F9386F" w:rsidRPr="005F35CC">
        <w:t>Ad hoc AG Boden</w:t>
      </w:r>
      <w:r w:rsidRPr="005F35CC">
        <w:t xml:space="preserve"> 2005</w:t>
      </w:r>
      <w:r w:rsidR="00D6465E" w:rsidRPr="005F35CC">
        <w:t>;</w:t>
      </w:r>
      <w:r w:rsidRPr="005F35CC">
        <w:t xml:space="preserve"> Si</w:t>
      </w:r>
      <w:r w:rsidR="000E39C7" w:rsidRPr="005F35CC">
        <w:t xml:space="preserve">mota et al., </w:t>
      </w:r>
      <w:r w:rsidRPr="005F35CC">
        <w:t>2005</w:t>
      </w:r>
      <w:r w:rsidR="00D6465E" w:rsidRPr="005F35CC">
        <w:t>;</w:t>
      </w:r>
      <w:r w:rsidRPr="005F35CC">
        <w:t xml:space="preserve"> Wosten et al.</w:t>
      </w:r>
      <w:r w:rsidR="00D6465E" w:rsidRPr="005F35CC">
        <w:t>,</w:t>
      </w:r>
      <w:r w:rsidRPr="005F35CC">
        <w:t xml:space="preserve"> 1990).</w:t>
      </w:r>
    </w:p>
    <w:p w14:paraId="3C0D04EC" w14:textId="641F1FD7" w:rsidR="004C089C" w:rsidRDefault="004C089C" w:rsidP="00D14DE5"/>
    <w:p w14:paraId="0589872A" w14:textId="6FBD27E1" w:rsidR="00DE4C01" w:rsidRPr="005F35CC" w:rsidRDefault="00DE4C01" w:rsidP="00DE4C01">
      <w:pPr>
        <w:pStyle w:val="berschrift2"/>
        <w:numPr>
          <w:ilvl w:val="2"/>
          <w:numId w:val="3"/>
        </w:numPr>
        <w:rPr>
          <w:rStyle w:val="FormatvorlageFormatvorlageberschrift3Zchn1"/>
        </w:rPr>
      </w:pPr>
      <w:bookmarkStart w:id="389" w:name="_Toc83997399"/>
      <w:r w:rsidRPr="00DE4C01">
        <w:rPr>
          <w:rStyle w:val="FormatvorlageFormatvorlageberschrift3Zchn1"/>
        </w:rPr>
        <w:t>Suggestions to include compaction indicators in a Tiered monitoring</w:t>
      </w:r>
      <w:bookmarkEnd w:id="389"/>
      <w:r>
        <w:rPr>
          <w:rStyle w:val="FormatvorlageFormatvorlageberschrift3Zchn1"/>
        </w:rPr>
        <w:t xml:space="preserve"> </w:t>
      </w:r>
    </w:p>
    <w:p w14:paraId="2098A964" w14:textId="0D14CBFC" w:rsidR="00BB0FE3" w:rsidRPr="00BB0FE3" w:rsidRDefault="00BB0FE3" w:rsidP="00DE4C01">
      <w:pPr>
        <w:spacing w:before="120"/>
        <w:rPr>
          <w:lang w:val="en-US"/>
        </w:rPr>
      </w:pPr>
      <w:r w:rsidRPr="00BB0FE3">
        <w:rPr>
          <w:lang w:val="en-US"/>
        </w:rPr>
        <w:t xml:space="preserve">Depending on the different sampling and analytical requirements of the indicators mentioned above, different intensity levels for monitoring (Tiers) are recommended. </w:t>
      </w:r>
    </w:p>
    <w:p w14:paraId="1BA727EA" w14:textId="77777777" w:rsidR="00BB0FE3" w:rsidRPr="00BB0FE3" w:rsidRDefault="00BB0FE3" w:rsidP="004A20A4">
      <w:pPr>
        <w:suppressAutoHyphens w:val="0"/>
        <w:autoSpaceDE w:val="0"/>
        <w:autoSpaceDN w:val="0"/>
        <w:adjustRightInd w:val="0"/>
        <w:spacing w:before="120"/>
        <w:jc w:val="left"/>
        <w:rPr>
          <w:rFonts w:asciiTheme="majorHAnsi" w:hAnsiTheme="majorHAnsi" w:cstheme="majorHAnsi"/>
          <w:szCs w:val="22"/>
          <w:lang w:val="en-US"/>
        </w:rPr>
      </w:pPr>
    </w:p>
    <w:p w14:paraId="76B2F387" w14:textId="5C7647D5" w:rsidR="00BB0FE3" w:rsidRPr="00BB0FE3" w:rsidRDefault="007066D9" w:rsidP="00BB0FE3">
      <w:pPr>
        <w:pStyle w:val="EEALabel"/>
        <w:spacing w:after="120" w:line="276" w:lineRule="auto"/>
        <w:rPr>
          <w:rFonts w:asciiTheme="majorHAnsi" w:hAnsiTheme="majorHAnsi" w:cstheme="majorHAnsi"/>
          <w:szCs w:val="22"/>
        </w:rPr>
      </w:pPr>
      <w:bookmarkStart w:id="390" w:name="_Ref64648639"/>
      <w:bookmarkStart w:id="391" w:name="_Toc83997534"/>
      <w:r>
        <w:t xml:space="preserve">Table </w:t>
      </w:r>
      <w:r w:rsidR="00C76C23">
        <w:fldChar w:fldCharType="begin"/>
      </w:r>
      <w:r w:rsidR="00C76C23">
        <w:instrText xml:space="preserve"> STYLEREF 1 \s </w:instrText>
      </w:r>
      <w:r w:rsidR="00C76C23">
        <w:fldChar w:fldCharType="separate"/>
      </w:r>
      <w:r w:rsidR="0067767C">
        <w:rPr>
          <w:noProof/>
        </w:rPr>
        <w:t>8</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3</w:t>
      </w:r>
      <w:r w:rsidR="00C76C23">
        <w:fldChar w:fldCharType="end"/>
      </w:r>
      <w:bookmarkEnd w:id="390"/>
      <w:r>
        <w:t>:</w:t>
      </w:r>
      <w:r>
        <w:rPr>
          <w:rFonts w:eastAsia="Calibri"/>
        </w:rPr>
        <w:tab/>
      </w:r>
      <w:r w:rsidR="00BB0FE3" w:rsidRPr="00BB0FE3">
        <w:rPr>
          <w:rFonts w:asciiTheme="majorHAnsi" w:eastAsia="Calibri" w:hAnsiTheme="majorHAnsi" w:cstheme="majorHAnsi"/>
          <w:szCs w:val="22"/>
        </w:rPr>
        <w:t>Design of large-scale soil compaction monitoring</w:t>
      </w:r>
      <w:bookmarkEnd w:id="391"/>
    </w:p>
    <w:tbl>
      <w:tblPr>
        <w:tblW w:w="9497"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379"/>
        <w:gridCol w:w="2844"/>
        <w:gridCol w:w="2087"/>
        <w:gridCol w:w="3187"/>
      </w:tblGrid>
      <w:tr w:rsidR="00BB0FE3" w:rsidRPr="00BB0FE3" w14:paraId="5811B3F8" w14:textId="77777777" w:rsidTr="00D14DE5">
        <w:trPr>
          <w:jc w:val="center"/>
        </w:trPr>
        <w:tc>
          <w:tcPr>
            <w:tcW w:w="1216" w:type="dxa"/>
            <w:vMerge w:val="restart"/>
            <w:shd w:val="pct10" w:color="auto" w:fill="auto"/>
            <w:vAlign w:val="center"/>
          </w:tcPr>
          <w:p w14:paraId="4A3572BC" w14:textId="77777777" w:rsidR="00BB0FE3" w:rsidRPr="00D14DE5" w:rsidRDefault="00BB0FE3" w:rsidP="00EA081C">
            <w:pPr>
              <w:pStyle w:val="EEAtableleftbold"/>
              <w:rPr>
                <w:lang w:val="en-US"/>
              </w:rPr>
            </w:pPr>
            <w:r w:rsidRPr="00D14DE5">
              <w:rPr>
                <w:lang w:val="en-US"/>
              </w:rPr>
              <w:t>Compartment</w:t>
            </w:r>
          </w:p>
        </w:tc>
        <w:tc>
          <w:tcPr>
            <w:tcW w:w="8281" w:type="dxa"/>
            <w:gridSpan w:val="3"/>
            <w:shd w:val="pct10" w:color="auto" w:fill="auto"/>
          </w:tcPr>
          <w:p w14:paraId="7F7F7753" w14:textId="77777777" w:rsidR="00BB0FE3" w:rsidRPr="00BB0FE3" w:rsidRDefault="00BB0FE3" w:rsidP="00D14DE5">
            <w:pPr>
              <w:pStyle w:val="EEATabcenterbold"/>
              <w:rPr>
                <w:lang w:val="en-US"/>
              </w:rPr>
            </w:pPr>
            <w:r w:rsidRPr="00BB0FE3">
              <w:rPr>
                <w:lang w:val="en-US"/>
              </w:rPr>
              <w:t>Measurement and estimation parameters</w:t>
            </w:r>
          </w:p>
        </w:tc>
      </w:tr>
      <w:tr w:rsidR="00BB0FE3" w:rsidRPr="00BB0FE3" w14:paraId="059A293C" w14:textId="77777777" w:rsidTr="00D14DE5">
        <w:trPr>
          <w:jc w:val="center"/>
        </w:trPr>
        <w:tc>
          <w:tcPr>
            <w:tcW w:w="1216" w:type="dxa"/>
            <w:vMerge/>
            <w:shd w:val="pct10" w:color="auto" w:fill="auto"/>
          </w:tcPr>
          <w:p w14:paraId="3A322502" w14:textId="77777777" w:rsidR="00BB0FE3" w:rsidRPr="00D14DE5" w:rsidRDefault="00BB0FE3" w:rsidP="00D14DE5">
            <w:pPr>
              <w:pStyle w:val="EEAtableleft"/>
              <w:rPr>
                <w:b/>
                <w:bCs/>
                <w:lang w:val="en-US"/>
              </w:rPr>
            </w:pPr>
          </w:p>
        </w:tc>
        <w:tc>
          <w:tcPr>
            <w:tcW w:w="2895" w:type="dxa"/>
            <w:shd w:val="pct10" w:color="auto" w:fill="auto"/>
            <w:vAlign w:val="center"/>
          </w:tcPr>
          <w:p w14:paraId="30C2977E" w14:textId="77777777" w:rsidR="00BB0FE3" w:rsidRPr="00BB0FE3" w:rsidRDefault="00BB0FE3" w:rsidP="00D14DE5">
            <w:pPr>
              <w:pStyle w:val="EEATabcenterbold"/>
              <w:rPr>
                <w:lang w:val="en-US"/>
              </w:rPr>
            </w:pPr>
            <w:r w:rsidRPr="00BB0FE3">
              <w:rPr>
                <w:lang w:val="en-US"/>
              </w:rPr>
              <w:t>Level I</w:t>
            </w:r>
          </w:p>
        </w:tc>
        <w:tc>
          <w:tcPr>
            <w:tcW w:w="2126" w:type="dxa"/>
            <w:shd w:val="pct10" w:color="auto" w:fill="auto"/>
            <w:vAlign w:val="center"/>
          </w:tcPr>
          <w:p w14:paraId="343A877A" w14:textId="77777777" w:rsidR="00BB0FE3" w:rsidRPr="00BB0FE3" w:rsidRDefault="00BB0FE3" w:rsidP="00D14DE5">
            <w:pPr>
              <w:pStyle w:val="EEATabcenterbold"/>
              <w:rPr>
                <w:lang w:val="en-US"/>
              </w:rPr>
            </w:pPr>
            <w:r w:rsidRPr="00BB0FE3">
              <w:rPr>
                <w:lang w:val="en-US"/>
              </w:rPr>
              <w:t>Level II</w:t>
            </w:r>
          </w:p>
        </w:tc>
        <w:tc>
          <w:tcPr>
            <w:tcW w:w="3260" w:type="dxa"/>
            <w:shd w:val="pct10" w:color="auto" w:fill="auto"/>
          </w:tcPr>
          <w:p w14:paraId="446C30D5" w14:textId="77777777" w:rsidR="00BB0FE3" w:rsidRPr="00BB0FE3" w:rsidRDefault="00BB0FE3" w:rsidP="00D14DE5">
            <w:pPr>
              <w:pStyle w:val="EEATabcenterbold"/>
              <w:rPr>
                <w:lang w:val="en-US"/>
              </w:rPr>
            </w:pPr>
            <w:r w:rsidRPr="00BB0FE3">
              <w:rPr>
                <w:lang w:val="en-US"/>
              </w:rPr>
              <w:t>Level III – Wheeling plots and unloaded reference plots</w:t>
            </w:r>
          </w:p>
        </w:tc>
      </w:tr>
      <w:tr w:rsidR="00B916D9" w:rsidRPr="00BB0FE3" w14:paraId="705A88D1" w14:textId="77777777" w:rsidTr="00D14DE5">
        <w:trPr>
          <w:jc w:val="center"/>
        </w:trPr>
        <w:tc>
          <w:tcPr>
            <w:tcW w:w="1216" w:type="dxa"/>
            <w:vMerge w:val="restart"/>
            <w:vAlign w:val="center"/>
          </w:tcPr>
          <w:p w14:paraId="062C8BB6" w14:textId="77777777" w:rsidR="00B916D9" w:rsidRPr="00D14DE5" w:rsidRDefault="00B916D9" w:rsidP="00EA081C">
            <w:pPr>
              <w:pStyle w:val="EEAtableleftbold"/>
              <w:rPr>
                <w:lang w:val="en-US"/>
              </w:rPr>
            </w:pPr>
            <w:r w:rsidRPr="00D14DE5">
              <w:rPr>
                <w:lang w:val="en-US"/>
              </w:rPr>
              <w:t>Location of sampling</w:t>
            </w:r>
          </w:p>
        </w:tc>
        <w:tc>
          <w:tcPr>
            <w:tcW w:w="5021" w:type="dxa"/>
            <w:gridSpan w:val="2"/>
            <w:tcMar>
              <w:right w:w="57" w:type="dxa"/>
            </w:tcMar>
          </w:tcPr>
          <w:p w14:paraId="5939E540" w14:textId="057F1E75" w:rsidR="00B916D9" w:rsidRPr="00BB0FE3" w:rsidRDefault="00B916D9" w:rsidP="00D14DE5">
            <w:pPr>
              <w:pStyle w:val="EEAtableleft"/>
              <w:rPr>
                <w:lang w:val="en-US"/>
              </w:rPr>
            </w:pPr>
            <w:r w:rsidRPr="00BB0FE3">
              <w:rPr>
                <w:lang w:val="en-US"/>
              </w:rPr>
              <w:t>At the field hot spot with visible marks of</w:t>
            </w:r>
            <w:r w:rsidR="00C134B4">
              <w:rPr>
                <w:lang w:val="en-US"/>
              </w:rPr>
              <w:t xml:space="preserve"> compaction</w:t>
            </w:r>
            <w:r>
              <w:rPr>
                <w:lang w:val="en-US"/>
              </w:rPr>
              <w:t>:</w:t>
            </w:r>
            <w:r w:rsidRPr="00BB0FE3">
              <w:rPr>
                <w:lang w:val="en-US"/>
              </w:rPr>
              <w:t xml:space="preserve"> </w:t>
            </w:r>
          </w:p>
        </w:tc>
        <w:tc>
          <w:tcPr>
            <w:tcW w:w="3260" w:type="dxa"/>
            <w:vMerge w:val="restart"/>
            <w:vAlign w:val="center"/>
          </w:tcPr>
          <w:p w14:paraId="1D1CAE61" w14:textId="150902D7" w:rsidR="00B916D9" w:rsidRPr="00BB0FE3" w:rsidRDefault="00B916D9" w:rsidP="00D14DE5">
            <w:pPr>
              <w:pStyle w:val="EEAtableleft"/>
              <w:rPr>
                <w:lang w:val="en-US"/>
              </w:rPr>
            </w:pPr>
            <w:r w:rsidRPr="00BB0FE3">
              <w:rPr>
                <w:lang w:val="en-US"/>
              </w:rPr>
              <w:t xml:space="preserve">Representative sub-plots throughout a given field surrounding the plot </w:t>
            </w:r>
            <w:r w:rsidR="00972E53" w:rsidRPr="00BB0FE3">
              <w:rPr>
                <w:lang w:val="en-US"/>
              </w:rPr>
              <w:t>center</w:t>
            </w:r>
          </w:p>
        </w:tc>
      </w:tr>
      <w:tr w:rsidR="00B916D9" w:rsidRPr="00BB0FE3" w14:paraId="2DDBF607" w14:textId="77777777" w:rsidTr="00D14DE5">
        <w:trPr>
          <w:trHeight w:val="302"/>
          <w:jc w:val="center"/>
        </w:trPr>
        <w:tc>
          <w:tcPr>
            <w:tcW w:w="1216" w:type="dxa"/>
            <w:vMerge/>
            <w:vAlign w:val="center"/>
          </w:tcPr>
          <w:p w14:paraId="5C3FA200" w14:textId="77777777" w:rsidR="00B916D9" w:rsidRPr="00D14DE5" w:rsidRDefault="00B916D9" w:rsidP="00EA081C">
            <w:pPr>
              <w:pStyle w:val="EEAtableleftbold"/>
              <w:rPr>
                <w:lang w:val="en-US"/>
              </w:rPr>
            </w:pPr>
          </w:p>
        </w:tc>
        <w:tc>
          <w:tcPr>
            <w:tcW w:w="2895" w:type="dxa"/>
            <w:vAlign w:val="center"/>
          </w:tcPr>
          <w:p w14:paraId="1036BF62" w14:textId="2532C9F8" w:rsidR="00B916D9" w:rsidRPr="00BB0FE3" w:rsidRDefault="00972E53" w:rsidP="00D14DE5">
            <w:pPr>
              <w:pStyle w:val="EEAtableleft"/>
              <w:rPr>
                <w:lang w:val="en-US"/>
              </w:rPr>
            </w:pPr>
            <w:r>
              <w:rPr>
                <w:lang w:val="en-US"/>
              </w:rPr>
              <w:t>e.g.,</w:t>
            </w:r>
            <w:r w:rsidR="00C134B4">
              <w:rPr>
                <w:lang w:val="en-US"/>
              </w:rPr>
              <w:t xml:space="preserve"> </w:t>
            </w:r>
            <w:r w:rsidR="00B916D9" w:rsidRPr="00BB0FE3">
              <w:rPr>
                <w:lang w:val="en-US"/>
              </w:rPr>
              <w:t xml:space="preserve">reduced vegetation cover </w:t>
            </w:r>
            <w:r w:rsidR="00C134B4" w:rsidRPr="00BB0FE3">
              <w:rPr>
                <w:lang w:val="en-US"/>
              </w:rPr>
              <w:t>or growth</w:t>
            </w:r>
            <w:r w:rsidR="00B916D9" w:rsidRPr="00BB0FE3">
              <w:rPr>
                <w:lang w:val="en-US"/>
              </w:rPr>
              <w:t>, puddles</w:t>
            </w:r>
          </w:p>
        </w:tc>
        <w:tc>
          <w:tcPr>
            <w:tcW w:w="2126" w:type="dxa"/>
            <w:vAlign w:val="center"/>
          </w:tcPr>
          <w:p w14:paraId="1F58BCDD" w14:textId="3E5A7D0A" w:rsidR="00B916D9" w:rsidRPr="00BB0FE3" w:rsidRDefault="00B916D9" w:rsidP="00D14DE5">
            <w:pPr>
              <w:pStyle w:val="EEAtableleft"/>
              <w:rPr>
                <w:lang w:val="en-US"/>
              </w:rPr>
            </w:pPr>
            <w:r>
              <w:rPr>
                <w:lang w:val="en-US"/>
              </w:rPr>
              <w:t>P</w:t>
            </w:r>
            <w:r w:rsidRPr="00BB0FE3">
              <w:rPr>
                <w:lang w:val="en-US"/>
              </w:rPr>
              <w:t xml:space="preserve">roportion of affected area around the plot </w:t>
            </w:r>
            <w:r w:rsidR="00972E53" w:rsidRPr="00BB0FE3">
              <w:rPr>
                <w:lang w:val="en-US"/>
              </w:rPr>
              <w:t>center</w:t>
            </w:r>
            <w:r w:rsidRPr="00BB0FE3">
              <w:rPr>
                <w:lang w:val="en-US"/>
              </w:rPr>
              <w:t xml:space="preserve"> </w:t>
            </w:r>
          </w:p>
        </w:tc>
        <w:tc>
          <w:tcPr>
            <w:tcW w:w="3260" w:type="dxa"/>
            <w:vMerge/>
            <w:vAlign w:val="center"/>
          </w:tcPr>
          <w:p w14:paraId="2A522ED9" w14:textId="77777777" w:rsidR="00B916D9" w:rsidRPr="00BB0FE3" w:rsidRDefault="00B916D9" w:rsidP="00D14DE5">
            <w:pPr>
              <w:pStyle w:val="EEAtableleft"/>
              <w:rPr>
                <w:lang w:val="en-US"/>
              </w:rPr>
            </w:pPr>
          </w:p>
        </w:tc>
      </w:tr>
      <w:tr w:rsidR="00BB0FE3" w:rsidRPr="00BB0FE3" w14:paraId="0077E008" w14:textId="77777777" w:rsidTr="00D14DE5">
        <w:trPr>
          <w:jc w:val="center"/>
        </w:trPr>
        <w:tc>
          <w:tcPr>
            <w:tcW w:w="1216" w:type="dxa"/>
            <w:vMerge w:val="restart"/>
            <w:vAlign w:val="center"/>
          </w:tcPr>
          <w:p w14:paraId="6A7A310C" w14:textId="77777777" w:rsidR="00BB0FE3" w:rsidRPr="00D14DE5" w:rsidRDefault="00BB0FE3" w:rsidP="00EA081C">
            <w:pPr>
              <w:pStyle w:val="EEAtableleftbold"/>
              <w:rPr>
                <w:lang w:val="en-US"/>
              </w:rPr>
            </w:pPr>
            <w:r w:rsidRPr="00D14DE5">
              <w:rPr>
                <w:lang w:val="en-US"/>
              </w:rPr>
              <w:t>Direct and indirect monitoring of soil compaction</w:t>
            </w:r>
          </w:p>
        </w:tc>
        <w:tc>
          <w:tcPr>
            <w:tcW w:w="8281" w:type="dxa"/>
            <w:gridSpan w:val="3"/>
            <w:vAlign w:val="center"/>
          </w:tcPr>
          <w:p w14:paraId="6CB896A3" w14:textId="77777777" w:rsidR="00BB0FE3" w:rsidRPr="00BB0FE3" w:rsidRDefault="00BB0FE3" w:rsidP="00D14DE5">
            <w:pPr>
              <w:pStyle w:val="EEAtableleft"/>
              <w:rPr>
                <w:lang w:val="en-US"/>
              </w:rPr>
            </w:pPr>
            <w:r w:rsidRPr="00BB0FE3">
              <w:rPr>
                <w:lang w:val="en-US"/>
              </w:rPr>
              <w:t>Morphological features (water logging, (platy) soil structure, rooting)</w:t>
            </w:r>
          </w:p>
        </w:tc>
      </w:tr>
      <w:tr w:rsidR="00BB0FE3" w:rsidRPr="00BB0FE3" w14:paraId="4D26D716" w14:textId="77777777" w:rsidTr="00D14DE5">
        <w:trPr>
          <w:jc w:val="center"/>
        </w:trPr>
        <w:tc>
          <w:tcPr>
            <w:tcW w:w="1216" w:type="dxa"/>
            <w:vMerge/>
            <w:vAlign w:val="center"/>
          </w:tcPr>
          <w:p w14:paraId="11DA4D47" w14:textId="77777777" w:rsidR="00BB0FE3" w:rsidRPr="00D14DE5" w:rsidRDefault="00BB0FE3" w:rsidP="00EA081C">
            <w:pPr>
              <w:pStyle w:val="EEAtableleftbold"/>
              <w:rPr>
                <w:lang w:val="en-US"/>
              </w:rPr>
            </w:pPr>
          </w:p>
        </w:tc>
        <w:tc>
          <w:tcPr>
            <w:tcW w:w="5021" w:type="dxa"/>
            <w:gridSpan w:val="2"/>
            <w:vAlign w:val="center"/>
          </w:tcPr>
          <w:p w14:paraId="7ED36360" w14:textId="136819F7" w:rsidR="00BB0FE3" w:rsidRPr="00BB0FE3" w:rsidRDefault="00BB0FE3" w:rsidP="00D14DE5">
            <w:pPr>
              <w:pStyle w:val="EEAtableleft"/>
              <w:rPr>
                <w:b/>
                <w:bCs/>
                <w:vertAlign w:val="superscript"/>
                <w:lang w:val="en-US"/>
              </w:rPr>
            </w:pPr>
            <w:r w:rsidRPr="00BB0FE3">
              <w:rPr>
                <w:lang w:val="en-US"/>
              </w:rPr>
              <w:t>Precompression stress (estimated)</w:t>
            </w:r>
            <w:r w:rsidRPr="00BB0FE3">
              <w:rPr>
                <w:b/>
                <w:bCs/>
                <w:vertAlign w:val="superscript"/>
                <w:lang w:val="en-US"/>
              </w:rPr>
              <w:t xml:space="preserve"> </w:t>
            </w:r>
            <w:r w:rsidR="00EE4293">
              <w:rPr>
                <w:b/>
                <w:bCs/>
                <w:vertAlign w:val="superscript"/>
                <w:lang w:val="en-US"/>
              </w:rPr>
              <w:t>(</w:t>
            </w:r>
            <w:r w:rsidRPr="00BB0FE3">
              <w:rPr>
                <w:b/>
                <w:bCs/>
                <w:vertAlign w:val="superscript"/>
                <w:lang w:val="en-US"/>
              </w:rPr>
              <w:t>1)</w:t>
            </w:r>
          </w:p>
          <w:p w14:paraId="0E984344" w14:textId="77777777" w:rsidR="00BB0FE3" w:rsidRPr="00BB0FE3" w:rsidRDefault="00BB0FE3" w:rsidP="00D14DE5">
            <w:pPr>
              <w:pStyle w:val="EEAtableleft"/>
              <w:rPr>
                <w:lang w:val="en-US"/>
              </w:rPr>
            </w:pPr>
            <w:r w:rsidRPr="00BB0FE3">
              <w:rPr>
                <w:lang w:val="en-US"/>
              </w:rPr>
              <w:t>soil rigidity ratio</w:t>
            </w:r>
            <w:r w:rsidRPr="00BB0FE3">
              <w:rPr>
                <w:b/>
                <w:bCs/>
                <w:vertAlign w:val="superscript"/>
                <w:lang w:val="en-US"/>
              </w:rPr>
              <w:t xml:space="preserve"> 2)</w:t>
            </w:r>
          </w:p>
        </w:tc>
        <w:tc>
          <w:tcPr>
            <w:tcW w:w="3260" w:type="dxa"/>
            <w:vAlign w:val="center"/>
          </w:tcPr>
          <w:p w14:paraId="02593A6F" w14:textId="77777777" w:rsidR="00BB0FE3" w:rsidRPr="00BB0FE3" w:rsidRDefault="00BB0FE3" w:rsidP="00D14DE5">
            <w:pPr>
              <w:pStyle w:val="EEAtableleft"/>
              <w:rPr>
                <w:lang w:val="en-US"/>
              </w:rPr>
            </w:pPr>
            <w:r w:rsidRPr="00BB0FE3">
              <w:rPr>
                <w:lang w:val="en-US"/>
              </w:rPr>
              <w:t xml:space="preserve">Samples are measured at defined matric potential </w:t>
            </w:r>
          </w:p>
          <w:p w14:paraId="342366AD" w14:textId="77777777" w:rsidR="00BB0FE3" w:rsidRPr="00BB0FE3" w:rsidRDefault="00BB0FE3" w:rsidP="00D14DE5">
            <w:pPr>
              <w:pStyle w:val="EEAtableleft"/>
              <w:rPr>
                <w:lang w:val="en-US"/>
              </w:rPr>
            </w:pPr>
            <w:r w:rsidRPr="00BB0FE3">
              <w:rPr>
                <w:lang w:val="en-US"/>
              </w:rPr>
              <w:t>Contact area pressure of the machines and the actual contact area are determined</w:t>
            </w:r>
          </w:p>
        </w:tc>
      </w:tr>
      <w:tr w:rsidR="00BB0FE3" w:rsidRPr="00BB0FE3" w14:paraId="0DCD9F1B" w14:textId="77777777" w:rsidTr="00D14DE5">
        <w:trPr>
          <w:jc w:val="center"/>
        </w:trPr>
        <w:tc>
          <w:tcPr>
            <w:tcW w:w="1216" w:type="dxa"/>
            <w:vMerge/>
            <w:vAlign w:val="center"/>
          </w:tcPr>
          <w:p w14:paraId="66164879" w14:textId="77777777" w:rsidR="00BB0FE3" w:rsidRPr="00D14DE5" w:rsidRDefault="00BB0FE3" w:rsidP="00EA081C">
            <w:pPr>
              <w:pStyle w:val="EEAtableleftbold"/>
              <w:rPr>
                <w:lang w:val="en-US"/>
              </w:rPr>
            </w:pPr>
          </w:p>
        </w:tc>
        <w:tc>
          <w:tcPr>
            <w:tcW w:w="5021" w:type="dxa"/>
            <w:gridSpan w:val="2"/>
            <w:vAlign w:val="center"/>
          </w:tcPr>
          <w:p w14:paraId="7FE72FDB" w14:textId="7178A726" w:rsidR="00BB0FE3" w:rsidRPr="00BB0FE3" w:rsidRDefault="00BB0FE3" w:rsidP="00D14DE5">
            <w:pPr>
              <w:pStyle w:val="EEAtableleft"/>
              <w:rPr>
                <w:lang w:val="en-US"/>
              </w:rPr>
            </w:pPr>
            <w:r w:rsidRPr="00BB0FE3">
              <w:rPr>
                <w:lang w:val="en-US"/>
              </w:rPr>
              <w:t xml:space="preserve">Penetration resistance </w:t>
            </w:r>
            <w:r w:rsidR="00EE4293" w:rsidRPr="00EE4293">
              <w:rPr>
                <w:vertAlign w:val="superscript"/>
                <w:lang w:val="en-US"/>
              </w:rPr>
              <w:t>(</w:t>
            </w:r>
            <w:r w:rsidRPr="00BB0FE3">
              <w:rPr>
                <w:b/>
                <w:bCs/>
                <w:vertAlign w:val="superscript"/>
                <w:lang w:val="en-US"/>
              </w:rPr>
              <w:t>3)</w:t>
            </w:r>
          </w:p>
          <w:p w14:paraId="6323E5F5" w14:textId="77777777" w:rsidR="00BB0FE3" w:rsidRPr="00BB0FE3" w:rsidRDefault="00BB0FE3" w:rsidP="00D14DE5">
            <w:pPr>
              <w:pStyle w:val="EEAtableleft"/>
              <w:rPr>
                <w:lang w:val="en-US"/>
              </w:rPr>
            </w:pPr>
            <w:r w:rsidRPr="00BB0FE3">
              <w:rPr>
                <w:b/>
                <w:bCs/>
                <w:lang w:val="en-US"/>
              </w:rPr>
              <w:t>(estimated</w:t>
            </w:r>
            <w:r w:rsidRPr="00BB0FE3">
              <w:rPr>
                <w:lang w:val="en-US"/>
              </w:rPr>
              <w:t xml:space="preserve"> with Pedo-transfer functions PTF)</w:t>
            </w:r>
          </w:p>
        </w:tc>
        <w:tc>
          <w:tcPr>
            <w:tcW w:w="3260" w:type="dxa"/>
            <w:vAlign w:val="center"/>
          </w:tcPr>
          <w:p w14:paraId="7339DC84" w14:textId="77777777" w:rsidR="00BB0FE3" w:rsidRPr="00BB0FE3" w:rsidRDefault="00BB0FE3" w:rsidP="00D14DE5">
            <w:pPr>
              <w:pStyle w:val="EEAtableleft"/>
              <w:rPr>
                <w:lang w:val="en-US"/>
              </w:rPr>
            </w:pPr>
            <w:r w:rsidRPr="00BB0FE3">
              <w:rPr>
                <w:lang w:val="en-US"/>
              </w:rPr>
              <w:t xml:space="preserve">Measurements of depth dependent PR at given matric potential </w:t>
            </w:r>
          </w:p>
        </w:tc>
      </w:tr>
      <w:tr w:rsidR="00BB0FE3" w:rsidRPr="00BB0FE3" w14:paraId="1717BA91" w14:textId="77777777" w:rsidTr="00D14DE5">
        <w:trPr>
          <w:jc w:val="center"/>
        </w:trPr>
        <w:tc>
          <w:tcPr>
            <w:tcW w:w="1216" w:type="dxa"/>
            <w:vMerge w:val="restart"/>
            <w:vAlign w:val="center"/>
          </w:tcPr>
          <w:p w14:paraId="245D78B2" w14:textId="77777777" w:rsidR="00BB0FE3" w:rsidRPr="00D14DE5" w:rsidRDefault="00BB0FE3" w:rsidP="00EA081C">
            <w:pPr>
              <w:pStyle w:val="EEAtableleftbold"/>
              <w:rPr>
                <w:lang w:val="en-US"/>
              </w:rPr>
            </w:pPr>
            <w:r w:rsidRPr="00D14DE5">
              <w:rPr>
                <w:lang w:val="en-US"/>
              </w:rPr>
              <w:t>Basic soil physical parameters</w:t>
            </w:r>
          </w:p>
        </w:tc>
        <w:tc>
          <w:tcPr>
            <w:tcW w:w="2895" w:type="dxa"/>
            <w:vAlign w:val="center"/>
          </w:tcPr>
          <w:p w14:paraId="30EC0CBF" w14:textId="71BC06E8" w:rsidR="00BB0FE3" w:rsidRPr="00BB0FE3" w:rsidDel="00D94BF2" w:rsidRDefault="00BB0FE3" w:rsidP="00D14DE5">
            <w:pPr>
              <w:pStyle w:val="EEAtableleft"/>
              <w:rPr>
                <w:lang w:val="en-US"/>
              </w:rPr>
            </w:pPr>
            <w:r w:rsidRPr="00BB0FE3">
              <w:rPr>
                <w:lang w:val="en-US"/>
              </w:rPr>
              <w:t>Saturated hydraulic conductivity, air capacity, plant available water capacity (</w:t>
            </w:r>
            <w:r w:rsidRPr="00BB0FE3">
              <w:rPr>
                <w:b/>
                <w:bCs/>
                <w:lang w:val="en-US"/>
              </w:rPr>
              <w:t>estimated</w:t>
            </w:r>
            <w:r w:rsidRPr="00BB0FE3">
              <w:rPr>
                <w:lang w:val="en-US"/>
              </w:rPr>
              <w:t xml:space="preserve"> with PTF, soil data </w:t>
            </w:r>
            <w:r w:rsidRPr="00BB0FE3">
              <w:rPr>
                <w:lang w:val="en-US"/>
              </w:rPr>
              <w:lastRenderedPageBreak/>
              <w:t xml:space="preserve">sets, </w:t>
            </w:r>
            <w:r w:rsidR="00E723F0">
              <w:rPr>
                <w:lang w:val="en-US"/>
              </w:rPr>
              <w:t>LUKAS Soil</w:t>
            </w:r>
            <w:r w:rsidRPr="00BB0FE3">
              <w:rPr>
                <w:lang w:val="en-US"/>
              </w:rPr>
              <w:t>, Wosten, SIDASS)</w:t>
            </w:r>
          </w:p>
        </w:tc>
        <w:tc>
          <w:tcPr>
            <w:tcW w:w="2126" w:type="dxa"/>
            <w:vAlign w:val="center"/>
          </w:tcPr>
          <w:p w14:paraId="6AB1CB2F" w14:textId="77777777" w:rsidR="00BB0FE3" w:rsidRPr="00BB0FE3" w:rsidRDefault="00BB0FE3" w:rsidP="00D14DE5">
            <w:pPr>
              <w:pStyle w:val="EEAtableleft"/>
              <w:rPr>
                <w:lang w:val="en-US"/>
              </w:rPr>
            </w:pPr>
            <w:r w:rsidRPr="00BB0FE3">
              <w:rPr>
                <w:lang w:val="en-US"/>
              </w:rPr>
              <w:lastRenderedPageBreak/>
              <w:t xml:space="preserve">All basic soil physical parameters for PTF are </w:t>
            </w:r>
            <w:r w:rsidRPr="00BB0FE3">
              <w:rPr>
                <w:b/>
                <w:bCs/>
                <w:lang w:val="en-US"/>
              </w:rPr>
              <w:t>measured</w:t>
            </w:r>
            <w:r w:rsidRPr="00BB0FE3">
              <w:rPr>
                <w:lang w:val="en-US"/>
              </w:rPr>
              <w:t>.</w:t>
            </w:r>
          </w:p>
        </w:tc>
        <w:tc>
          <w:tcPr>
            <w:tcW w:w="3260" w:type="dxa"/>
            <w:vAlign w:val="center"/>
          </w:tcPr>
          <w:p w14:paraId="41CCB512" w14:textId="77777777" w:rsidR="00BB0FE3" w:rsidRPr="00BB0FE3" w:rsidRDefault="00BB0FE3" w:rsidP="00D14DE5">
            <w:pPr>
              <w:pStyle w:val="EEAtableleft"/>
              <w:rPr>
                <w:lang w:val="en-US"/>
              </w:rPr>
            </w:pPr>
            <w:r w:rsidRPr="00BB0FE3">
              <w:rPr>
                <w:lang w:val="en-US"/>
              </w:rPr>
              <w:t>Tensiometer, sensors, actual soil sampling at defined depths</w:t>
            </w:r>
          </w:p>
          <w:p w14:paraId="654B5C10" w14:textId="77777777" w:rsidR="00BB0FE3" w:rsidRPr="00BB0FE3" w:rsidRDefault="00BB0FE3" w:rsidP="00D14DE5">
            <w:pPr>
              <w:pStyle w:val="EEAtableleft"/>
              <w:rPr>
                <w:lang w:val="en-US"/>
              </w:rPr>
            </w:pPr>
            <w:r w:rsidRPr="00BB0FE3">
              <w:rPr>
                <w:lang w:val="en-US"/>
              </w:rPr>
              <w:t>Stress dependent changes of the parameters are measured under in field and under lab conditions</w:t>
            </w:r>
          </w:p>
        </w:tc>
      </w:tr>
      <w:tr w:rsidR="00BB0FE3" w:rsidRPr="00BB0FE3" w14:paraId="181F0D8C" w14:textId="77777777" w:rsidTr="00D14DE5">
        <w:trPr>
          <w:jc w:val="center"/>
        </w:trPr>
        <w:tc>
          <w:tcPr>
            <w:tcW w:w="1216" w:type="dxa"/>
            <w:vMerge/>
            <w:vAlign w:val="center"/>
          </w:tcPr>
          <w:p w14:paraId="045CFD9C" w14:textId="77777777" w:rsidR="00BB0FE3" w:rsidRPr="00D14DE5" w:rsidRDefault="00BB0FE3" w:rsidP="00EA081C">
            <w:pPr>
              <w:pStyle w:val="EEAtableleftbold"/>
              <w:rPr>
                <w:lang w:val="en-US"/>
              </w:rPr>
            </w:pPr>
          </w:p>
        </w:tc>
        <w:tc>
          <w:tcPr>
            <w:tcW w:w="2895" w:type="dxa"/>
            <w:vAlign w:val="center"/>
          </w:tcPr>
          <w:p w14:paraId="7E79EE3C" w14:textId="77777777" w:rsidR="00BB0FE3" w:rsidRPr="00BB0FE3" w:rsidRDefault="00BB0FE3" w:rsidP="00D14DE5">
            <w:pPr>
              <w:pStyle w:val="EEAtableleft"/>
              <w:rPr>
                <w:lang w:val="en-US"/>
              </w:rPr>
            </w:pPr>
            <w:r w:rsidRPr="00BB0FE3">
              <w:rPr>
                <w:lang w:val="en-US"/>
              </w:rPr>
              <w:t>Bulk density (estimated or measured)</w:t>
            </w:r>
          </w:p>
        </w:tc>
        <w:tc>
          <w:tcPr>
            <w:tcW w:w="5386" w:type="dxa"/>
            <w:gridSpan w:val="2"/>
            <w:vAlign w:val="center"/>
          </w:tcPr>
          <w:p w14:paraId="26B56637" w14:textId="77777777" w:rsidR="00BB0FE3" w:rsidRPr="00BB0FE3" w:rsidRDefault="00BB0FE3" w:rsidP="00D14DE5">
            <w:pPr>
              <w:pStyle w:val="EEAtableleft"/>
              <w:rPr>
                <w:lang w:val="en-US"/>
              </w:rPr>
            </w:pPr>
            <w:r w:rsidRPr="00BB0FE3">
              <w:rPr>
                <w:lang w:val="en-US"/>
              </w:rPr>
              <w:t xml:space="preserve">Bulk density (measured) </w:t>
            </w:r>
          </w:p>
        </w:tc>
      </w:tr>
      <w:tr w:rsidR="00BB0FE3" w:rsidRPr="00BB0FE3" w14:paraId="10BB77EA" w14:textId="77777777" w:rsidTr="00D14DE5">
        <w:trPr>
          <w:jc w:val="center"/>
        </w:trPr>
        <w:tc>
          <w:tcPr>
            <w:tcW w:w="1216" w:type="dxa"/>
            <w:vMerge w:val="restart"/>
            <w:vAlign w:val="center"/>
          </w:tcPr>
          <w:p w14:paraId="7A5764DC" w14:textId="77777777" w:rsidR="00BB0FE3" w:rsidRPr="00D14DE5" w:rsidRDefault="00BB0FE3" w:rsidP="00EA081C">
            <w:pPr>
              <w:pStyle w:val="EEAtableleftbold"/>
              <w:rPr>
                <w:lang w:val="en-US"/>
              </w:rPr>
            </w:pPr>
            <w:r w:rsidRPr="00D14DE5">
              <w:rPr>
                <w:lang w:val="en-US"/>
              </w:rPr>
              <w:t xml:space="preserve">Basic soil chemical parameters </w:t>
            </w:r>
          </w:p>
          <w:p w14:paraId="05C54430" w14:textId="77777777" w:rsidR="00BB0FE3" w:rsidRPr="00D14DE5" w:rsidRDefault="00BB0FE3" w:rsidP="00EA081C">
            <w:pPr>
              <w:pStyle w:val="EEAtableleftbold"/>
              <w:rPr>
                <w:lang w:val="en-US"/>
              </w:rPr>
            </w:pPr>
          </w:p>
          <w:p w14:paraId="7BD58714" w14:textId="77777777" w:rsidR="00BB0FE3" w:rsidRPr="00D14DE5" w:rsidRDefault="00BB0FE3" w:rsidP="00EA081C">
            <w:pPr>
              <w:pStyle w:val="EEAtableleftbold"/>
              <w:rPr>
                <w:lang w:val="en-US"/>
              </w:rPr>
            </w:pPr>
            <w:r w:rsidRPr="00D14DE5">
              <w:rPr>
                <w:lang w:val="en-US"/>
              </w:rPr>
              <w:t>Biological parameters</w:t>
            </w:r>
          </w:p>
        </w:tc>
        <w:tc>
          <w:tcPr>
            <w:tcW w:w="2895" w:type="dxa"/>
            <w:vAlign w:val="center"/>
          </w:tcPr>
          <w:p w14:paraId="49ABF975" w14:textId="77777777" w:rsidR="00BB0FE3" w:rsidRPr="00BB0FE3" w:rsidRDefault="00BB0FE3" w:rsidP="00D14DE5">
            <w:pPr>
              <w:pStyle w:val="EEAtableleft"/>
              <w:rPr>
                <w:lang w:val="en-US"/>
              </w:rPr>
            </w:pPr>
            <w:r w:rsidRPr="00BB0FE3">
              <w:rPr>
                <w:lang w:val="en-US"/>
              </w:rPr>
              <w:t>soil texture/coarse fragments/CaCO</w:t>
            </w:r>
            <w:r w:rsidRPr="00BB0FE3">
              <w:rPr>
                <w:vertAlign w:val="subscript"/>
                <w:lang w:val="en-US"/>
              </w:rPr>
              <w:t>3</w:t>
            </w:r>
            <w:r w:rsidRPr="00BB0FE3">
              <w:rPr>
                <w:lang w:val="en-US"/>
              </w:rPr>
              <w:t xml:space="preserve"> (</w:t>
            </w:r>
            <w:r w:rsidRPr="00BB0FE3">
              <w:rPr>
                <w:u w:val="single"/>
                <w:lang w:val="en-US"/>
              </w:rPr>
              <w:t>estimated – soil auger</w:t>
            </w:r>
            <w:r w:rsidRPr="00BB0FE3">
              <w:rPr>
                <w:lang w:val="en-US"/>
              </w:rPr>
              <w:t>)</w:t>
            </w:r>
          </w:p>
        </w:tc>
        <w:tc>
          <w:tcPr>
            <w:tcW w:w="5386" w:type="dxa"/>
            <w:gridSpan w:val="2"/>
            <w:vAlign w:val="center"/>
          </w:tcPr>
          <w:p w14:paraId="658DEC9F" w14:textId="77777777" w:rsidR="00BB0FE3" w:rsidRPr="00BB0FE3" w:rsidRDefault="00BB0FE3" w:rsidP="00D14DE5">
            <w:pPr>
              <w:pStyle w:val="EEAtableleft"/>
              <w:rPr>
                <w:lang w:val="en-US"/>
              </w:rPr>
            </w:pPr>
            <w:r w:rsidRPr="00BB0FE3">
              <w:rPr>
                <w:lang w:val="en-US"/>
              </w:rPr>
              <w:t>soil texture/coarse fragments/ CaCO3 (</w:t>
            </w:r>
            <w:r w:rsidRPr="00BB0FE3">
              <w:rPr>
                <w:u w:val="single"/>
                <w:lang w:val="en-US"/>
              </w:rPr>
              <w:t>measured – soil profiles</w:t>
            </w:r>
            <w:r w:rsidRPr="00BB0FE3">
              <w:rPr>
                <w:lang w:val="en-US"/>
              </w:rPr>
              <w:t>)</w:t>
            </w:r>
          </w:p>
        </w:tc>
      </w:tr>
      <w:tr w:rsidR="00BB0FE3" w:rsidRPr="00BB0FE3" w14:paraId="4C347257" w14:textId="77777777" w:rsidTr="00D14DE5">
        <w:trPr>
          <w:jc w:val="center"/>
        </w:trPr>
        <w:tc>
          <w:tcPr>
            <w:tcW w:w="1216" w:type="dxa"/>
            <w:vMerge/>
            <w:vAlign w:val="center"/>
          </w:tcPr>
          <w:p w14:paraId="02F411EC" w14:textId="77777777" w:rsidR="00BB0FE3" w:rsidRPr="00D14DE5" w:rsidRDefault="00BB0FE3" w:rsidP="00EA081C">
            <w:pPr>
              <w:pStyle w:val="EEAtableleftbold"/>
              <w:rPr>
                <w:bCs/>
                <w:lang w:val="en-US"/>
              </w:rPr>
            </w:pPr>
          </w:p>
        </w:tc>
        <w:tc>
          <w:tcPr>
            <w:tcW w:w="8281" w:type="dxa"/>
            <w:gridSpan w:val="3"/>
            <w:vAlign w:val="center"/>
          </w:tcPr>
          <w:p w14:paraId="686029E7" w14:textId="77777777" w:rsidR="00BB0FE3" w:rsidRPr="00BB0FE3" w:rsidRDefault="00BB0FE3" w:rsidP="00D14DE5">
            <w:pPr>
              <w:pStyle w:val="EEAtableleft"/>
              <w:rPr>
                <w:lang w:val="en-US"/>
              </w:rPr>
            </w:pPr>
            <w:r w:rsidRPr="00BB0FE3">
              <w:rPr>
                <w:lang w:val="en-US"/>
              </w:rPr>
              <w:t>soil organic matter (measured)</w:t>
            </w:r>
          </w:p>
        </w:tc>
      </w:tr>
      <w:tr w:rsidR="00BB0FE3" w:rsidRPr="00BB0FE3" w14:paraId="7B1C8F99" w14:textId="77777777" w:rsidTr="00D14DE5">
        <w:trPr>
          <w:jc w:val="center"/>
        </w:trPr>
        <w:tc>
          <w:tcPr>
            <w:tcW w:w="1216" w:type="dxa"/>
            <w:vMerge/>
            <w:vAlign w:val="center"/>
          </w:tcPr>
          <w:p w14:paraId="131341E9" w14:textId="77777777" w:rsidR="00BB0FE3" w:rsidRPr="00D14DE5" w:rsidRDefault="00BB0FE3" w:rsidP="00EA081C">
            <w:pPr>
              <w:pStyle w:val="EEAtableleftbold"/>
              <w:rPr>
                <w:bCs/>
                <w:lang w:val="en-US"/>
              </w:rPr>
            </w:pPr>
          </w:p>
        </w:tc>
        <w:tc>
          <w:tcPr>
            <w:tcW w:w="2895" w:type="dxa"/>
            <w:vAlign w:val="center"/>
          </w:tcPr>
          <w:p w14:paraId="64D43400" w14:textId="77777777" w:rsidR="00BB0FE3" w:rsidRPr="00BB0FE3" w:rsidRDefault="00BB0FE3" w:rsidP="00D14DE5">
            <w:pPr>
              <w:pStyle w:val="EEAtableleft"/>
              <w:rPr>
                <w:lang w:val="en-US"/>
              </w:rPr>
            </w:pPr>
            <w:r w:rsidRPr="00BB0FE3">
              <w:rPr>
                <w:lang w:val="en-US"/>
              </w:rPr>
              <w:t>rooting</w:t>
            </w:r>
          </w:p>
        </w:tc>
        <w:tc>
          <w:tcPr>
            <w:tcW w:w="5386" w:type="dxa"/>
            <w:gridSpan w:val="2"/>
            <w:vAlign w:val="center"/>
          </w:tcPr>
          <w:p w14:paraId="3BDBD238" w14:textId="77777777" w:rsidR="00BB0FE3" w:rsidRPr="00BB0FE3" w:rsidRDefault="00BB0FE3" w:rsidP="00D14DE5">
            <w:pPr>
              <w:pStyle w:val="EEAtableleft"/>
              <w:rPr>
                <w:lang w:val="en-US"/>
              </w:rPr>
            </w:pPr>
            <w:r w:rsidRPr="00BB0FE3">
              <w:rPr>
                <w:lang w:val="en-US"/>
              </w:rPr>
              <w:t>parameters must be measured</w:t>
            </w:r>
          </w:p>
        </w:tc>
      </w:tr>
      <w:tr w:rsidR="00BB0FE3" w:rsidRPr="00BB0FE3" w14:paraId="41638077" w14:textId="77777777" w:rsidTr="00D14DE5">
        <w:trPr>
          <w:jc w:val="center"/>
        </w:trPr>
        <w:tc>
          <w:tcPr>
            <w:tcW w:w="1216" w:type="dxa"/>
            <w:vMerge/>
            <w:vAlign w:val="center"/>
          </w:tcPr>
          <w:p w14:paraId="11BDD7F2" w14:textId="77777777" w:rsidR="00BB0FE3" w:rsidRPr="00D14DE5" w:rsidRDefault="00BB0FE3" w:rsidP="00EA081C">
            <w:pPr>
              <w:pStyle w:val="EEAtableleftbold"/>
              <w:rPr>
                <w:bCs/>
                <w:lang w:val="en-US"/>
              </w:rPr>
            </w:pPr>
          </w:p>
        </w:tc>
        <w:tc>
          <w:tcPr>
            <w:tcW w:w="8281" w:type="dxa"/>
            <w:gridSpan w:val="3"/>
            <w:vAlign w:val="center"/>
          </w:tcPr>
          <w:p w14:paraId="3B122007" w14:textId="77777777" w:rsidR="00BB0FE3" w:rsidRPr="00BB0FE3" w:rsidRDefault="00BB0FE3" w:rsidP="00D14DE5">
            <w:pPr>
              <w:pStyle w:val="EEAtableleft"/>
              <w:rPr>
                <w:lang w:val="en-US"/>
              </w:rPr>
            </w:pPr>
            <w:r w:rsidRPr="00BB0FE3">
              <w:rPr>
                <w:lang w:val="en-US"/>
              </w:rPr>
              <w:t>Biological activity (bioturbation)</w:t>
            </w:r>
          </w:p>
        </w:tc>
      </w:tr>
      <w:tr w:rsidR="00BB0FE3" w:rsidRPr="00BB0FE3" w14:paraId="5E3CB01F" w14:textId="77777777" w:rsidTr="00D14DE5">
        <w:trPr>
          <w:jc w:val="center"/>
        </w:trPr>
        <w:tc>
          <w:tcPr>
            <w:tcW w:w="1216" w:type="dxa"/>
            <w:vAlign w:val="center"/>
          </w:tcPr>
          <w:p w14:paraId="2144197E" w14:textId="77777777" w:rsidR="00BB0FE3" w:rsidRPr="00D14DE5" w:rsidRDefault="00BB0FE3" w:rsidP="00EA081C">
            <w:pPr>
              <w:pStyle w:val="EEAtableleftbold"/>
              <w:rPr>
                <w:bCs/>
                <w:lang w:val="en-US"/>
              </w:rPr>
            </w:pPr>
            <w:r w:rsidRPr="00D14DE5">
              <w:rPr>
                <w:bCs/>
                <w:lang w:val="en-US"/>
              </w:rPr>
              <w:t>Depth</w:t>
            </w:r>
          </w:p>
        </w:tc>
        <w:tc>
          <w:tcPr>
            <w:tcW w:w="2895" w:type="dxa"/>
            <w:vAlign w:val="center"/>
          </w:tcPr>
          <w:p w14:paraId="4C92BC75" w14:textId="77777777" w:rsidR="00BB0FE3" w:rsidRPr="00BB0FE3" w:rsidRDefault="00BB0FE3" w:rsidP="00D14DE5">
            <w:pPr>
              <w:pStyle w:val="EEAtableleft"/>
              <w:rPr>
                <w:lang w:val="en-US"/>
              </w:rPr>
            </w:pPr>
            <w:r w:rsidRPr="00BB0FE3">
              <w:rPr>
                <w:lang w:val="en-US"/>
              </w:rPr>
              <w:t>Soil surface, upper boundary of lower soil horizons (or simply topsoil and subsoil)</w:t>
            </w:r>
          </w:p>
        </w:tc>
        <w:tc>
          <w:tcPr>
            <w:tcW w:w="2126" w:type="dxa"/>
            <w:vAlign w:val="center"/>
          </w:tcPr>
          <w:p w14:paraId="3454AB7F" w14:textId="77777777" w:rsidR="00BB0FE3" w:rsidRPr="00BB0FE3" w:rsidRDefault="00BB0FE3" w:rsidP="00D14DE5">
            <w:pPr>
              <w:pStyle w:val="EEAtableleft"/>
              <w:rPr>
                <w:lang w:val="en-US"/>
              </w:rPr>
            </w:pPr>
            <w:r w:rsidRPr="00BB0FE3">
              <w:rPr>
                <w:lang w:val="en-US"/>
              </w:rPr>
              <w:t>Refined depth classes/by genetic horizon</w:t>
            </w:r>
          </w:p>
        </w:tc>
        <w:tc>
          <w:tcPr>
            <w:tcW w:w="3260" w:type="dxa"/>
            <w:vAlign w:val="center"/>
          </w:tcPr>
          <w:p w14:paraId="2F43FC8E" w14:textId="77777777" w:rsidR="00BB0FE3" w:rsidRPr="00BB0FE3" w:rsidRDefault="00BB0FE3" w:rsidP="00D14DE5">
            <w:pPr>
              <w:pStyle w:val="EEAtableleft"/>
              <w:rPr>
                <w:lang w:val="en-US"/>
              </w:rPr>
            </w:pPr>
            <w:r w:rsidRPr="00BB0FE3">
              <w:rPr>
                <w:lang w:val="en-US"/>
              </w:rPr>
              <w:t xml:space="preserve">depths of 40–45 cm and 60–100 cm </w:t>
            </w:r>
          </w:p>
        </w:tc>
      </w:tr>
      <w:tr w:rsidR="00BB0FE3" w:rsidRPr="00BB0FE3" w14:paraId="046308F9" w14:textId="77777777" w:rsidTr="00D14DE5">
        <w:trPr>
          <w:jc w:val="center"/>
        </w:trPr>
        <w:tc>
          <w:tcPr>
            <w:tcW w:w="1216" w:type="dxa"/>
            <w:vAlign w:val="center"/>
          </w:tcPr>
          <w:p w14:paraId="593D7B9D" w14:textId="77777777" w:rsidR="00BB0FE3" w:rsidRPr="00D14DE5" w:rsidRDefault="00BB0FE3" w:rsidP="00EA081C">
            <w:pPr>
              <w:pStyle w:val="EEAtableleftbold"/>
              <w:rPr>
                <w:bCs/>
                <w:lang w:val="en-US"/>
              </w:rPr>
            </w:pPr>
            <w:r w:rsidRPr="00D14DE5">
              <w:rPr>
                <w:bCs/>
                <w:lang w:val="en-US"/>
              </w:rPr>
              <w:t>Repetitions</w:t>
            </w:r>
          </w:p>
        </w:tc>
        <w:tc>
          <w:tcPr>
            <w:tcW w:w="5021" w:type="dxa"/>
            <w:gridSpan w:val="2"/>
            <w:vAlign w:val="center"/>
          </w:tcPr>
          <w:p w14:paraId="26BC1486" w14:textId="77777777" w:rsidR="00BB0FE3" w:rsidRPr="00BB0FE3" w:rsidRDefault="00BB0FE3" w:rsidP="00D14DE5">
            <w:pPr>
              <w:pStyle w:val="EEAtableleft"/>
              <w:rPr>
                <w:lang w:val="en-US"/>
              </w:rPr>
            </w:pPr>
            <w:r w:rsidRPr="00BB0FE3">
              <w:rPr>
                <w:lang w:val="en-US"/>
              </w:rPr>
              <w:t>4-8 samples per depth</w:t>
            </w:r>
          </w:p>
        </w:tc>
        <w:tc>
          <w:tcPr>
            <w:tcW w:w="3260" w:type="dxa"/>
            <w:vAlign w:val="center"/>
          </w:tcPr>
          <w:p w14:paraId="186C0E08" w14:textId="77777777" w:rsidR="00BB0FE3" w:rsidRPr="00BB0FE3" w:rsidRDefault="00BB0FE3" w:rsidP="00D14DE5">
            <w:pPr>
              <w:pStyle w:val="EEAtableleft"/>
              <w:rPr>
                <w:lang w:val="en-US"/>
              </w:rPr>
            </w:pPr>
            <w:r w:rsidRPr="00BB0FE3">
              <w:rPr>
                <w:lang w:val="en-US"/>
              </w:rPr>
              <w:t>10 - 20 samples per parameter and depth</w:t>
            </w:r>
          </w:p>
        </w:tc>
      </w:tr>
      <w:tr w:rsidR="00BB0FE3" w:rsidRPr="00BB0FE3" w14:paraId="4F7D1EB2" w14:textId="77777777" w:rsidTr="00D14DE5">
        <w:trPr>
          <w:jc w:val="center"/>
        </w:trPr>
        <w:tc>
          <w:tcPr>
            <w:tcW w:w="1216" w:type="dxa"/>
            <w:vAlign w:val="center"/>
          </w:tcPr>
          <w:p w14:paraId="665BF78B" w14:textId="77777777" w:rsidR="00BB0FE3" w:rsidRPr="00D14DE5" w:rsidRDefault="00BB0FE3" w:rsidP="00EA081C">
            <w:pPr>
              <w:pStyle w:val="EEAtableleftbold"/>
              <w:rPr>
                <w:bCs/>
                <w:lang w:val="en-US"/>
              </w:rPr>
            </w:pPr>
            <w:r w:rsidRPr="00D14DE5">
              <w:rPr>
                <w:bCs/>
                <w:lang w:val="en-US"/>
              </w:rPr>
              <w:t>Operations</w:t>
            </w:r>
          </w:p>
        </w:tc>
        <w:tc>
          <w:tcPr>
            <w:tcW w:w="5021" w:type="dxa"/>
            <w:gridSpan w:val="2"/>
            <w:vAlign w:val="center"/>
          </w:tcPr>
          <w:p w14:paraId="71348D73" w14:textId="77777777" w:rsidR="00BB0FE3" w:rsidRPr="00BB0FE3" w:rsidRDefault="00BB0FE3" w:rsidP="00D14DE5">
            <w:pPr>
              <w:pStyle w:val="EEAtableleft"/>
              <w:rPr>
                <w:lang w:val="en-US"/>
              </w:rPr>
            </w:pPr>
            <w:r w:rsidRPr="00BB0FE3">
              <w:rPr>
                <w:lang w:val="en-US"/>
              </w:rPr>
              <w:t>Field traffic: percentage of the wheeled area, number of wheel-to-wheel passages</w:t>
            </w:r>
          </w:p>
        </w:tc>
        <w:tc>
          <w:tcPr>
            <w:tcW w:w="3260" w:type="dxa"/>
            <w:vAlign w:val="center"/>
          </w:tcPr>
          <w:p w14:paraId="08235B95" w14:textId="77777777" w:rsidR="00BB0FE3" w:rsidRPr="00BB0FE3" w:rsidRDefault="00BB0FE3" w:rsidP="00D14DE5">
            <w:pPr>
              <w:pStyle w:val="EEAtableleft"/>
              <w:rPr>
                <w:lang w:val="en-US"/>
              </w:rPr>
            </w:pPr>
            <w:r w:rsidRPr="00BB0FE3">
              <w:rPr>
                <w:lang w:val="en-US"/>
              </w:rPr>
              <w:t>Weight, air pressure, wheel type, axle and tire widths of every vehicle, contact area</w:t>
            </w:r>
          </w:p>
        </w:tc>
      </w:tr>
      <w:tr w:rsidR="00BB0FE3" w:rsidRPr="00BB0FE3" w14:paraId="4E46FC18" w14:textId="77777777" w:rsidTr="00D14DE5">
        <w:trPr>
          <w:jc w:val="center"/>
        </w:trPr>
        <w:tc>
          <w:tcPr>
            <w:tcW w:w="1216" w:type="dxa"/>
            <w:vAlign w:val="center"/>
          </w:tcPr>
          <w:p w14:paraId="0E0F7C04" w14:textId="77777777" w:rsidR="00BB0FE3" w:rsidRPr="00D14DE5" w:rsidRDefault="00BB0FE3" w:rsidP="00EA081C">
            <w:pPr>
              <w:pStyle w:val="EEAtableleftbold"/>
              <w:rPr>
                <w:bCs/>
                <w:lang w:val="en-US"/>
              </w:rPr>
            </w:pPr>
            <w:r w:rsidRPr="00D14DE5">
              <w:rPr>
                <w:bCs/>
                <w:lang w:val="en-US"/>
              </w:rPr>
              <w:t>Seasonality of monitoring</w:t>
            </w:r>
          </w:p>
        </w:tc>
        <w:tc>
          <w:tcPr>
            <w:tcW w:w="5021" w:type="dxa"/>
            <w:gridSpan w:val="2"/>
            <w:vAlign w:val="center"/>
          </w:tcPr>
          <w:p w14:paraId="031567C5" w14:textId="77777777" w:rsidR="00BB0FE3" w:rsidRPr="00BB0FE3" w:rsidRDefault="00BB0FE3" w:rsidP="00D14DE5">
            <w:pPr>
              <w:pStyle w:val="EEAtableleft"/>
              <w:rPr>
                <w:lang w:val="en-US"/>
              </w:rPr>
            </w:pPr>
            <w:r w:rsidRPr="00BB0FE3">
              <w:rPr>
                <w:lang w:val="en-US"/>
              </w:rPr>
              <w:t>Spring sampling (soil at field capacity)</w:t>
            </w:r>
          </w:p>
        </w:tc>
        <w:tc>
          <w:tcPr>
            <w:tcW w:w="3260" w:type="dxa"/>
            <w:vAlign w:val="center"/>
          </w:tcPr>
          <w:p w14:paraId="673A9A86" w14:textId="77777777" w:rsidR="00BB0FE3" w:rsidRPr="00BB0FE3" w:rsidRDefault="00BB0FE3" w:rsidP="00D14DE5">
            <w:pPr>
              <w:pStyle w:val="EEAtableleft"/>
              <w:rPr>
                <w:lang w:val="en-US"/>
              </w:rPr>
            </w:pPr>
            <w:r w:rsidRPr="00BB0FE3">
              <w:rPr>
                <w:lang w:val="en-US"/>
              </w:rPr>
              <w:t>Sampling at requested times throughout the year</w:t>
            </w:r>
          </w:p>
        </w:tc>
      </w:tr>
    </w:tbl>
    <w:p w14:paraId="63E2E31F" w14:textId="72B1A329" w:rsidR="00834449" w:rsidRPr="005F35CC" w:rsidRDefault="00EE4293" w:rsidP="00834449">
      <w:pPr>
        <w:pStyle w:val="FormatvorlageEEATabfootnoteLinks0cmErsteZeile0cm"/>
        <w:tabs>
          <w:tab w:val="clear" w:pos="851"/>
        </w:tabs>
        <w:ind w:left="567" w:hanging="567"/>
        <w:rPr>
          <w:lang w:val="en-US"/>
        </w:rPr>
      </w:pPr>
      <w:r w:rsidRPr="00EE4293">
        <w:rPr>
          <w:b/>
          <w:bCs/>
          <w:lang w:val="en-US"/>
        </w:rPr>
        <w:t>Note:</w:t>
      </w:r>
      <w:r>
        <w:rPr>
          <w:b/>
          <w:bCs/>
          <w:vertAlign w:val="superscript"/>
          <w:lang w:val="en-US"/>
        </w:rPr>
        <w:t xml:space="preserve"> </w:t>
      </w:r>
      <w:r>
        <w:rPr>
          <w:b/>
          <w:bCs/>
          <w:vertAlign w:val="superscript"/>
          <w:lang w:val="en-US"/>
        </w:rPr>
        <w:tab/>
        <w:t>(</w:t>
      </w:r>
      <w:r w:rsidR="00BB0FE3" w:rsidRPr="002B2A53">
        <w:rPr>
          <w:b/>
          <w:bCs/>
          <w:vertAlign w:val="superscript"/>
          <w:lang w:val="en-US"/>
        </w:rPr>
        <w:t>1)</w:t>
      </w:r>
      <w:r w:rsidR="00BB0FE3" w:rsidRPr="002B2A53">
        <w:rPr>
          <w:lang w:val="en-US"/>
        </w:rPr>
        <w:t xml:space="preserve"> </w:t>
      </w:r>
      <w:r w:rsidR="00BB0FE3" w:rsidRPr="005F35CC">
        <w:rPr>
          <w:lang w:val="en-US"/>
        </w:rPr>
        <w:t>Precompression stress derived from Pedo-transfer function (PTF) for a given texture and aggregation, acc. to Horn and Fleige (2003): requires pore size distribution, hydraulic conductivity, and soil chemical soil properties, in areas where this approach is not calibrated, horizon specific stress strain measurements of undisturbed soil samples at a given matric potential are needed, and confined shear tests are needed to determine the shear strength of a given structured soil</w:t>
      </w:r>
    </w:p>
    <w:p w14:paraId="2F0F3C08" w14:textId="77777777" w:rsidR="00834449" w:rsidRPr="005F35CC" w:rsidRDefault="00EE4293" w:rsidP="00834449">
      <w:pPr>
        <w:pStyle w:val="FormatvorlageEEATabfootnoteLinks0cmErsteZeile0cm"/>
        <w:tabs>
          <w:tab w:val="clear" w:pos="851"/>
        </w:tabs>
        <w:ind w:left="567" w:firstLine="0"/>
        <w:rPr>
          <w:lang w:val="en-US"/>
        </w:rPr>
      </w:pPr>
      <w:r w:rsidRPr="005F35CC">
        <w:rPr>
          <w:b/>
          <w:bCs/>
          <w:vertAlign w:val="superscript"/>
          <w:lang w:val="en-US"/>
        </w:rPr>
        <w:t>(</w:t>
      </w:r>
      <w:r w:rsidR="00BB0FE3" w:rsidRPr="005F35CC">
        <w:rPr>
          <w:b/>
          <w:bCs/>
          <w:vertAlign w:val="superscript"/>
          <w:lang w:val="en-US"/>
        </w:rPr>
        <w:t>2)</w:t>
      </w:r>
      <w:r w:rsidR="00BB0FE3" w:rsidRPr="005F35CC">
        <w:rPr>
          <w:lang w:val="en-US"/>
        </w:rPr>
        <w:t xml:space="preserve"> </w:t>
      </w:r>
      <w:proofErr w:type="gramStart"/>
      <w:r w:rsidR="00BB0FE3" w:rsidRPr="005F35CC">
        <w:rPr>
          <w:lang w:val="en-US"/>
        </w:rPr>
        <w:t>ratio</w:t>
      </w:r>
      <w:proofErr w:type="gramEnd"/>
      <w:r w:rsidR="00BB0FE3" w:rsidRPr="005F35CC">
        <w:rPr>
          <w:lang w:val="en-US"/>
        </w:rPr>
        <w:t xml:space="preserve"> [precompression stress / actual stress imposed by field traffic] (see also Duttmann et al. 2014)</w:t>
      </w:r>
    </w:p>
    <w:p w14:paraId="02BACD41" w14:textId="23CD51E9" w:rsidR="00BB0FE3" w:rsidRPr="002B2A53" w:rsidRDefault="00EE4293" w:rsidP="009C0F69">
      <w:pPr>
        <w:pStyle w:val="FormatvorlageEEATabfootnoteLinks0cmErsteZeile0cm"/>
        <w:tabs>
          <w:tab w:val="clear" w:pos="851"/>
        </w:tabs>
        <w:ind w:left="567" w:firstLine="0"/>
        <w:rPr>
          <w:lang w:val="en-US"/>
        </w:rPr>
      </w:pPr>
      <w:r w:rsidRPr="005F35CC">
        <w:rPr>
          <w:b/>
          <w:bCs/>
          <w:vertAlign w:val="superscript"/>
          <w:lang w:val="en-US"/>
        </w:rPr>
        <w:t>(</w:t>
      </w:r>
      <w:r w:rsidR="00BB0FE3" w:rsidRPr="005F35CC">
        <w:rPr>
          <w:b/>
          <w:bCs/>
          <w:vertAlign w:val="superscript"/>
          <w:lang w:val="en-US"/>
        </w:rPr>
        <w:t>3)</w:t>
      </w:r>
      <w:r w:rsidR="00BB0FE3" w:rsidRPr="005F35CC">
        <w:rPr>
          <w:lang w:val="en-US"/>
        </w:rPr>
        <w:t xml:space="preserve"> </w:t>
      </w:r>
      <w:proofErr w:type="gramStart"/>
      <w:r w:rsidR="00BB0FE3" w:rsidRPr="005F35CC">
        <w:rPr>
          <w:lang w:val="en-US"/>
        </w:rPr>
        <w:t>establish</w:t>
      </w:r>
      <w:proofErr w:type="gramEnd"/>
      <w:r w:rsidR="00BB0FE3" w:rsidRPr="005F35CC">
        <w:rPr>
          <w:lang w:val="en-US"/>
        </w:rPr>
        <w:t xml:space="preserve"> reference sites from undisturbed, uncultivated sites</w:t>
      </w:r>
    </w:p>
    <w:p w14:paraId="5360E452" w14:textId="195C49C0" w:rsidR="00BB0FE3" w:rsidRPr="004C089C" w:rsidRDefault="00BB0FE3" w:rsidP="00EA081C">
      <w:pPr>
        <w:rPr>
          <w:rStyle w:val="sciprofiles-link"/>
        </w:rPr>
      </w:pPr>
    </w:p>
    <w:p w14:paraId="0486141C" w14:textId="74CDDEEC" w:rsidR="00072D59" w:rsidRPr="004C089C" w:rsidRDefault="00072D59" w:rsidP="00EA081C">
      <w:pPr>
        <w:rPr>
          <w:rStyle w:val="sciprofiles-link"/>
        </w:rPr>
      </w:pPr>
      <w:r w:rsidRPr="004C089C">
        <w:rPr>
          <w:rStyle w:val="sciprofiles-link"/>
        </w:rPr>
        <w:t xml:space="preserve">At Level I, easily and commonly determined soil parameters are used to define the soil compaction probability, while the application of more detailed measurement data appears at a higher Tier (Level II, likely to occur on less plots compared to Level I). At Level III, the most definite estimate of compacted area can be generated, based on more precise measurement techniques and very detailed soil physical analyses. </w:t>
      </w:r>
      <w:r w:rsidR="00F53111">
        <w:rPr>
          <w:rStyle w:val="sciprofiles-link"/>
          <w:highlight w:val="yellow"/>
        </w:rPr>
        <w:fldChar w:fldCharType="begin"/>
      </w:r>
      <w:r w:rsidR="00F53111">
        <w:rPr>
          <w:rStyle w:val="sciprofiles-link"/>
        </w:rPr>
        <w:instrText xml:space="preserve"> REF _Ref64646853 \h </w:instrText>
      </w:r>
      <w:r w:rsidR="00EA081C">
        <w:rPr>
          <w:rStyle w:val="sciprofiles-link"/>
          <w:highlight w:val="yellow"/>
        </w:rPr>
        <w:instrText xml:space="preserve"> \* MERGEFORMAT </w:instrText>
      </w:r>
      <w:r w:rsidR="00F53111">
        <w:rPr>
          <w:rStyle w:val="sciprofiles-link"/>
          <w:highlight w:val="yellow"/>
        </w:rPr>
      </w:r>
      <w:r w:rsidR="00F53111">
        <w:rPr>
          <w:rStyle w:val="sciprofiles-link"/>
          <w:highlight w:val="yellow"/>
        </w:rPr>
        <w:fldChar w:fldCharType="separate"/>
      </w:r>
      <w:r w:rsidR="0067767C">
        <w:t xml:space="preserve">Table </w:t>
      </w:r>
      <w:r w:rsidR="0067767C">
        <w:rPr>
          <w:noProof/>
        </w:rPr>
        <w:t>8</w:t>
      </w:r>
      <w:r w:rsidR="0067767C">
        <w:rPr>
          <w:noProof/>
        </w:rPr>
        <w:noBreakHyphen/>
        <w:t>4</w:t>
      </w:r>
      <w:r w:rsidR="00F53111">
        <w:rPr>
          <w:rStyle w:val="sciprofiles-link"/>
          <w:highlight w:val="yellow"/>
        </w:rPr>
        <w:fldChar w:fldCharType="end"/>
      </w:r>
      <w:r w:rsidRPr="004C089C">
        <w:rPr>
          <w:rStyle w:val="sciprofiles-link"/>
        </w:rPr>
        <w:t xml:space="preserve"> therefore provides an overview of the different levels to soil compaction monitoring. More detailed descriptions of key indicators are already given in Section 8.2.</w:t>
      </w:r>
    </w:p>
    <w:p w14:paraId="6750C27C" w14:textId="1FBB88D6" w:rsidR="00072D59" w:rsidRPr="004C089C" w:rsidRDefault="00072D59" w:rsidP="00EA081C">
      <w:pPr>
        <w:rPr>
          <w:rStyle w:val="sciprofiles-link"/>
        </w:rPr>
      </w:pPr>
    </w:p>
    <w:p w14:paraId="34CFE2EE" w14:textId="154BEFDE" w:rsidR="000C097B" w:rsidRPr="00BB0FE3" w:rsidRDefault="000C097B" w:rsidP="000C097B">
      <w:pPr>
        <w:pStyle w:val="berschrift2"/>
        <w:rPr>
          <w:rFonts w:asciiTheme="majorHAnsi" w:hAnsiTheme="majorHAnsi" w:cstheme="majorHAnsi"/>
          <w:szCs w:val="22"/>
          <w:lang w:val="en-US"/>
        </w:rPr>
      </w:pPr>
      <w:bookmarkStart w:id="392" w:name="_Toc83997400"/>
      <w:r w:rsidRPr="000C097B">
        <w:rPr>
          <w:rFonts w:asciiTheme="majorHAnsi" w:hAnsiTheme="majorHAnsi" w:cstheme="majorHAnsi"/>
          <w:szCs w:val="22"/>
          <w:lang w:val="en-US"/>
        </w:rPr>
        <w:t>Critical limits</w:t>
      </w:r>
      <w:bookmarkEnd w:id="392"/>
    </w:p>
    <w:p w14:paraId="13ED111B" w14:textId="77777777" w:rsidR="000C097B" w:rsidRDefault="000C097B" w:rsidP="004C089C"/>
    <w:p w14:paraId="6712E17E" w14:textId="644A5D60" w:rsidR="00BB0FE3" w:rsidRPr="00BB0FE3" w:rsidRDefault="00BB0FE3" w:rsidP="004C089C">
      <w:r w:rsidRPr="00BB0FE3">
        <w:t xml:space="preserve">The issue of soil degradation due to compaction and deformation needs to be addressed from two sides: </w:t>
      </w:r>
    </w:p>
    <w:p w14:paraId="5A619EC0" w14:textId="77777777" w:rsidR="00BB0FE3" w:rsidRPr="00BB0FE3" w:rsidRDefault="00BB0FE3" w:rsidP="009C0F69">
      <w:pPr>
        <w:pStyle w:val="EEAbullet0"/>
        <w:tabs>
          <w:tab w:val="clear" w:pos="397"/>
        </w:tabs>
        <w:ind w:left="567" w:hanging="255"/>
      </w:pPr>
      <w:r w:rsidRPr="00BB0FE3">
        <w:t xml:space="preserve">by evaluating the soil’s state by means of stability or rigidity (precompression stress), as well as physical parameters related to soil functions (hydraulic conductivity, air permeability and air capacity), and </w:t>
      </w:r>
    </w:p>
    <w:p w14:paraId="6E140EE1" w14:textId="77777777" w:rsidR="00BB0FE3" w:rsidRPr="00BB0FE3" w:rsidRDefault="00BB0FE3" w:rsidP="009C0F69">
      <w:pPr>
        <w:pStyle w:val="EEAbullet0"/>
        <w:tabs>
          <w:tab w:val="clear" w:pos="397"/>
        </w:tabs>
        <w:ind w:left="567" w:hanging="255"/>
      </w:pPr>
      <w:proofErr w:type="gramStart"/>
      <w:r w:rsidRPr="00BB0FE3">
        <w:t>by</w:t>
      </w:r>
      <w:proofErr w:type="gramEnd"/>
      <w:r w:rsidRPr="00BB0FE3">
        <w:t xml:space="preserve"> determining the ratio of incoming stresses and soil strength, and its effect on physical, chemical and biological properties for the definition of soil degradation (Riggert et al. 2019).</w:t>
      </w:r>
    </w:p>
    <w:p w14:paraId="128BB37E" w14:textId="77777777" w:rsidR="00BB0FE3" w:rsidRPr="00BB0FE3" w:rsidRDefault="00BB0FE3" w:rsidP="004C089C"/>
    <w:p w14:paraId="1471B607" w14:textId="5E9D6BB5" w:rsidR="00BB0FE3" w:rsidRPr="00BB0FE3" w:rsidRDefault="00BB0FE3" w:rsidP="004C089C">
      <w:r w:rsidRPr="00BB0FE3">
        <w:t xml:space="preserve">In order to achieve both objectives, the following indicators (s. also </w:t>
      </w:r>
      <w:r w:rsidR="00F53111">
        <w:fldChar w:fldCharType="begin"/>
      </w:r>
      <w:r w:rsidR="00F53111">
        <w:instrText xml:space="preserve"> REF _Ref64646853 \h </w:instrText>
      </w:r>
      <w:r w:rsidR="00F53111">
        <w:fldChar w:fldCharType="separate"/>
      </w:r>
      <w:r w:rsidR="0067767C">
        <w:t xml:space="preserve">Table </w:t>
      </w:r>
      <w:r w:rsidR="0067767C">
        <w:rPr>
          <w:noProof/>
        </w:rPr>
        <w:t>8</w:t>
      </w:r>
      <w:r w:rsidR="0067767C">
        <w:noBreakHyphen/>
      </w:r>
      <w:r w:rsidR="0067767C">
        <w:rPr>
          <w:noProof/>
        </w:rPr>
        <w:t>4</w:t>
      </w:r>
      <w:r w:rsidR="00F53111">
        <w:fldChar w:fldCharType="end"/>
      </w:r>
      <w:r w:rsidRPr="00BB0FE3">
        <w:t xml:space="preserve">) are suggested: </w:t>
      </w:r>
    </w:p>
    <w:p w14:paraId="6960E86E" w14:textId="77777777" w:rsidR="00BB0FE3" w:rsidRPr="00BB0FE3" w:rsidRDefault="00BB0FE3" w:rsidP="009C0F69">
      <w:pPr>
        <w:pStyle w:val="EEAbullet0"/>
        <w:tabs>
          <w:tab w:val="clear" w:pos="397"/>
        </w:tabs>
        <w:ind w:left="567" w:hanging="255"/>
      </w:pPr>
      <w:r w:rsidRPr="00BB0FE3">
        <w:t xml:space="preserve">precompression stress, </w:t>
      </w:r>
    </w:p>
    <w:p w14:paraId="45C1C583" w14:textId="77777777" w:rsidR="00BB0FE3" w:rsidRPr="00BB0FE3" w:rsidRDefault="00BB0FE3" w:rsidP="009C0F69">
      <w:pPr>
        <w:pStyle w:val="EEAbullet0"/>
        <w:tabs>
          <w:tab w:val="clear" w:pos="397"/>
        </w:tabs>
        <w:ind w:left="567" w:hanging="255"/>
      </w:pPr>
      <w:r w:rsidRPr="00BB0FE3">
        <w:t xml:space="preserve">ratio of precompression to actual stress applied, </w:t>
      </w:r>
    </w:p>
    <w:p w14:paraId="35C30E9A" w14:textId="77777777" w:rsidR="00BB0FE3" w:rsidRPr="00BB0FE3" w:rsidRDefault="00BB0FE3" w:rsidP="009C0F69">
      <w:pPr>
        <w:pStyle w:val="EEAbullet0"/>
        <w:tabs>
          <w:tab w:val="clear" w:pos="397"/>
        </w:tabs>
        <w:ind w:left="567" w:hanging="255"/>
      </w:pPr>
      <w:r w:rsidRPr="00BB0FE3">
        <w:t xml:space="preserve">air capacity, and </w:t>
      </w:r>
    </w:p>
    <w:p w14:paraId="171405E3" w14:textId="77777777" w:rsidR="00BB0FE3" w:rsidRPr="00BB0FE3" w:rsidRDefault="00BB0FE3" w:rsidP="009C0F69">
      <w:pPr>
        <w:pStyle w:val="EEAbullet0"/>
        <w:tabs>
          <w:tab w:val="clear" w:pos="397"/>
        </w:tabs>
        <w:ind w:left="567" w:hanging="255"/>
      </w:pPr>
      <w:proofErr w:type="gramStart"/>
      <w:r w:rsidRPr="00BB0FE3">
        <w:t>saturated</w:t>
      </w:r>
      <w:proofErr w:type="gramEnd"/>
      <w:r w:rsidRPr="00BB0FE3">
        <w:t xml:space="preserve"> hydraulic conductivity. </w:t>
      </w:r>
    </w:p>
    <w:p w14:paraId="76328411" w14:textId="77777777" w:rsidR="00BB0FE3" w:rsidRPr="00BB0FE3" w:rsidRDefault="00BB0FE3" w:rsidP="004C089C"/>
    <w:p w14:paraId="0B017FA2" w14:textId="684CE5EC" w:rsidR="00BB0FE3" w:rsidRDefault="00F53111" w:rsidP="004C089C">
      <w:r>
        <w:lastRenderedPageBreak/>
        <w:fldChar w:fldCharType="begin"/>
      </w:r>
      <w:r>
        <w:instrText xml:space="preserve"> REF _Ref64646853 \h </w:instrText>
      </w:r>
      <w:r>
        <w:fldChar w:fldCharType="separate"/>
      </w:r>
      <w:r w:rsidR="0067767C">
        <w:t xml:space="preserve">Table </w:t>
      </w:r>
      <w:r w:rsidR="0067767C">
        <w:rPr>
          <w:noProof/>
        </w:rPr>
        <w:t>8</w:t>
      </w:r>
      <w:r w:rsidR="0067767C">
        <w:noBreakHyphen/>
      </w:r>
      <w:r w:rsidR="0067767C">
        <w:rPr>
          <w:noProof/>
        </w:rPr>
        <w:t>4</w:t>
      </w:r>
      <w:r>
        <w:fldChar w:fldCharType="end"/>
      </w:r>
      <w:r w:rsidR="00BB0FE3" w:rsidRPr="00BB0FE3">
        <w:t xml:space="preserve"> summarizes both above-mentioned indicators sets. While the first set is based on easily measured or mostly available soil data, the second set refers to well-defined physical units and are closely related to the actual water saturation, soil structure, as well as pedo- and anthropogenic processes</w:t>
      </w:r>
      <w:r w:rsidR="00BB0FE3" w:rsidRPr="00BB0FE3">
        <w:rPr>
          <w:color w:val="1C1D1E"/>
          <w:shd w:val="clear" w:color="auto" w:fill="FFFFFF"/>
        </w:rPr>
        <w:t xml:space="preserve">. </w:t>
      </w:r>
      <w:r w:rsidR="00BB0FE3" w:rsidRPr="00BB0FE3">
        <w:t xml:space="preserve">The second set is therefore better suitable to quantify and to also document stress-induced changes in soil functions, such as water, gas and heat fluxes as well as biodiversity effects and physico chemical processes like redox potential changes. </w:t>
      </w:r>
    </w:p>
    <w:p w14:paraId="34EB3B12" w14:textId="77777777" w:rsidR="004C089C" w:rsidRPr="00BB0FE3" w:rsidRDefault="004C089C" w:rsidP="00972E53">
      <w:pPr>
        <w:spacing w:before="120"/>
      </w:pPr>
    </w:p>
    <w:p w14:paraId="746BB2FF" w14:textId="48BD8236" w:rsidR="00BB0FE3" w:rsidRPr="00BB0FE3" w:rsidRDefault="007066D9" w:rsidP="00BB0FE3">
      <w:pPr>
        <w:pStyle w:val="EEALabel"/>
        <w:spacing w:line="276" w:lineRule="auto"/>
        <w:rPr>
          <w:rFonts w:asciiTheme="majorHAnsi" w:eastAsia="Calibri" w:hAnsiTheme="majorHAnsi" w:cstheme="majorHAnsi"/>
          <w:szCs w:val="22"/>
        </w:rPr>
      </w:pPr>
      <w:bookmarkStart w:id="393" w:name="_Ref64646853"/>
      <w:bookmarkStart w:id="394" w:name="_Toc83997535"/>
      <w:r>
        <w:t xml:space="preserve">Table </w:t>
      </w:r>
      <w:r w:rsidR="00C76C23">
        <w:fldChar w:fldCharType="begin"/>
      </w:r>
      <w:r w:rsidR="00C76C23">
        <w:instrText xml:space="preserve"> STYLEREF 1 \s </w:instrText>
      </w:r>
      <w:r w:rsidR="00C76C23">
        <w:fldChar w:fldCharType="separate"/>
      </w:r>
      <w:r w:rsidR="0067767C">
        <w:rPr>
          <w:noProof/>
        </w:rPr>
        <w:t>8</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4</w:t>
      </w:r>
      <w:r w:rsidR="00C76C23">
        <w:fldChar w:fldCharType="end"/>
      </w:r>
      <w:bookmarkEnd w:id="393"/>
      <w:r>
        <w:t>:</w:t>
      </w:r>
      <w:r>
        <w:rPr>
          <w:rFonts w:eastAsia="Calibri"/>
        </w:rPr>
        <w:tab/>
      </w:r>
      <w:r w:rsidR="00BB0FE3" w:rsidRPr="00BB0FE3">
        <w:rPr>
          <w:rFonts w:asciiTheme="majorHAnsi" w:eastAsia="Calibri" w:hAnsiTheme="majorHAnsi" w:cstheme="majorHAnsi"/>
          <w:szCs w:val="22"/>
        </w:rPr>
        <w:t>Soil physical indicators for detecting harmful compaction in the subsoil</w:t>
      </w:r>
      <w:bookmarkEnd w:id="394"/>
    </w:p>
    <w:p w14:paraId="4CD90B7A" w14:textId="4FADFE9C" w:rsidR="00BB0FE3" w:rsidRPr="00C134B4" w:rsidRDefault="00BB0FE3" w:rsidP="007D3906">
      <w:pPr>
        <w:rPr>
          <w:rFonts w:eastAsia="Calibri"/>
        </w:rPr>
      </w:pPr>
    </w:p>
    <w:tbl>
      <w:tblPr>
        <w:tblW w:w="9498" w:type="dxa"/>
        <w:tblCellMar>
          <w:left w:w="0" w:type="dxa"/>
          <w:right w:w="0" w:type="dxa"/>
        </w:tblCellMar>
        <w:tblLook w:val="04A0" w:firstRow="1" w:lastRow="0" w:firstColumn="1" w:lastColumn="0" w:noHBand="0" w:noVBand="1"/>
      </w:tblPr>
      <w:tblGrid>
        <w:gridCol w:w="1865"/>
        <w:gridCol w:w="13"/>
        <w:gridCol w:w="2617"/>
        <w:gridCol w:w="2593"/>
        <w:gridCol w:w="2410"/>
      </w:tblGrid>
      <w:tr w:rsidR="00BB0FE3" w:rsidRPr="00BB0FE3" w14:paraId="5D16E3BE" w14:textId="77777777" w:rsidTr="004F0DA7">
        <w:tc>
          <w:tcPr>
            <w:tcW w:w="1865" w:type="dxa"/>
            <w:tcBorders>
              <w:top w:val="single" w:sz="4" w:space="0" w:color="auto"/>
              <w:left w:val="nil"/>
              <w:bottom w:val="single" w:sz="4" w:space="0" w:color="auto"/>
              <w:right w:val="nil"/>
            </w:tcBorders>
            <w:shd w:val="pct10" w:color="auto" w:fill="auto"/>
            <w:tcMar>
              <w:top w:w="0" w:type="dxa"/>
              <w:left w:w="108" w:type="dxa"/>
              <w:bottom w:w="0" w:type="dxa"/>
              <w:right w:w="108" w:type="dxa"/>
            </w:tcMar>
            <w:hideMark/>
          </w:tcPr>
          <w:p w14:paraId="3D9A24FB" w14:textId="77777777" w:rsidR="00BB0FE3" w:rsidRPr="00BB0FE3" w:rsidRDefault="00BB0FE3" w:rsidP="00CF64FA">
            <w:pPr>
              <w:pStyle w:val="EEAtableleftbold"/>
            </w:pPr>
            <w:r w:rsidRPr="00BB0FE3">
              <w:t>Indicator</w:t>
            </w:r>
          </w:p>
        </w:tc>
        <w:tc>
          <w:tcPr>
            <w:tcW w:w="5223" w:type="dxa"/>
            <w:gridSpan w:val="3"/>
            <w:tcBorders>
              <w:top w:val="single" w:sz="4" w:space="0" w:color="auto"/>
              <w:left w:val="nil"/>
              <w:bottom w:val="single" w:sz="4" w:space="0" w:color="auto"/>
              <w:right w:val="nil"/>
            </w:tcBorders>
            <w:shd w:val="pct10" w:color="auto" w:fill="auto"/>
            <w:tcMar>
              <w:top w:w="0" w:type="dxa"/>
              <w:left w:w="108" w:type="dxa"/>
              <w:bottom w:w="0" w:type="dxa"/>
              <w:right w:w="108" w:type="dxa"/>
            </w:tcMar>
            <w:hideMark/>
          </w:tcPr>
          <w:p w14:paraId="5D898CF8" w14:textId="78938D2E" w:rsidR="00BB0FE3" w:rsidRPr="00BB0FE3" w:rsidRDefault="00961775" w:rsidP="00CF64FA">
            <w:pPr>
              <w:pStyle w:val="EEAtableleftbold"/>
            </w:pPr>
            <w:r>
              <w:t>Explanation and thresholds</w:t>
            </w:r>
          </w:p>
        </w:tc>
        <w:tc>
          <w:tcPr>
            <w:tcW w:w="2410" w:type="dxa"/>
            <w:tcBorders>
              <w:top w:val="single" w:sz="4" w:space="0" w:color="auto"/>
              <w:left w:val="nil"/>
              <w:bottom w:val="single" w:sz="4" w:space="0" w:color="auto"/>
              <w:right w:val="nil"/>
            </w:tcBorders>
            <w:shd w:val="pct10" w:color="auto" w:fill="auto"/>
            <w:tcMar>
              <w:top w:w="0" w:type="dxa"/>
              <w:left w:w="108" w:type="dxa"/>
              <w:bottom w:w="0" w:type="dxa"/>
              <w:right w:w="108" w:type="dxa"/>
            </w:tcMar>
            <w:hideMark/>
          </w:tcPr>
          <w:p w14:paraId="00F1F37E" w14:textId="77777777" w:rsidR="00BB0FE3" w:rsidRPr="00BB0FE3" w:rsidRDefault="00BB0FE3" w:rsidP="00CF64FA">
            <w:pPr>
              <w:pStyle w:val="EEAtableleftbold"/>
            </w:pPr>
            <w:r w:rsidRPr="00BB0FE3">
              <w:t>Soil sensitivity</w:t>
            </w:r>
          </w:p>
        </w:tc>
      </w:tr>
      <w:tr w:rsidR="00BB0FE3" w:rsidRPr="00BB0FE3" w14:paraId="74A423A7" w14:textId="77777777" w:rsidTr="004F0DA7">
        <w:tc>
          <w:tcPr>
            <w:tcW w:w="9498" w:type="dxa"/>
            <w:gridSpan w:val="5"/>
            <w:tcBorders>
              <w:top w:val="single" w:sz="4" w:space="0" w:color="auto"/>
              <w:left w:val="nil"/>
              <w:bottom w:val="single" w:sz="4" w:space="0" w:color="auto"/>
              <w:right w:val="nil"/>
            </w:tcBorders>
            <w:shd w:val="pct10" w:color="auto" w:fill="auto"/>
            <w:tcMar>
              <w:top w:w="0" w:type="dxa"/>
              <w:left w:w="108" w:type="dxa"/>
              <w:bottom w:w="0" w:type="dxa"/>
              <w:right w:w="108" w:type="dxa"/>
            </w:tcMar>
            <w:hideMark/>
          </w:tcPr>
          <w:p w14:paraId="522BC7FD" w14:textId="77777777" w:rsidR="00BB0FE3" w:rsidRPr="00BB0FE3" w:rsidRDefault="00BB0FE3" w:rsidP="00CF64FA">
            <w:pPr>
              <w:pStyle w:val="EEAtableleftbold"/>
            </w:pPr>
            <w:r w:rsidRPr="00BB0FE3">
              <w:t>Indicator set I</w:t>
            </w:r>
          </w:p>
        </w:tc>
      </w:tr>
      <w:tr w:rsidR="00BB0FE3" w:rsidRPr="00BB0FE3" w14:paraId="3BC4BB4A" w14:textId="77777777" w:rsidTr="00CF64FA">
        <w:tc>
          <w:tcPr>
            <w:tcW w:w="1865" w:type="dxa"/>
            <w:tcBorders>
              <w:top w:val="single" w:sz="4" w:space="0" w:color="auto"/>
              <w:left w:val="nil"/>
              <w:bottom w:val="single" w:sz="4" w:space="0" w:color="auto"/>
              <w:right w:val="nil"/>
            </w:tcBorders>
            <w:tcMar>
              <w:top w:w="0" w:type="dxa"/>
              <w:left w:w="108" w:type="dxa"/>
              <w:bottom w:w="0" w:type="dxa"/>
              <w:right w:w="108" w:type="dxa"/>
            </w:tcMar>
            <w:hideMark/>
          </w:tcPr>
          <w:p w14:paraId="57F8A957" w14:textId="77777777" w:rsidR="00BB0FE3" w:rsidRPr="00BB0FE3" w:rsidRDefault="00BB0FE3" w:rsidP="00EA081C">
            <w:pPr>
              <w:pStyle w:val="EEAtableleft"/>
            </w:pPr>
            <w:r w:rsidRPr="00BB0FE3">
              <w:t>Bulk density</w:t>
            </w:r>
          </w:p>
        </w:tc>
        <w:tc>
          <w:tcPr>
            <w:tcW w:w="5223" w:type="dxa"/>
            <w:gridSpan w:val="3"/>
            <w:tcBorders>
              <w:top w:val="single" w:sz="4" w:space="0" w:color="auto"/>
              <w:left w:val="nil"/>
              <w:bottom w:val="single" w:sz="4" w:space="0" w:color="auto"/>
              <w:right w:val="nil"/>
            </w:tcBorders>
            <w:tcMar>
              <w:top w:w="0" w:type="dxa"/>
              <w:left w:w="108" w:type="dxa"/>
              <w:bottom w:w="0" w:type="dxa"/>
              <w:right w:w="108" w:type="dxa"/>
            </w:tcMar>
            <w:hideMark/>
          </w:tcPr>
          <w:p w14:paraId="79854931" w14:textId="77777777" w:rsidR="00BB0FE3" w:rsidRPr="00BB0FE3" w:rsidRDefault="00BB0FE3" w:rsidP="00EA081C">
            <w:pPr>
              <w:pStyle w:val="EEAtableleft"/>
            </w:pPr>
            <w:r w:rsidRPr="00BB0FE3">
              <w:t xml:space="preserve">bulk density values between&lt;1.2 and 1.6 g/cm³ define very loose to normal soil conditions with no or only minor root penetration problems while values &gt; 1.6 - &gt;1.9 g/cm³.represent dense to very impermeable soil conditions. </w:t>
            </w:r>
          </w:p>
        </w:tc>
        <w:tc>
          <w:tcPr>
            <w:tcW w:w="2410" w:type="dxa"/>
            <w:tcBorders>
              <w:top w:val="single" w:sz="4" w:space="0" w:color="auto"/>
              <w:left w:val="nil"/>
              <w:bottom w:val="single" w:sz="4" w:space="0" w:color="auto"/>
              <w:right w:val="nil"/>
            </w:tcBorders>
            <w:tcMar>
              <w:top w:w="0" w:type="dxa"/>
              <w:left w:w="108" w:type="dxa"/>
              <w:bottom w:w="0" w:type="dxa"/>
              <w:right w:w="108" w:type="dxa"/>
            </w:tcMar>
            <w:hideMark/>
          </w:tcPr>
          <w:p w14:paraId="0955CDCC" w14:textId="77777777" w:rsidR="00BB0FE3" w:rsidRPr="00BB0FE3" w:rsidRDefault="00BB0FE3" w:rsidP="00EA081C">
            <w:pPr>
              <w:pStyle w:val="EEAtableleft"/>
            </w:pPr>
            <w:r w:rsidRPr="00BB0FE3">
              <w:t>Soils originating from clay to silt and sand; higher values are due to geological prestressing or anthropogenic impacts.</w:t>
            </w:r>
          </w:p>
        </w:tc>
      </w:tr>
      <w:tr w:rsidR="00CF64FA" w:rsidRPr="00BB0FE3" w14:paraId="5E2BEBBB" w14:textId="77777777" w:rsidTr="00CF64FA">
        <w:tc>
          <w:tcPr>
            <w:tcW w:w="1865" w:type="dxa"/>
            <w:tcBorders>
              <w:top w:val="single" w:sz="4" w:space="0" w:color="auto"/>
              <w:left w:val="nil"/>
              <w:bottom w:val="single" w:sz="4" w:space="0" w:color="auto"/>
              <w:right w:val="nil"/>
            </w:tcBorders>
            <w:tcMar>
              <w:top w:w="0" w:type="dxa"/>
              <w:left w:w="108" w:type="dxa"/>
              <w:bottom w:w="0" w:type="dxa"/>
              <w:right w:w="108" w:type="dxa"/>
            </w:tcMar>
            <w:vAlign w:val="center"/>
          </w:tcPr>
          <w:p w14:paraId="1E32156E" w14:textId="77777777" w:rsidR="00CF64FA" w:rsidRPr="00BB0FE3" w:rsidRDefault="00CF64FA" w:rsidP="00EA081C">
            <w:pPr>
              <w:pStyle w:val="EEAtableleft"/>
            </w:pPr>
            <w:r w:rsidRPr="00BB0FE3">
              <w:t>Air capacity</w:t>
            </w:r>
            <w:r>
              <w:t>:</w:t>
            </w:r>
            <w:r w:rsidRPr="00BB0FE3">
              <w:t xml:space="preserve"> air-filled pore volume AC</w:t>
            </w:r>
          </w:p>
          <w:p w14:paraId="026CCD72" w14:textId="77777777" w:rsidR="00CF64FA" w:rsidRPr="00BB0FE3" w:rsidRDefault="00CF64FA" w:rsidP="00EA081C">
            <w:pPr>
              <w:pStyle w:val="EEAtableleft"/>
            </w:pPr>
          </w:p>
          <w:p w14:paraId="23122F89" w14:textId="77777777" w:rsidR="00CF64FA" w:rsidRPr="00BB0FE3" w:rsidRDefault="00CF64FA" w:rsidP="00EA081C">
            <w:pPr>
              <w:pStyle w:val="EEAtableleft"/>
            </w:pPr>
          </w:p>
          <w:p w14:paraId="0BB65931" w14:textId="77777777" w:rsidR="00CF64FA" w:rsidRPr="00BB0FE3" w:rsidRDefault="00CF64FA" w:rsidP="00EA081C">
            <w:pPr>
              <w:pStyle w:val="EEAtableleft"/>
            </w:pPr>
            <w:r w:rsidRPr="00BB0FE3">
              <w:t xml:space="preserve">pore volume = total volume of pores per bulk soil </w:t>
            </w:r>
          </w:p>
        </w:tc>
        <w:tc>
          <w:tcPr>
            <w:tcW w:w="5223" w:type="dxa"/>
            <w:gridSpan w:val="3"/>
            <w:tcBorders>
              <w:top w:val="single" w:sz="4" w:space="0" w:color="auto"/>
              <w:left w:val="nil"/>
              <w:bottom w:val="single" w:sz="4" w:space="0" w:color="auto"/>
              <w:right w:val="nil"/>
            </w:tcBorders>
            <w:tcMar>
              <w:top w:w="0" w:type="dxa"/>
              <w:left w:w="108" w:type="dxa"/>
              <w:bottom w:w="0" w:type="dxa"/>
              <w:right w:w="108" w:type="dxa"/>
            </w:tcMar>
            <w:vAlign w:val="center"/>
          </w:tcPr>
          <w:p w14:paraId="6D885CAD" w14:textId="77777777" w:rsidR="00CF64FA" w:rsidRPr="00BB0FE3" w:rsidRDefault="00CF64FA" w:rsidP="00EA081C">
            <w:pPr>
              <w:pStyle w:val="EEAtableleft"/>
            </w:pPr>
            <w:r w:rsidRPr="00BB0FE3">
              <w:t xml:space="preserve">A low air capacity impairs root growth and a reduction of oxygen pressure in soil air and an increased formation of climate change relevant gases. </w:t>
            </w:r>
          </w:p>
          <w:p w14:paraId="23585BAD" w14:textId="77777777" w:rsidR="00CF64FA" w:rsidRPr="00BB0FE3" w:rsidRDefault="00CF64FA" w:rsidP="00EA081C">
            <w:pPr>
              <w:pStyle w:val="EEAtableleft"/>
            </w:pPr>
            <w:r w:rsidRPr="00BB0FE3">
              <w:t xml:space="preserve">Below  5% AC at soil matric potential of -6kPa are aeration  or gas diffusion mostly insufficient </w:t>
            </w:r>
          </w:p>
          <w:p w14:paraId="0FC1B505" w14:textId="12F1E49C" w:rsidR="00CF64FA" w:rsidRPr="00BB0FE3" w:rsidRDefault="00CF64FA" w:rsidP="00EA081C">
            <w:pPr>
              <w:pStyle w:val="EEAtableleft"/>
            </w:pPr>
            <w:r w:rsidRPr="00BB0FE3">
              <w:t>The pore volume is the greater the finer the particles, the more aggregated and the higher the organic carbon content. (</w:t>
            </w:r>
            <w:r w:rsidR="00972E53" w:rsidRPr="00BB0FE3">
              <w:t>Values</w:t>
            </w:r>
            <w:r w:rsidRPr="00BB0FE3">
              <w:t xml:space="preserve"> below 35% are in generally defined as critical)</w:t>
            </w:r>
          </w:p>
        </w:tc>
        <w:tc>
          <w:tcPr>
            <w:tcW w:w="2410" w:type="dxa"/>
            <w:tcBorders>
              <w:top w:val="single" w:sz="4" w:space="0" w:color="auto"/>
              <w:bottom w:val="single" w:sz="4" w:space="0" w:color="auto"/>
            </w:tcBorders>
            <w:tcMar>
              <w:top w:w="0" w:type="dxa"/>
              <w:left w:w="108" w:type="dxa"/>
              <w:bottom w:w="0" w:type="dxa"/>
              <w:right w:w="108" w:type="dxa"/>
            </w:tcMar>
            <w:vAlign w:val="center"/>
            <w:hideMark/>
          </w:tcPr>
          <w:p w14:paraId="154A4B00" w14:textId="77777777" w:rsidR="00CF64FA" w:rsidRPr="00BB0FE3" w:rsidRDefault="00CF64FA" w:rsidP="00EA081C">
            <w:pPr>
              <w:pStyle w:val="EEAtableleft"/>
            </w:pPr>
            <w:r w:rsidRPr="00BB0FE3">
              <w:t>Soils originating from clay, loam, silt and sandy loam and sandy loess</w:t>
            </w:r>
          </w:p>
        </w:tc>
      </w:tr>
      <w:tr w:rsidR="00CF64FA" w:rsidRPr="00BB0FE3" w14:paraId="0B834F01" w14:textId="77777777" w:rsidTr="00CF64FA">
        <w:trPr>
          <w:trHeight w:val="589"/>
        </w:trPr>
        <w:tc>
          <w:tcPr>
            <w:tcW w:w="1865" w:type="dxa"/>
            <w:vMerge w:val="restart"/>
            <w:tcBorders>
              <w:top w:val="single" w:sz="4" w:space="0" w:color="auto"/>
              <w:left w:val="nil"/>
              <w:bottom w:val="single" w:sz="4" w:space="0" w:color="auto"/>
            </w:tcBorders>
            <w:tcMar>
              <w:top w:w="0" w:type="dxa"/>
              <w:left w:w="108" w:type="dxa"/>
              <w:bottom w:w="0" w:type="dxa"/>
              <w:right w:w="108" w:type="dxa"/>
            </w:tcMar>
            <w:vAlign w:val="center"/>
          </w:tcPr>
          <w:p w14:paraId="1EBD3CED" w14:textId="71EF8A13" w:rsidR="00CF64FA" w:rsidRPr="00BB0FE3" w:rsidRDefault="00CF64FA" w:rsidP="00EA081C">
            <w:pPr>
              <w:pStyle w:val="EEAtableleft"/>
            </w:pPr>
            <w:r w:rsidRPr="00BB0FE3">
              <w:t>Visual soil evaluations</w:t>
            </w:r>
          </w:p>
        </w:tc>
        <w:tc>
          <w:tcPr>
            <w:tcW w:w="2630" w:type="dxa"/>
            <w:gridSpan w:val="2"/>
            <w:tcBorders>
              <w:top w:val="single" w:sz="4" w:space="0" w:color="auto"/>
              <w:bottom w:val="single" w:sz="4" w:space="0" w:color="auto"/>
            </w:tcBorders>
            <w:tcMar>
              <w:top w:w="0" w:type="dxa"/>
              <w:left w:w="108" w:type="dxa"/>
              <w:bottom w:w="0" w:type="dxa"/>
              <w:right w:w="108" w:type="dxa"/>
            </w:tcMar>
            <w:vAlign w:val="center"/>
          </w:tcPr>
          <w:p w14:paraId="62326118" w14:textId="5DAD0D1E" w:rsidR="00CF64FA" w:rsidRPr="00BB0FE3" w:rsidRDefault="00CF64FA" w:rsidP="00EA081C">
            <w:pPr>
              <w:pStyle w:val="EEAtableleft"/>
            </w:pPr>
            <w:r w:rsidRPr="00BB0FE3">
              <w:t>Aggregate type and estimated BD</w:t>
            </w:r>
          </w:p>
        </w:tc>
        <w:tc>
          <w:tcPr>
            <w:tcW w:w="2593" w:type="dxa"/>
            <w:vMerge w:val="restart"/>
            <w:tcBorders>
              <w:top w:val="single" w:sz="4" w:space="0" w:color="auto"/>
              <w:bottom w:val="single" w:sz="4" w:space="0" w:color="auto"/>
            </w:tcBorders>
            <w:vAlign w:val="center"/>
          </w:tcPr>
          <w:p w14:paraId="1CB1FE23" w14:textId="1A2E6D4C" w:rsidR="00CF64FA" w:rsidRPr="00BB0FE3" w:rsidRDefault="00CF64FA" w:rsidP="00EA081C">
            <w:pPr>
              <w:pStyle w:val="EEAtableleft"/>
            </w:pPr>
            <w:r w:rsidRPr="00BB0FE3">
              <w:t>The visual assessment of the soil as lose or dense based on aggregate size and strength, pore size and continuity, root density and distribution</w:t>
            </w:r>
          </w:p>
        </w:tc>
        <w:tc>
          <w:tcPr>
            <w:tcW w:w="2410" w:type="dxa"/>
            <w:vMerge w:val="restart"/>
            <w:tcBorders>
              <w:top w:val="single" w:sz="4" w:space="0" w:color="auto"/>
              <w:bottom w:val="single" w:sz="4" w:space="0" w:color="auto"/>
            </w:tcBorders>
            <w:tcMar>
              <w:top w:w="0" w:type="dxa"/>
              <w:left w:w="108" w:type="dxa"/>
              <w:bottom w:w="0" w:type="dxa"/>
              <w:right w:w="108" w:type="dxa"/>
            </w:tcMar>
            <w:vAlign w:val="center"/>
          </w:tcPr>
          <w:p w14:paraId="41C3B1A8" w14:textId="32358544" w:rsidR="00CF64FA" w:rsidRPr="00BB0FE3" w:rsidRDefault="00CF64FA" w:rsidP="00EA081C">
            <w:pPr>
              <w:pStyle w:val="EEAtableleft"/>
            </w:pPr>
            <w:r w:rsidRPr="00BB0FE3">
              <w:t>Additional assessment for all soils</w:t>
            </w:r>
          </w:p>
        </w:tc>
      </w:tr>
      <w:tr w:rsidR="00CF64FA" w:rsidRPr="00BB0FE3" w14:paraId="21D5EA5F" w14:textId="77777777" w:rsidTr="00CF64FA">
        <w:trPr>
          <w:trHeight w:val="368"/>
        </w:trPr>
        <w:tc>
          <w:tcPr>
            <w:tcW w:w="1865" w:type="dxa"/>
            <w:vMerge/>
            <w:tcBorders>
              <w:top w:val="single" w:sz="4" w:space="0" w:color="auto"/>
              <w:left w:val="nil"/>
              <w:bottom w:val="single" w:sz="4" w:space="0" w:color="auto"/>
            </w:tcBorders>
            <w:tcMar>
              <w:top w:w="0" w:type="dxa"/>
              <w:left w:w="108" w:type="dxa"/>
              <w:bottom w:w="0" w:type="dxa"/>
              <w:right w:w="108" w:type="dxa"/>
            </w:tcMar>
            <w:vAlign w:val="center"/>
          </w:tcPr>
          <w:p w14:paraId="4380773D" w14:textId="77777777" w:rsidR="00CF64FA" w:rsidRPr="00BB0FE3" w:rsidRDefault="00CF64FA" w:rsidP="00EA081C">
            <w:pPr>
              <w:pStyle w:val="EEAtableleft"/>
            </w:pPr>
          </w:p>
        </w:tc>
        <w:tc>
          <w:tcPr>
            <w:tcW w:w="2630" w:type="dxa"/>
            <w:gridSpan w:val="2"/>
            <w:tcBorders>
              <w:top w:val="single" w:sz="4" w:space="0" w:color="auto"/>
              <w:bottom w:val="single" w:sz="4" w:space="0" w:color="auto"/>
            </w:tcBorders>
            <w:tcMar>
              <w:top w:w="0" w:type="dxa"/>
              <w:left w:w="108" w:type="dxa"/>
              <w:bottom w:w="0" w:type="dxa"/>
              <w:right w:w="108" w:type="dxa"/>
            </w:tcMar>
            <w:vAlign w:val="center"/>
          </w:tcPr>
          <w:p w14:paraId="326B27EB" w14:textId="5514B642" w:rsidR="00CF64FA" w:rsidRDefault="00CF64FA" w:rsidP="00EA081C">
            <w:pPr>
              <w:pStyle w:val="EEAtableleft"/>
            </w:pPr>
            <w:r w:rsidRPr="00CF64FA">
              <w:t>Root growth/ Penetrometer</w:t>
            </w:r>
          </w:p>
        </w:tc>
        <w:tc>
          <w:tcPr>
            <w:tcW w:w="2593" w:type="dxa"/>
            <w:vMerge/>
            <w:tcBorders>
              <w:top w:val="single" w:sz="4" w:space="0" w:color="auto"/>
              <w:bottom w:val="single" w:sz="4" w:space="0" w:color="auto"/>
            </w:tcBorders>
            <w:vAlign w:val="center"/>
          </w:tcPr>
          <w:p w14:paraId="53E72428" w14:textId="77777777" w:rsidR="00CF64FA" w:rsidRDefault="00CF64FA" w:rsidP="00EA081C">
            <w:pPr>
              <w:pStyle w:val="EEAtableleft"/>
            </w:pPr>
          </w:p>
        </w:tc>
        <w:tc>
          <w:tcPr>
            <w:tcW w:w="2410" w:type="dxa"/>
            <w:vMerge/>
            <w:tcBorders>
              <w:top w:val="single" w:sz="4" w:space="0" w:color="auto"/>
              <w:bottom w:val="single" w:sz="4" w:space="0" w:color="auto"/>
            </w:tcBorders>
            <w:tcMar>
              <w:top w:w="0" w:type="dxa"/>
              <w:left w:w="108" w:type="dxa"/>
              <w:bottom w:w="0" w:type="dxa"/>
              <w:right w:w="108" w:type="dxa"/>
            </w:tcMar>
            <w:vAlign w:val="center"/>
          </w:tcPr>
          <w:p w14:paraId="6562FECD" w14:textId="77777777" w:rsidR="00CF64FA" w:rsidRPr="00BB0FE3" w:rsidRDefault="00CF64FA" w:rsidP="00EA081C">
            <w:pPr>
              <w:pStyle w:val="EEAtableleft"/>
            </w:pPr>
          </w:p>
        </w:tc>
      </w:tr>
      <w:tr w:rsidR="00CF64FA" w:rsidRPr="00BB0FE3" w14:paraId="617DC1B0" w14:textId="77777777" w:rsidTr="004F0DA7">
        <w:trPr>
          <w:trHeight w:val="384"/>
        </w:trPr>
        <w:tc>
          <w:tcPr>
            <w:tcW w:w="1865" w:type="dxa"/>
            <w:vMerge/>
            <w:tcBorders>
              <w:top w:val="single" w:sz="4" w:space="0" w:color="auto"/>
              <w:left w:val="nil"/>
              <w:bottom w:val="single" w:sz="4" w:space="0" w:color="auto"/>
              <w:right w:val="nil"/>
            </w:tcBorders>
            <w:tcMar>
              <w:top w:w="0" w:type="dxa"/>
              <w:left w:w="108" w:type="dxa"/>
              <w:bottom w:w="0" w:type="dxa"/>
              <w:right w:w="108" w:type="dxa"/>
            </w:tcMar>
            <w:vAlign w:val="center"/>
          </w:tcPr>
          <w:p w14:paraId="73DA877B" w14:textId="77777777" w:rsidR="00CF64FA" w:rsidRPr="00BB0FE3" w:rsidRDefault="00CF64FA" w:rsidP="00EA081C">
            <w:pPr>
              <w:pStyle w:val="EEAtableleft"/>
            </w:pPr>
          </w:p>
        </w:tc>
        <w:tc>
          <w:tcPr>
            <w:tcW w:w="2630" w:type="dxa"/>
            <w:gridSpan w:val="2"/>
            <w:tcBorders>
              <w:top w:val="single" w:sz="4" w:space="0" w:color="auto"/>
              <w:left w:val="nil"/>
              <w:bottom w:val="single" w:sz="4" w:space="0" w:color="auto"/>
              <w:right w:val="single" w:sz="4" w:space="0" w:color="auto"/>
            </w:tcBorders>
            <w:tcMar>
              <w:top w:w="0" w:type="dxa"/>
              <w:left w:w="108" w:type="dxa"/>
              <w:bottom w:w="0" w:type="dxa"/>
              <w:right w:w="108" w:type="dxa"/>
            </w:tcMar>
            <w:vAlign w:val="center"/>
          </w:tcPr>
          <w:p w14:paraId="218C6342" w14:textId="11FE5DC6" w:rsidR="00CF64FA" w:rsidRDefault="00CF64FA" w:rsidP="00EA081C">
            <w:pPr>
              <w:pStyle w:val="EEAtableleft"/>
            </w:pPr>
            <w:r w:rsidRPr="00BB0FE3">
              <w:t>Spade diagnosis</w:t>
            </w:r>
          </w:p>
        </w:tc>
        <w:tc>
          <w:tcPr>
            <w:tcW w:w="2593" w:type="dxa"/>
            <w:vMerge/>
            <w:tcBorders>
              <w:top w:val="single" w:sz="4" w:space="0" w:color="auto"/>
              <w:left w:val="single" w:sz="4" w:space="0" w:color="auto"/>
              <w:bottom w:val="single" w:sz="4" w:space="0" w:color="auto"/>
              <w:right w:val="nil"/>
            </w:tcBorders>
            <w:vAlign w:val="center"/>
          </w:tcPr>
          <w:p w14:paraId="21C8B245" w14:textId="77777777" w:rsidR="00CF64FA" w:rsidRDefault="00CF64FA" w:rsidP="00EA081C">
            <w:pPr>
              <w:pStyle w:val="EEAtableleft"/>
            </w:pPr>
          </w:p>
        </w:tc>
        <w:tc>
          <w:tcPr>
            <w:tcW w:w="2410" w:type="dxa"/>
            <w:vMerge/>
            <w:tcBorders>
              <w:top w:val="single" w:sz="4" w:space="0" w:color="auto"/>
              <w:bottom w:val="single" w:sz="4" w:space="0" w:color="auto"/>
            </w:tcBorders>
            <w:tcMar>
              <w:top w:w="0" w:type="dxa"/>
              <w:left w:w="108" w:type="dxa"/>
              <w:bottom w:w="0" w:type="dxa"/>
              <w:right w:w="108" w:type="dxa"/>
            </w:tcMar>
            <w:vAlign w:val="center"/>
          </w:tcPr>
          <w:p w14:paraId="2B6BCBFF" w14:textId="77777777" w:rsidR="00CF64FA" w:rsidRPr="00BB0FE3" w:rsidRDefault="00CF64FA" w:rsidP="00EA081C">
            <w:pPr>
              <w:pStyle w:val="EEAtableleft"/>
            </w:pPr>
          </w:p>
        </w:tc>
      </w:tr>
      <w:tr w:rsidR="00BB0FE3" w:rsidRPr="00CF64FA" w14:paraId="649EAD2E" w14:textId="77777777" w:rsidTr="004F0DA7">
        <w:tc>
          <w:tcPr>
            <w:tcW w:w="9498" w:type="dxa"/>
            <w:gridSpan w:val="5"/>
            <w:tcBorders>
              <w:top w:val="single" w:sz="4" w:space="0" w:color="auto"/>
              <w:left w:val="nil"/>
              <w:bottom w:val="single" w:sz="4" w:space="0" w:color="auto"/>
              <w:right w:val="nil"/>
            </w:tcBorders>
            <w:shd w:val="pct10" w:color="auto" w:fill="auto"/>
            <w:tcMar>
              <w:top w:w="0" w:type="dxa"/>
              <w:left w:w="108" w:type="dxa"/>
              <w:bottom w:w="0" w:type="dxa"/>
              <w:right w:w="108" w:type="dxa"/>
            </w:tcMar>
            <w:hideMark/>
          </w:tcPr>
          <w:p w14:paraId="26B40E8B" w14:textId="77777777" w:rsidR="00BB0FE3" w:rsidRPr="00CF64FA" w:rsidRDefault="00BB0FE3" w:rsidP="00CF64FA">
            <w:pPr>
              <w:pStyle w:val="EEAtableleftbold"/>
            </w:pPr>
            <w:r w:rsidRPr="00CF64FA">
              <w:t>Indicator set II</w:t>
            </w:r>
          </w:p>
        </w:tc>
      </w:tr>
      <w:tr w:rsidR="00BB0FE3" w:rsidRPr="00BB0FE3" w14:paraId="6C8D3DE3" w14:textId="77777777" w:rsidTr="004F0DA7">
        <w:tc>
          <w:tcPr>
            <w:tcW w:w="1865" w:type="dxa"/>
            <w:tcBorders>
              <w:top w:val="single" w:sz="4" w:space="0" w:color="auto"/>
              <w:left w:val="nil"/>
              <w:bottom w:val="single" w:sz="8" w:space="0" w:color="auto"/>
              <w:right w:val="nil"/>
            </w:tcBorders>
            <w:tcMar>
              <w:top w:w="0" w:type="dxa"/>
              <w:left w:w="108" w:type="dxa"/>
              <w:bottom w:w="0" w:type="dxa"/>
              <w:right w:w="108" w:type="dxa"/>
            </w:tcMar>
            <w:hideMark/>
          </w:tcPr>
          <w:p w14:paraId="3666B0E0" w14:textId="77777777" w:rsidR="00BB0FE3" w:rsidRPr="00BB0FE3" w:rsidRDefault="00BB0FE3" w:rsidP="00CF64FA">
            <w:pPr>
              <w:pStyle w:val="EEAtableleft"/>
            </w:pPr>
            <w:r w:rsidRPr="00BB0FE3">
              <w:t>Precompression stress (=internal soil strength)</w:t>
            </w:r>
          </w:p>
        </w:tc>
        <w:tc>
          <w:tcPr>
            <w:tcW w:w="5223" w:type="dxa"/>
            <w:gridSpan w:val="3"/>
            <w:tcBorders>
              <w:top w:val="single" w:sz="4" w:space="0" w:color="auto"/>
              <w:left w:val="nil"/>
              <w:bottom w:val="single" w:sz="8" w:space="0" w:color="auto"/>
              <w:right w:val="nil"/>
            </w:tcBorders>
            <w:tcMar>
              <w:top w:w="0" w:type="dxa"/>
              <w:left w:w="108" w:type="dxa"/>
              <w:bottom w:w="0" w:type="dxa"/>
              <w:right w:w="108" w:type="dxa"/>
            </w:tcMar>
            <w:hideMark/>
          </w:tcPr>
          <w:p w14:paraId="1C9C622F" w14:textId="76AEAFDB" w:rsidR="00BB0FE3" w:rsidRPr="00BB0FE3" w:rsidRDefault="00BB0FE3" w:rsidP="00CF64FA">
            <w:pPr>
              <w:pStyle w:val="EEAtableleft"/>
            </w:pPr>
            <w:r w:rsidRPr="00BB0FE3">
              <w:t>At low precompression stress (= low internal soil strength e.g. because of weak aggregation or wet soil conditions; very low &lt; 30kPa, low 30-60kPa,) are soils very sensitive to further deformation and decline of physical, biological and physico-chemical functions. Medium: 60-90kPa</w:t>
            </w:r>
            <w:proofErr w:type="gramStart"/>
            <w:r w:rsidRPr="00BB0FE3">
              <w:t>,or</w:t>
            </w:r>
            <w:proofErr w:type="gramEnd"/>
            <w:r w:rsidRPr="00BB0FE3">
              <w:t>  high 90-120kPa allow a more sustainable soil management, if the applied stress is below these values at the depth under consideration</w:t>
            </w:r>
            <w:r w:rsidR="006025C2">
              <w:t>.</w:t>
            </w:r>
            <w:r w:rsidRPr="00BB0FE3">
              <w:t xml:space="preserve"> </w:t>
            </w:r>
          </w:p>
        </w:tc>
        <w:tc>
          <w:tcPr>
            <w:tcW w:w="2410" w:type="dxa"/>
            <w:tcBorders>
              <w:top w:val="single" w:sz="4" w:space="0" w:color="auto"/>
              <w:left w:val="nil"/>
              <w:bottom w:val="single" w:sz="8" w:space="0" w:color="auto"/>
              <w:right w:val="nil"/>
            </w:tcBorders>
            <w:tcMar>
              <w:top w:w="0" w:type="dxa"/>
              <w:left w:w="108" w:type="dxa"/>
              <w:bottom w:w="0" w:type="dxa"/>
              <w:right w:w="108" w:type="dxa"/>
            </w:tcMar>
            <w:hideMark/>
          </w:tcPr>
          <w:p w14:paraId="366F72A0" w14:textId="77777777" w:rsidR="00BB0FE3" w:rsidRPr="00BB0FE3" w:rsidRDefault="00BB0FE3" w:rsidP="00CF64FA">
            <w:pPr>
              <w:pStyle w:val="EEAtableleft"/>
            </w:pPr>
            <w:r w:rsidRPr="00BB0FE3">
              <w:t>All soils, but especially loamy, silty and clayey soils</w:t>
            </w:r>
          </w:p>
        </w:tc>
      </w:tr>
      <w:tr w:rsidR="00BB0FE3" w:rsidRPr="00BB0FE3" w14:paraId="5D97E469" w14:textId="77777777" w:rsidTr="00CF64FA">
        <w:tc>
          <w:tcPr>
            <w:tcW w:w="1865" w:type="dxa"/>
            <w:tcBorders>
              <w:top w:val="nil"/>
              <w:left w:val="nil"/>
              <w:bottom w:val="single" w:sz="8" w:space="0" w:color="auto"/>
              <w:right w:val="nil"/>
            </w:tcBorders>
            <w:tcMar>
              <w:top w:w="0" w:type="dxa"/>
              <w:left w:w="108" w:type="dxa"/>
              <w:bottom w:w="0" w:type="dxa"/>
              <w:right w:w="108" w:type="dxa"/>
            </w:tcMar>
            <w:hideMark/>
          </w:tcPr>
          <w:p w14:paraId="018C1E89" w14:textId="77777777" w:rsidR="00BB0FE3" w:rsidRPr="00BB0FE3" w:rsidRDefault="00BB0FE3" w:rsidP="00CF64FA">
            <w:pPr>
              <w:pStyle w:val="EEAtableleft"/>
            </w:pPr>
            <w:r w:rsidRPr="00BB0FE3">
              <w:t>Ratio of precompression stress and actual stress applied</w:t>
            </w:r>
          </w:p>
        </w:tc>
        <w:tc>
          <w:tcPr>
            <w:tcW w:w="5223" w:type="dxa"/>
            <w:gridSpan w:val="3"/>
            <w:tcBorders>
              <w:top w:val="nil"/>
              <w:left w:val="nil"/>
              <w:bottom w:val="single" w:sz="8" w:space="0" w:color="auto"/>
              <w:right w:val="nil"/>
            </w:tcBorders>
            <w:tcMar>
              <w:top w:w="0" w:type="dxa"/>
              <w:left w:w="108" w:type="dxa"/>
              <w:bottom w:w="0" w:type="dxa"/>
              <w:right w:w="108" w:type="dxa"/>
            </w:tcMar>
            <w:hideMark/>
          </w:tcPr>
          <w:p w14:paraId="777C24FD" w14:textId="269D6DD4" w:rsidR="00BB0FE3" w:rsidRPr="00BB0FE3" w:rsidRDefault="00BB0FE3" w:rsidP="00CF64FA">
            <w:pPr>
              <w:pStyle w:val="EEAtableleft"/>
            </w:pPr>
            <w:r w:rsidRPr="00BB0FE3">
              <w:t xml:space="preserve">Values &gt; 1.2 define rigid soil structure conditions with no risk to compaction processes, while </w:t>
            </w:r>
            <w:r w:rsidRPr="00BB0FE3">
              <w:rPr>
                <w:u w:val="single"/>
              </w:rPr>
              <w:t>values &lt; 0.8 define structure as irreversibly deformable.</w:t>
            </w:r>
            <w:r w:rsidRPr="00BB0FE3">
              <w:t xml:space="preserve"> Values in between classify soil properties and functions as very susceptible for further soil deformation</w:t>
            </w:r>
            <w:r w:rsidR="006025C2">
              <w:t>.</w:t>
            </w:r>
          </w:p>
        </w:tc>
        <w:tc>
          <w:tcPr>
            <w:tcW w:w="2410" w:type="dxa"/>
            <w:tcBorders>
              <w:top w:val="nil"/>
              <w:left w:val="nil"/>
              <w:bottom w:val="single" w:sz="8" w:space="0" w:color="auto"/>
              <w:right w:val="nil"/>
            </w:tcBorders>
            <w:tcMar>
              <w:top w:w="0" w:type="dxa"/>
              <w:left w:w="108" w:type="dxa"/>
              <w:bottom w:w="0" w:type="dxa"/>
              <w:right w:w="108" w:type="dxa"/>
            </w:tcMar>
            <w:hideMark/>
          </w:tcPr>
          <w:p w14:paraId="70A3F917" w14:textId="77777777" w:rsidR="00BB0FE3" w:rsidRPr="00BB0FE3" w:rsidRDefault="00BB0FE3" w:rsidP="00CF64FA">
            <w:pPr>
              <w:pStyle w:val="EEAtableleft"/>
            </w:pPr>
            <w:r w:rsidRPr="00BB0FE3">
              <w:t xml:space="preserve">All soils, but especially loamy, silty and clayey soils, at high water content and weak aggregation </w:t>
            </w:r>
          </w:p>
        </w:tc>
      </w:tr>
      <w:tr w:rsidR="00BB0FE3" w:rsidRPr="00BB0FE3" w14:paraId="35CBDE3A" w14:textId="77777777" w:rsidTr="00CF64FA">
        <w:tc>
          <w:tcPr>
            <w:tcW w:w="1865" w:type="dxa"/>
            <w:tcBorders>
              <w:top w:val="nil"/>
              <w:left w:val="nil"/>
              <w:bottom w:val="single" w:sz="8" w:space="0" w:color="auto"/>
              <w:right w:val="nil"/>
            </w:tcBorders>
            <w:tcMar>
              <w:top w:w="0" w:type="dxa"/>
              <w:left w:w="108" w:type="dxa"/>
              <w:bottom w:w="0" w:type="dxa"/>
              <w:right w:w="108" w:type="dxa"/>
            </w:tcMar>
            <w:hideMark/>
          </w:tcPr>
          <w:p w14:paraId="27227021" w14:textId="77777777" w:rsidR="00BB0FE3" w:rsidRPr="00BB0FE3" w:rsidRDefault="00BB0FE3" w:rsidP="00CF64FA">
            <w:pPr>
              <w:pStyle w:val="EEAtableleft"/>
            </w:pPr>
            <w:r w:rsidRPr="00BB0FE3">
              <w:t>Shear strength</w:t>
            </w:r>
          </w:p>
        </w:tc>
        <w:tc>
          <w:tcPr>
            <w:tcW w:w="5223" w:type="dxa"/>
            <w:gridSpan w:val="3"/>
            <w:tcBorders>
              <w:top w:val="nil"/>
              <w:left w:val="nil"/>
              <w:bottom w:val="single" w:sz="8" w:space="0" w:color="auto"/>
              <w:right w:val="nil"/>
            </w:tcBorders>
            <w:tcMar>
              <w:top w:w="0" w:type="dxa"/>
              <w:left w:w="108" w:type="dxa"/>
              <w:bottom w:w="0" w:type="dxa"/>
              <w:right w:w="108" w:type="dxa"/>
            </w:tcMar>
            <w:hideMark/>
          </w:tcPr>
          <w:p w14:paraId="6F346F9D" w14:textId="008B2EDE" w:rsidR="00BB0FE3" w:rsidRPr="00BB0FE3" w:rsidRDefault="00BB0FE3" w:rsidP="00CF64FA">
            <w:pPr>
              <w:pStyle w:val="EEAtableleft"/>
            </w:pPr>
            <w:r w:rsidRPr="00BB0FE3">
              <w:t xml:space="preserve">Shear forces due to wheeling result in smearing: the shear strength is smaller for less aggregated </w:t>
            </w:r>
            <w:r w:rsidR="00972E53" w:rsidRPr="00BB0FE3">
              <w:t>soils and</w:t>
            </w:r>
            <w:r w:rsidRPr="00BB0FE3">
              <w:t xml:space="preserve"> decreases with increasing water content. Shearing is more pronounced at higher slip, especially when soils are moist.</w:t>
            </w:r>
          </w:p>
        </w:tc>
        <w:tc>
          <w:tcPr>
            <w:tcW w:w="2410" w:type="dxa"/>
            <w:tcBorders>
              <w:top w:val="nil"/>
              <w:left w:val="nil"/>
              <w:bottom w:val="single" w:sz="8" w:space="0" w:color="auto"/>
              <w:right w:val="nil"/>
            </w:tcBorders>
            <w:tcMar>
              <w:top w:w="0" w:type="dxa"/>
              <w:left w:w="108" w:type="dxa"/>
              <w:bottom w:w="0" w:type="dxa"/>
              <w:right w:w="108" w:type="dxa"/>
            </w:tcMar>
            <w:hideMark/>
          </w:tcPr>
          <w:p w14:paraId="49AABAC4" w14:textId="77777777" w:rsidR="00BB0FE3" w:rsidRPr="00BB0FE3" w:rsidRDefault="00BB0FE3" w:rsidP="00CF64FA">
            <w:pPr>
              <w:pStyle w:val="EEAtableleft"/>
            </w:pPr>
            <w:r w:rsidRPr="00BB0FE3">
              <w:t>All soils, but especially loamy, silty and clayey soils, at high water content and weak aggregation</w:t>
            </w:r>
          </w:p>
        </w:tc>
      </w:tr>
      <w:tr w:rsidR="00CF64FA" w:rsidRPr="00BB0FE3" w14:paraId="348E08F4" w14:textId="77777777" w:rsidTr="00AC4033">
        <w:tc>
          <w:tcPr>
            <w:tcW w:w="1878" w:type="dxa"/>
            <w:gridSpan w:val="2"/>
            <w:tcBorders>
              <w:top w:val="nil"/>
              <w:left w:val="nil"/>
              <w:bottom w:val="single" w:sz="8" w:space="0" w:color="auto"/>
              <w:right w:val="nil"/>
            </w:tcBorders>
            <w:tcMar>
              <w:top w:w="0" w:type="dxa"/>
              <w:left w:w="108" w:type="dxa"/>
              <w:bottom w:w="0" w:type="dxa"/>
              <w:right w:w="108" w:type="dxa"/>
            </w:tcMar>
            <w:vAlign w:val="center"/>
            <w:hideMark/>
          </w:tcPr>
          <w:p w14:paraId="2F16E975" w14:textId="77777777" w:rsidR="00CF64FA" w:rsidRPr="00BB0FE3" w:rsidRDefault="00CF64FA" w:rsidP="00AC4033">
            <w:pPr>
              <w:pStyle w:val="EEAtableleft"/>
            </w:pPr>
            <w:r w:rsidRPr="00BB0FE3">
              <w:t xml:space="preserve">Saturated /unsaturated hydraulic conductivity </w:t>
            </w:r>
          </w:p>
        </w:tc>
        <w:tc>
          <w:tcPr>
            <w:tcW w:w="5210" w:type="dxa"/>
            <w:gridSpan w:val="2"/>
            <w:tcBorders>
              <w:top w:val="nil"/>
              <w:left w:val="nil"/>
              <w:bottom w:val="single" w:sz="8" w:space="0" w:color="auto"/>
              <w:right w:val="nil"/>
            </w:tcBorders>
            <w:tcMar>
              <w:top w:w="0" w:type="dxa"/>
              <w:left w:w="108" w:type="dxa"/>
              <w:bottom w:w="0" w:type="dxa"/>
              <w:right w:w="108" w:type="dxa"/>
            </w:tcMar>
            <w:vAlign w:val="center"/>
            <w:hideMark/>
          </w:tcPr>
          <w:p w14:paraId="1D070B77" w14:textId="73CF6C4C" w:rsidR="00CF64FA" w:rsidRPr="00BB0FE3" w:rsidRDefault="00CF64FA" w:rsidP="00AC4033">
            <w:pPr>
              <w:pStyle w:val="EEAtableleft"/>
            </w:pPr>
            <w:r w:rsidRPr="00BB0FE3">
              <w:t>Low conductivity is typical for stagnic soil conditions: delayed percolation impacts soil aeration and groundwater accumulation as well as enhanced surface runoff (critical values are defined below 10cm/d)</w:t>
            </w:r>
          </w:p>
        </w:tc>
        <w:tc>
          <w:tcPr>
            <w:tcW w:w="2410" w:type="dxa"/>
            <w:tcBorders>
              <w:top w:val="nil"/>
              <w:left w:val="nil"/>
              <w:bottom w:val="single" w:sz="8" w:space="0" w:color="auto"/>
              <w:right w:val="nil"/>
            </w:tcBorders>
            <w:tcMar>
              <w:top w:w="0" w:type="dxa"/>
              <w:left w:w="108" w:type="dxa"/>
              <w:bottom w:w="0" w:type="dxa"/>
              <w:right w:w="108" w:type="dxa"/>
            </w:tcMar>
            <w:vAlign w:val="center"/>
          </w:tcPr>
          <w:p w14:paraId="324FA587" w14:textId="164ABA59" w:rsidR="00CF64FA" w:rsidRPr="00BB0FE3" w:rsidRDefault="00CF64FA" w:rsidP="00AC4033">
            <w:pPr>
              <w:pStyle w:val="EEAtableleft"/>
            </w:pPr>
          </w:p>
        </w:tc>
      </w:tr>
      <w:tr w:rsidR="00CF64FA" w:rsidRPr="00BB0FE3" w14:paraId="1A1DDE25" w14:textId="77777777" w:rsidTr="00AC4033">
        <w:trPr>
          <w:trHeight w:val="526"/>
        </w:trPr>
        <w:tc>
          <w:tcPr>
            <w:tcW w:w="1878" w:type="dxa"/>
            <w:gridSpan w:val="2"/>
            <w:vMerge w:val="restart"/>
            <w:tcBorders>
              <w:top w:val="nil"/>
              <w:left w:val="nil"/>
              <w:right w:val="nil"/>
            </w:tcBorders>
            <w:tcMar>
              <w:top w:w="0" w:type="dxa"/>
              <w:left w:w="108" w:type="dxa"/>
              <w:bottom w:w="0" w:type="dxa"/>
              <w:right w:w="108" w:type="dxa"/>
            </w:tcMar>
            <w:vAlign w:val="center"/>
          </w:tcPr>
          <w:p w14:paraId="6919158F" w14:textId="0F528FEB" w:rsidR="00CF64FA" w:rsidRPr="00BB0FE3" w:rsidRDefault="00CF64FA" w:rsidP="00CF64FA">
            <w:pPr>
              <w:pStyle w:val="EEAtableleft"/>
            </w:pPr>
            <w:r w:rsidRPr="00BB0FE3">
              <w:lastRenderedPageBreak/>
              <w:t>Air permeability and oxygen diffusion</w:t>
            </w:r>
          </w:p>
        </w:tc>
        <w:tc>
          <w:tcPr>
            <w:tcW w:w="5210" w:type="dxa"/>
            <w:gridSpan w:val="2"/>
            <w:tcBorders>
              <w:top w:val="nil"/>
              <w:left w:val="nil"/>
              <w:bottom w:val="single" w:sz="4" w:space="0" w:color="auto"/>
              <w:right w:val="nil"/>
            </w:tcBorders>
            <w:tcMar>
              <w:top w:w="0" w:type="dxa"/>
              <w:left w:w="108" w:type="dxa"/>
              <w:bottom w:w="0" w:type="dxa"/>
              <w:right w:w="108" w:type="dxa"/>
            </w:tcMar>
            <w:vAlign w:val="center"/>
          </w:tcPr>
          <w:p w14:paraId="025CFB86" w14:textId="27153643" w:rsidR="00CF64FA" w:rsidRPr="00BB0FE3" w:rsidRDefault="00CF64FA" w:rsidP="00CF64FA">
            <w:pPr>
              <w:pStyle w:val="EEAtableleft"/>
            </w:pPr>
            <w:r w:rsidRPr="00BB0FE3">
              <w:t>Low air fluxes coincide with retarded gas exchange and the formation of anoxic conditions through CH</w:t>
            </w:r>
            <w:r w:rsidRPr="00BB0FE3">
              <w:rPr>
                <w:vertAlign w:val="subscript"/>
              </w:rPr>
              <w:t>4</w:t>
            </w:r>
            <w:r w:rsidRPr="00BB0FE3">
              <w:t xml:space="preserve"> or N</w:t>
            </w:r>
            <w:r w:rsidRPr="00BB0FE3">
              <w:rPr>
                <w:vertAlign w:val="subscript"/>
              </w:rPr>
              <w:t>2</w:t>
            </w:r>
            <w:r w:rsidRPr="00BB0FE3">
              <w:t>O formation</w:t>
            </w:r>
          </w:p>
        </w:tc>
        <w:tc>
          <w:tcPr>
            <w:tcW w:w="2410" w:type="dxa"/>
            <w:vMerge w:val="restart"/>
            <w:tcBorders>
              <w:top w:val="nil"/>
              <w:left w:val="nil"/>
              <w:right w:val="nil"/>
            </w:tcBorders>
            <w:tcMar>
              <w:top w:w="0" w:type="dxa"/>
              <w:left w:w="108" w:type="dxa"/>
              <w:bottom w:w="0" w:type="dxa"/>
              <w:right w:w="108" w:type="dxa"/>
            </w:tcMar>
            <w:vAlign w:val="center"/>
          </w:tcPr>
          <w:p w14:paraId="4429FEB9" w14:textId="71AEFF46" w:rsidR="00CF64FA" w:rsidRPr="00BB0FE3" w:rsidRDefault="00CF64FA" w:rsidP="00CF64FA">
            <w:pPr>
              <w:pStyle w:val="EEAtableleft"/>
            </w:pPr>
            <w:r w:rsidRPr="00BB0FE3">
              <w:t>All soils, but especially loamy, silty and clayey soils, at high water content, and weak aggregation due to tillage or soil management</w:t>
            </w:r>
          </w:p>
        </w:tc>
      </w:tr>
      <w:tr w:rsidR="00CF64FA" w:rsidRPr="00BB0FE3" w14:paraId="23B76769" w14:textId="77777777" w:rsidTr="00CF64FA">
        <w:trPr>
          <w:trHeight w:val="380"/>
        </w:trPr>
        <w:tc>
          <w:tcPr>
            <w:tcW w:w="1878" w:type="dxa"/>
            <w:gridSpan w:val="2"/>
            <w:vMerge/>
            <w:tcBorders>
              <w:left w:val="nil"/>
              <w:right w:val="nil"/>
            </w:tcBorders>
            <w:tcMar>
              <w:top w:w="0" w:type="dxa"/>
              <w:left w:w="108" w:type="dxa"/>
              <w:bottom w:w="0" w:type="dxa"/>
              <w:right w:w="108" w:type="dxa"/>
            </w:tcMar>
            <w:vAlign w:val="center"/>
          </w:tcPr>
          <w:p w14:paraId="77B95200" w14:textId="77777777" w:rsidR="00CF64FA" w:rsidRPr="00BB0FE3" w:rsidRDefault="00CF64FA" w:rsidP="00CF64FA">
            <w:pPr>
              <w:pStyle w:val="EEAtableleft"/>
            </w:pPr>
          </w:p>
        </w:tc>
        <w:tc>
          <w:tcPr>
            <w:tcW w:w="5210" w:type="dxa"/>
            <w:gridSpan w:val="2"/>
            <w:tcBorders>
              <w:top w:val="single" w:sz="4" w:space="0" w:color="auto"/>
              <w:left w:val="nil"/>
              <w:bottom w:val="single" w:sz="4" w:space="0" w:color="auto"/>
              <w:right w:val="nil"/>
            </w:tcBorders>
            <w:tcMar>
              <w:top w:w="0" w:type="dxa"/>
              <w:left w:w="108" w:type="dxa"/>
              <w:bottom w:w="0" w:type="dxa"/>
              <w:right w:w="108" w:type="dxa"/>
            </w:tcMar>
            <w:vAlign w:val="center"/>
          </w:tcPr>
          <w:p w14:paraId="1B8BB9DF" w14:textId="759E679E" w:rsidR="00CF64FA" w:rsidRDefault="00CF64FA" w:rsidP="00CF64FA">
            <w:pPr>
              <w:pStyle w:val="EEAtableleft"/>
            </w:pPr>
            <w:r w:rsidRPr="00BB0FE3">
              <w:t>Critical values for air permeability &lt;12* 10</w:t>
            </w:r>
            <w:r w:rsidRPr="00BB0FE3">
              <w:rPr>
                <w:vertAlign w:val="superscript"/>
              </w:rPr>
              <w:t>-4</w:t>
            </w:r>
            <w:r w:rsidRPr="00BB0FE3">
              <w:t xml:space="preserve"> cm/s</w:t>
            </w:r>
          </w:p>
        </w:tc>
        <w:tc>
          <w:tcPr>
            <w:tcW w:w="2410" w:type="dxa"/>
            <w:vMerge/>
            <w:tcBorders>
              <w:left w:val="nil"/>
              <w:right w:val="nil"/>
            </w:tcBorders>
            <w:tcMar>
              <w:top w:w="0" w:type="dxa"/>
              <w:left w:w="108" w:type="dxa"/>
              <w:bottom w:w="0" w:type="dxa"/>
              <w:right w:w="108" w:type="dxa"/>
            </w:tcMar>
            <w:vAlign w:val="center"/>
          </w:tcPr>
          <w:p w14:paraId="5A665AD4" w14:textId="77777777" w:rsidR="00CF64FA" w:rsidRPr="00BB0FE3" w:rsidRDefault="00CF64FA" w:rsidP="00CF64FA">
            <w:pPr>
              <w:pStyle w:val="EEAtableleft"/>
            </w:pPr>
          </w:p>
        </w:tc>
      </w:tr>
      <w:tr w:rsidR="00CF64FA" w:rsidRPr="00BB0FE3" w14:paraId="04AF9BD4" w14:textId="77777777" w:rsidTr="00CF64FA">
        <w:trPr>
          <w:trHeight w:val="414"/>
        </w:trPr>
        <w:tc>
          <w:tcPr>
            <w:tcW w:w="1878" w:type="dxa"/>
            <w:gridSpan w:val="2"/>
            <w:vMerge/>
            <w:tcBorders>
              <w:left w:val="nil"/>
              <w:bottom w:val="single" w:sz="8" w:space="0" w:color="auto"/>
              <w:right w:val="nil"/>
            </w:tcBorders>
            <w:tcMar>
              <w:top w:w="0" w:type="dxa"/>
              <w:left w:w="108" w:type="dxa"/>
              <w:bottom w:w="0" w:type="dxa"/>
              <w:right w:w="108" w:type="dxa"/>
            </w:tcMar>
            <w:vAlign w:val="center"/>
          </w:tcPr>
          <w:p w14:paraId="0B3452AD" w14:textId="77777777" w:rsidR="00CF64FA" w:rsidRPr="00BB0FE3" w:rsidRDefault="00CF64FA" w:rsidP="00CF64FA">
            <w:pPr>
              <w:pStyle w:val="EEAtableleft"/>
            </w:pPr>
          </w:p>
        </w:tc>
        <w:tc>
          <w:tcPr>
            <w:tcW w:w="5210" w:type="dxa"/>
            <w:gridSpan w:val="2"/>
            <w:tcBorders>
              <w:top w:val="single" w:sz="4" w:space="0" w:color="auto"/>
              <w:left w:val="nil"/>
              <w:bottom w:val="single" w:sz="8" w:space="0" w:color="auto"/>
              <w:right w:val="nil"/>
            </w:tcBorders>
            <w:tcMar>
              <w:top w:w="0" w:type="dxa"/>
              <w:left w:w="108" w:type="dxa"/>
              <w:bottom w:w="0" w:type="dxa"/>
              <w:right w:w="108" w:type="dxa"/>
            </w:tcMar>
            <w:vAlign w:val="center"/>
          </w:tcPr>
          <w:p w14:paraId="71546F44" w14:textId="52728D5A" w:rsidR="00CF64FA" w:rsidRDefault="00CF64FA" w:rsidP="00CF64FA">
            <w:pPr>
              <w:pStyle w:val="EEAtableleft"/>
            </w:pPr>
            <w:r w:rsidRPr="00BB0FE3">
              <w:t>diffusion coefficient (D</w:t>
            </w:r>
            <w:r w:rsidRPr="00BB0FE3">
              <w:rPr>
                <w:vertAlign w:val="subscript"/>
              </w:rPr>
              <w:t>s</w:t>
            </w:r>
            <w:r w:rsidRPr="00BB0FE3">
              <w:t>) &lt; 1.5 10</w:t>
            </w:r>
            <w:r w:rsidRPr="00BB0FE3">
              <w:rPr>
                <w:vertAlign w:val="superscript"/>
              </w:rPr>
              <w:t>-8</w:t>
            </w:r>
            <w:r w:rsidRPr="00BB0FE3">
              <w:t xml:space="preserve"> m</w:t>
            </w:r>
            <w:r w:rsidRPr="00BB0FE3">
              <w:rPr>
                <w:vertAlign w:val="superscript"/>
              </w:rPr>
              <w:t>2</w:t>
            </w:r>
            <w:r w:rsidRPr="00BB0FE3">
              <w:t xml:space="preserve"> s</w:t>
            </w:r>
            <w:r w:rsidRPr="00BB0FE3">
              <w:rPr>
                <w:vertAlign w:val="superscript"/>
              </w:rPr>
              <w:t xml:space="preserve">-1 </w:t>
            </w:r>
            <w:r w:rsidRPr="00BB0FE3">
              <w:t> (Bakker et al. 1987)</w:t>
            </w:r>
          </w:p>
        </w:tc>
        <w:tc>
          <w:tcPr>
            <w:tcW w:w="2410" w:type="dxa"/>
            <w:vMerge/>
            <w:tcBorders>
              <w:left w:val="nil"/>
              <w:bottom w:val="single" w:sz="8" w:space="0" w:color="auto"/>
              <w:right w:val="nil"/>
            </w:tcBorders>
            <w:tcMar>
              <w:top w:w="0" w:type="dxa"/>
              <w:left w:w="108" w:type="dxa"/>
              <w:bottom w:w="0" w:type="dxa"/>
              <w:right w:w="108" w:type="dxa"/>
            </w:tcMar>
            <w:vAlign w:val="center"/>
          </w:tcPr>
          <w:p w14:paraId="4F3D7B4A" w14:textId="77777777" w:rsidR="00CF64FA" w:rsidRPr="00BB0FE3" w:rsidRDefault="00CF64FA" w:rsidP="00CF64FA">
            <w:pPr>
              <w:pStyle w:val="EEAtableleft"/>
            </w:pPr>
          </w:p>
        </w:tc>
      </w:tr>
    </w:tbl>
    <w:p w14:paraId="4782EF73" w14:textId="641E0D4F" w:rsidR="00BB0FE3" w:rsidRDefault="007D3906" w:rsidP="007D3906">
      <w:pPr>
        <w:pStyle w:val="FormatvorlageEEATabfootnoteLinks0cmErsteZeile0cm"/>
        <w:rPr>
          <w:rFonts w:eastAsia="Calibri"/>
        </w:rPr>
      </w:pPr>
      <w:r w:rsidRPr="007D3906">
        <w:rPr>
          <w:rFonts w:eastAsia="Calibri"/>
          <w:b/>
        </w:rPr>
        <w:t>Source:</w:t>
      </w:r>
      <w:r w:rsidRPr="00C134B4">
        <w:rPr>
          <w:rFonts w:eastAsia="Calibri"/>
        </w:rPr>
        <w:t xml:space="preserve"> </w:t>
      </w:r>
      <w:r>
        <w:rPr>
          <w:rFonts w:eastAsia="Calibri"/>
        </w:rPr>
        <w:tab/>
      </w:r>
      <w:r w:rsidRPr="00C134B4">
        <w:rPr>
          <w:rFonts w:eastAsia="Calibri"/>
        </w:rPr>
        <w:t>Lebert et al. (2007), Huber et al. (2008), supplemented with additional information based on the review in this report</w:t>
      </w:r>
    </w:p>
    <w:p w14:paraId="6FF17C31" w14:textId="77777777" w:rsidR="002D189C" w:rsidRPr="00BB0FE3" w:rsidRDefault="002D189C" w:rsidP="007D3906">
      <w:pPr>
        <w:pStyle w:val="FormatvorlageEEATabfootnoteLinks0cmErsteZeile0cm"/>
        <w:rPr>
          <w:sz w:val="22"/>
          <w:szCs w:val="22"/>
        </w:rPr>
      </w:pPr>
    </w:p>
    <w:p w14:paraId="5C60B3C5" w14:textId="403FCD1D" w:rsidR="000C097B" w:rsidRPr="00BB0FE3" w:rsidRDefault="000C097B" w:rsidP="009C0F69">
      <w:pPr>
        <w:pStyle w:val="berschrift2"/>
        <w:spacing w:after="120"/>
        <w:rPr>
          <w:rFonts w:asciiTheme="majorHAnsi" w:hAnsiTheme="majorHAnsi" w:cstheme="majorHAnsi"/>
          <w:szCs w:val="22"/>
          <w:lang w:val="en-US"/>
        </w:rPr>
      </w:pPr>
      <w:bookmarkStart w:id="395" w:name="_Toc83997401"/>
      <w:bookmarkStart w:id="396" w:name="_Toc57235171"/>
      <w:bookmarkStart w:id="397" w:name="_Toc59032877"/>
      <w:r w:rsidRPr="000C097B">
        <w:rPr>
          <w:rFonts w:asciiTheme="majorHAnsi" w:hAnsiTheme="majorHAnsi" w:cstheme="majorHAnsi"/>
          <w:szCs w:val="22"/>
          <w:lang w:val="en-US"/>
        </w:rPr>
        <w:t>Tools to monitor soil compaction</w:t>
      </w:r>
      <w:bookmarkEnd w:id="395"/>
    </w:p>
    <w:p w14:paraId="1067A4EE" w14:textId="5942F942" w:rsidR="00BB0FE3" w:rsidRPr="00BB0FE3" w:rsidRDefault="00BB0FE3" w:rsidP="004C089C">
      <w:bookmarkStart w:id="398" w:name="_Toc57235172"/>
      <w:bookmarkEnd w:id="396"/>
      <w:bookmarkEnd w:id="397"/>
      <w:r w:rsidRPr="00BB0FE3">
        <w:t xml:space="preserve">The following monitoring methods enable the evaluation of soil compaction, its intensity and distribution in space and depth. Besides a pragmatic tool is presented using indicators which can be determined or </w:t>
      </w:r>
      <w:r w:rsidRPr="005F35CC">
        <w:t xml:space="preserve">obtained from national and internationally available data bases, the actual soil functional behaviour to mechanical stresses can be best assessed using in situ and lab measurements or derived pedotransfer functions, which are available for state, national or EU regions like </w:t>
      </w:r>
      <w:r w:rsidR="004A4EFA" w:rsidRPr="005F35CC">
        <w:t>Ad hoc AG Boden</w:t>
      </w:r>
      <w:r w:rsidRPr="005F35CC">
        <w:t xml:space="preserve"> (2005), Wösten et al.</w:t>
      </w:r>
      <w:r w:rsidR="004A4EFA" w:rsidRPr="005F35CC">
        <w:t>,</w:t>
      </w:r>
      <w:r w:rsidRPr="005F35CC">
        <w:t xml:space="preserve"> </w:t>
      </w:r>
      <w:r w:rsidR="004A4EFA" w:rsidRPr="005F35CC">
        <w:t>(</w:t>
      </w:r>
      <w:r w:rsidRPr="005F35CC">
        <w:t>1999</w:t>
      </w:r>
      <w:r w:rsidR="004A4EFA" w:rsidRPr="005F35CC">
        <w:t>)</w:t>
      </w:r>
      <w:r w:rsidRPr="005F35CC">
        <w:t>, Horn et al.</w:t>
      </w:r>
      <w:r w:rsidR="004A4EFA" w:rsidRPr="005F35CC">
        <w:t>,</w:t>
      </w:r>
      <w:r w:rsidRPr="005F35CC">
        <w:t xml:space="preserve"> </w:t>
      </w:r>
      <w:r w:rsidR="004A4EFA" w:rsidRPr="005F35CC">
        <w:t>(</w:t>
      </w:r>
      <w:r w:rsidRPr="005F35CC">
        <w:t>2005</w:t>
      </w:r>
      <w:r w:rsidR="004A4EFA" w:rsidRPr="005F35CC">
        <w:t>)</w:t>
      </w:r>
      <w:r w:rsidRPr="005F35CC">
        <w:t xml:space="preserve">, LUKAS </w:t>
      </w:r>
      <w:r w:rsidR="00F24272" w:rsidRPr="005F35CC">
        <w:t xml:space="preserve">Soil </w:t>
      </w:r>
      <w:r w:rsidRPr="005F35CC">
        <w:t>data base). They can be</w:t>
      </w:r>
      <w:r w:rsidRPr="00BB0FE3">
        <w:t xml:space="preserve"> used as input parameters for process-based models, which include more detailed mechanical properties. </w:t>
      </w:r>
    </w:p>
    <w:p w14:paraId="732F0A10" w14:textId="77777777" w:rsidR="00BB0FE3" w:rsidRPr="00BB0FE3" w:rsidRDefault="00BB0FE3" w:rsidP="004C089C"/>
    <w:p w14:paraId="1385C701" w14:textId="450EB546" w:rsidR="009D5972" w:rsidRPr="009D5972" w:rsidRDefault="000C097B" w:rsidP="002C488D">
      <w:pPr>
        <w:pStyle w:val="berschrift2"/>
        <w:numPr>
          <w:ilvl w:val="2"/>
          <w:numId w:val="3"/>
        </w:numPr>
        <w:spacing w:after="120"/>
        <w:rPr>
          <w:rStyle w:val="FormatvorlageFormatvorlageberschrift3Zchn1"/>
          <w:b/>
          <w:bCs/>
        </w:rPr>
      </w:pPr>
      <w:bookmarkStart w:id="399" w:name="_Toc83997402"/>
      <w:bookmarkEnd w:id="398"/>
      <w:r w:rsidRPr="000C097B">
        <w:rPr>
          <w:rStyle w:val="FormatvorlageFormatvorlageberschrift3Zchn1"/>
        </w:rPr>
        <w:t>Soil compaction models</w:t>
      </w:r>
      <w:bookmarkEnd w:id="399"/>
    </w:p>
    <w:p w14:paraId="19512853" w14:textId="0B578287" w:rsidR="00BB0FE3" w:rsidRDefault="00BB0FE3" w:rsidP="004C089C">
      <w:r w:rsidRPr="00BB0FE3">
        <w:t xml:space="preserve">The prediction of soil compaction can be approached by several models, which use soil parameters and indicators to directly describe the mechanical soil properties and related soil processes and functioning. </w:t>
      </w:r>
      <w:r w:rsidR="00F53111">
        <w:fldChar w:fldCharType="begin"/>
      </w:r>
      <w:r w:rsidR="00F53111">
        <w:instrText xml:space="preserve"> REF _Ref64646901 \h </w:instrText>
      </w:r>
      <w:r w:rsidR="00F53111">
        <w:fldChar w:fldCharType="separate"/>
      </w:r>
      <w:r w:rsidR="0067767C">
        <w:t xml:space="preserve">Table </w:t>
      </w:r>
      <w:r w:rsidR="0067767C">
        <w:rPr>
          <w:noProof/>
        </w:rPr>
        <w:t>8</w:t>
      </w:r>
      <w:r w:rsidR="0067767C">
        <w:noBreakHyphen/>
      </w:r>
      <w:r w:rsidR="0067767C">
        <w:rPr>
          <w:noProof/>
        </w:rPr>
        <w:t>5</w:t>
      </w:r>
      <w:r w:rsidR="00F53111">
        <w:fldChar w:fldCharType="end"/>
      </w:r>
      <w:r w:rsidRPr="00BB0FE3">
        <w:t xml:space="preserve"> provides an overview of the most common models. </w:t>
      </w:r>
    </w:p>
    <w:p w14:paraId="49CBBEE3" w14:textId="77777777" w:rsidR="00F53111" w:rsidRPr="00BB0FE3" w:rsidRDefault="00F53111" w:rsidP="004C089C"/>
    <w:p w14:paraId="5984C1F5" w14:textId="77777777" w:rsidR="00BB0FE3" w:rsidRPr="00BB0FE3" w:rsidRDefault="00BB0FE3" w:rsidP="004C089C">
      <w:r w:rsidRPr="00BB0FE3">
        <w:t xml:space="preserve">The FEM coupled process model requires well defined soil mechanical data like bulk modulus, shear modulus or shear strength, which need to be derived site specific either from very sophisticated triaxial tests or derived from stress strain and shear strain curves. It predicts stress distribution as a function of soil strength as well as the soil deformation and changes in pore continuity due to stress propagation.  </w:t>
      </w:r>
    </w:p>
    <w:p w14:paraId="5511AA9F" w14:textId="77777777" w:rsidR="00BB0FE3" w:rsidRPr="00BB0FE3" w:rsidRDefault="00BB0FE3" w:rsidP="004C089C">
      <w:r w:rsidRPr="00BB0FE3">
        <w:t xml:space="preserve">The following models are all restricted to predict soil stresses under wheel loads including the 3D stress propagation but the consequences of the applied stresses on soil functions are not in the foci. </w:t>
      </w:r>
    </w:p>
    <w:p w14:paraId="21CB6EB4" w14:textId="77777777" w:rsidR="00BB0FE3" w:rsidRPr="00BB0FE3" w:rsidRDefault="00BB0FE3" w:rsidP="00C37F35">
      <w:pPr>
        <w:spacing w:before="120"/>
      </w:pPr>
    </w:p>
    <w:p w14:paraId="1462BA2C" w14:textId="32C7A713" w:rsidR="00BB0FE3" w:rsidRPr="00BB0FE3" w:rsidRDefault="007066D9" w:rsidP="00BB0FE3">
      <w:pPr>
        <w:pStyle w:val="EEALabel"/>
        <w:spacing w:after="120" w:line="276" w:lineRule="auto"/>
        <w:rPr>
          <w:rFonts w:asciiTheme="majorHAnsi" w:eastAsia="Calibri" w:hAnsiTheme="majorHAnsi" w:cstheme="majorHAnsi"/>
          <w:szCs w:val="22"/>
        </w:rPr>
      </w:pPr>
      <w:bookmarkStart w:id="400" w:name="_Ref64646901"/>
      <w:bookmarkStart w:id="401" w:name="_Toc83997536"/>
      <w:r>
        <w:t xml:space="preserve">Table </w:t>
      </w:r>
      <w:r w:rsidR="00C76C23">
        <w:fldChar w:fldCharType="begin"/>
      </w:r>
      <w:r w:rsidR="00C76C23">
        <w:instrText xml:space="preserve"> STYLEREF 1 \s </w:instrText>
      </w:r>
      <w:r w:rsidR="00C76C23">
        <w:fldChar w:fldCharType="separate"/>
      </w:r>
      <w:r w:rsidR="0067767C">
        <w:rPr>
          <w:noProof/>
        </w:rPr>
        <w:t>8</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5</w:t>
      </w:r>
      <w:r w:rsidR="00C76C23">
        <w:fldChar w:fldCharType="end"/>
      </w:r>
      <w:bookmarkEnd w:id="400"/>
      <w:r>
        <w:t>:</w:t>
      </w:r>
      <w:r>
        <w:rPr>
          <w:rFonts w:eastAsia="Calibri"/>
        </w:rPr>
        <w:tab/>
      </w:r>
      <w:r w:rsidR="00BB0FE3" w:rsidRPr="00BB0FE3">
        <w:rPr>
          <w:rFonts w:asciiTheme="majorHAnsi" w:eastAsia="Calibri" w:hAnsiTheme="majorHAnsi" w:cstheme="majorHAnsi"/>
          <w:szCs w:val="22"/>
        </w:rPr>
        <w:t>Models to predict subsoil compaction</w:t>
      </w:r>
      <w:bookmarkEnd w:id="401"/>
    </w:p>
    <w:tbl>
      <w:tblPr>
        <w:tblStyle w:val="Tabellenraster"/>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3"/>
        <w:gridCol w:w="5386"/>
        <w:gridCol w:w="2597"/>
      </w:tblGrid>
      <w:tr w:rsidR="00BB0FE3" w:rsidRPr="00BB0FE3" w14:paraId="1C883BC6" w14:textId="77777777" w:rsidTr="004C089C">
        <w:tc>
          <w:tcPr>
            <w:tcW w:w="1413" w:type="dxa"/>
            <w:shd w:val="pct10" w:color="auto" w:fill="auto"/>
          </w:tcPr>
          <w:p w14:paraId="2A8CE81A" w14:textId="77777777" w:rsidR="00BB0FE3" w:rsidRPr="004C089C" w:rsidRDefault="00BB0FE3" w:rsidP="00EA081C">
            <w:pPr>
              <w:pStyle w:val="EEAtableleftbold"/>
            </w:pPr>
            <w:r w:rsidRPr="004C089C">
              <w:t>Model</w:t>
            </w:r>
          </w:p>
        </w:tc>
        <w:tc>
          <w:tcPr>
            <w:tcW w:w="5386" w:type="dxa"/>
            <w:shd w:val="pct10" w:color="auto" w:fill="auto"/>
          </w:tcPr>
          <w:p w14:paraId="7AB0F72C" w14:textId="77777777" w:rsidR="00BB0FE3" w:rsidRPr="004C089C" w:rsidRDefault="00BB0FE3" w:rsidP="00EA081C">
            <w:pPr>
              <w:pStyle w:val="EEAtableleftbold"/>
            </w:pPr>
            <w:r w:rsidRPr="004C089C">
              <w:t>Content</w:t>
            </w:r>
          </w:p>
        </w:tc>
        <w:tc>
          <w:tcPr>
            <w:tcW w:w="2597" w:type="dxa"/>
            <w:shd w:val="pct10" w:color="auto" w:fill="auto"/>
          </w:tcPr>
          <w:p w14:paraId="720748FE" w14:textId="77777777" w:rsidR="00BB0FE3" w:rsidRPr="004C089C" w:rsidRDefault="00BB0FE3" w:rsidP="00EA081C">
            <w:pPr>
              <w:pStyle w:val="EEAtableleftbold"/>
            </w:pPr>
            <w:r w:rsidRPr="004C089C">
              <w:t>Source</w:t>
            </w:r>
          </w:p>
        </w:tc>
      </w:tr>
      <w:tr w:rsidR="00BB0FE3" w:rsidRPr="00BB0FE3" w14:paraId="1D74D4BE" w14:textId="77777777" w:rsidTr="004C089C">
        <w:tc>
          <w:tcPr>
            <w:tcW w:w="1413" w:type="dxa"/>
          </w:tcPr>
          <w:p w14:paraId="3169EC61" w14:textId="77777777" w:rsidR="00BB0FE3" w:rsidRPr="00BB0FE3" w:rsidRDefault="00BB0FE3" w:rsidP="004C089C">
            <w:pPr>
              <w:pStyle w:val="EEAtableleft"/>
            </w:pPr>
            <w:r w:rsidRPr="00BB0FE3">
              <w:t>FEM Coupled Process model</w:t>
            </w:r>
          </w:p>
        </w:tc>
        <w:tc>
          <w:tcPr>
            <w:tcW w:w="5386" w:type="dxa"/>
          </w:tcPr>
          <w:p w14:paraId="479E09B9" w14:textId="77777777" w:rsidR="00BB0FE3" w:rsidRPr="00BB0FE3" w:rsidRDefault="00BB0FE3" w:rsidP="004C089C">
            <w:pPr>
              <w:pStyle w:val="EEAtableleft"/>
            </w:pPr>
            <w:r w:rsidRPr="00BB0FE3">
              <w:t xml:space="preserve">Modelling of stress distribution based on mechanical properties and options to link the stresses with physical soil indicators </w:t>
            </w:r>
          </w:p>
        </w:tc>
        <w:tc>
          <w:tcPr>
            <w:tcW w:w="2597" w:type="dxa"/>
          </w:tcPr>
          <w:p w14:paraId="14E7D8CC" w14:textId="6030689D" w:rsidR="00BB0FE3" w:rsidRPr="005F35CC" w:rsidRDefault="00BB0FE3" w:rsidP="004C089C">
            <w:pPr>
              <w:pStyle w:val="EEAtableleft"/>
            </w:pPr>
            <w:r w:rsidRPr="005F35CC">
              <w:t xml:space="preserve">Richards et al. </w:t>
            </w:r>
            <w:r w:rsidR="00834449" w:rsidRPr="005F35CC">
              <w:t>(</w:t>
            </w:r>
            <w:r w:rsidRPr="005F35CC">
              <w:t>1997</w:t>
            </w:r>
            <w:r w:rsidR="00834449" w:rsidRPr="005F35CC">
              <w:t>)</w:t>
            </w:r>
            <w:r w:rsidRPr="005F35CC">
              <w:t xml:space="preserve">, Gräsle </w:t>
            </w:r>
            <w:r w:rsidR="00834449" w:rsidRPr="005F35CC">
              <w:t>(</w:t>
            </w:r>
            <w:r w:rsidRPr="005F35CC">
              <w:t>1999</w:t>
            </w:r>
            <w:r w:rsidR="00834449" w:rsidRPr="005F35CC">
              <w:t>)</w:t>
            </w:r>
            <w:r w:rsidRPr="005F35CC">
              <w:t xml:space="preserve">, Richards and Peth </w:t>
            </w:r>
            <w:r w:rsidR="00834449" w:rsidRPr="005F35CC">
              <w:t>(</w:t>
            </w:r>
            <w:r w:rsidRPr="005F35CC">
              <w:t>2006</w:t>
            </w:r>
            <w:r w:rsidR="00834449" w:rsidRPr="005F35CC">
              <w:t>)</w:t>
            </w:r>
          </w:p>
        </w:tc>
      </w:tr>
      <w:tr w:rsidR="00BB0FE3" w:rsidRPr="00BB0FE3" w14:paraId="32CE652E" w14:textId="77777777" w:rsidTr="004C089C">
        <w:tc>
          <w:tcPr>
            <w:tcW w:w="1413" w:type="dxa"/>
          </w:tcPr>
          <w:p w14:paraId="26122D34" w14:textId="77777777" w:rsidR="00BB0FE3" w:rsidRPr="00BB0FE3" w:rsidRDefault="00BB0FE3" w:rsidP="004C089C">
            <w:pPr>
              <w:pStyle w:val="EEAtableleft"/>
            </w:pPr>
            <w:r w:rsidRPr="00BB0FE3">
              <w:t>SOCOMO</w:t>
            </w:r>
          </w:p>
        </w:tc>
        <w:tc>
          <w:tcPr>
            <w:tcW w:w="5386" w:type="dxa"/>
          </w:tcPr>
          <w:p w14:paraId="225CF5DD" w14:textId="77777777" w:rsidR="00BB0FE3" w:rsidRPr="00BB0FE3" w:rsidRDefault="00BB0FE3" w:rsidP="004C089C">
            <w:pPr>
              <w:pStyle w:val="EEAtableleft"/>
            </w:pPr>
            <w:r w:rsidRPr="00BB0FE3">
              <w:t xml:space="preserve">Stress calculation and comparison with internal soil strength  </w:t>
            </w:r>
          </w:p>
        </w:tc>
        <w:tc>
          <w:tcPr>
            <w:tcW w:w="2597" w:type="dxa"/>
          </w:tcPr>
          <w:p w14:paraId="6350EE2F" w14:textId="2CB8A92F" w:rsidR="00BB0FE3" w:rsidRPr="005F35CC" w:rsidRDefault="00D31880" w:rsidP="004C089C">
            <w:pPr>
              <w:pStyle w:val="EEAtableleft"/>
            </w:pPr>
            <w:r>
              <w:t>V</w:t>
            </w:r>
            <w:r w:rsidR="00BB0FE3" w:rsidRPr="005F35CC">
              <w:t xml:space="preserve">an der Akker </w:t>
            </w:r>
            <w:r w:rsidR="00834449" w:rsidRPr="005F35CC">
              <w:t>(</w:t>
            </w:r>
            <w:r w:rsidR="00BB0FE3" w:rsidRPr="005F35CC">
              <w:t>2004</w:t>
            </w:r>
            <w:r w:rsidR="00834449" w:rsidRPr="005F35CC">
              <w:t>)</w:t>
            </w:r>
          </w:p>
        </w:tc>
      </w:tr>
      <w:tr w:rsidR="00BB0FE3" w:rsidRPr="00BB0FE3" w14:paraId="6FB3EF5D" w14:textId="77777777" w:rsidTr="004C089C">
        <w:tc>
          <w:tcPr>
            <w:tcW w:w="1413" w:type="dxa"/>
          </w:tcPr>
          <w:p w14:paraId="330C62F7" w14:textId="77777777" w:rsidR="00BB0FE3" w:rsidRPr="00BB0FE3" w:rsidRDefault="00BB0FE3" w:rsidP="004C089C">
            <w:pPr>
              <w:pStyle w:val="EEAtableleft"/>
            </w:pPr>
            <w:r w:rsidRPr="00BB0FE3">
              <w:t>Soil flex</w:t>
            </w:r>
          </w:p>
        </w:tc>
        <w:tc>
          <w:tcPr>
            <w:tcW w:w="5386" w:type="dxa"/>
          </w:tcPr>
          <w:p w14:paraId="7D3D5B9E" w14:textId="77777777" w:rsidR="00BB0FE3" w:rsidRPr="00BB0FE3" w:rsidRDefault="00BB0FE3" w:rsidP="004C089C">
            <w:pPr>
              <w:pStyle w:val="EEAtableleft"/>
            </w:pPr>
            <w:r w:rsidRPr="00BB0FE3">
              <w:t xml:space="preserve">Analytical model to predict stress propagation in soils. </w:t>
            </w:r>
          </w:p>
        </w:tc>
        <w:tc>
          <w:tcPr>
            <w:tcW w:w="2597" w:type="dxa"/>
          </w:tcPr>
          <w:p w14:paraId="35F0BDF3" w14:textId="41DE11B5" w:rsidR="00BB0FE3" w:rsidRPr="005F35CC" w:rsidRDefault="00BB0FE3" w:rsidP="004C089C">
            <w:pPr>
              <w:pStyle w:val="EEAtableleft"/>
            </w:pPr>
            <w:r w:rsidRPr="005F35CC">
              <w:t xml:space="preserve">Keller et al. </w:t>
            </w:r>
            <w:r w:rsidR="00834449" w:rsidRPr="005F35CC">
              <w:t>(</w:t>
            </w:r>
            <w:r w:rsidRPr="005F35CC">
              <w:t>2007</w:t>
            </w:r>
            <w:r w:rsidR="00834449" w:rsidRPr="005F35CC">
              <w:t>)</w:t>
            </w:r>
          </w:p>
        </w:tc>
      </w:tr>
      <w:tr w:rsidR="00BB0FE3" w:rsidRPr="00BB0FE3" w14:paraId="00393344" w14:textId="77777777" w:rsidTr="004C089C">
        <w:tc>
          <w:tcPr>
            <w:tcW w:w="1413" w:type="dxa"/>
          </w:tcPr>
          <w:p w14:paraId="64F2A5B0" w14:textId="77777777" w:rsidR="00BB0FE3" w:rsidRPr="00BB0FE3" w:rsidRDefault="00BB0FE3" w:rsidP="004C089C">
            <w:pPr>
              <w:pStyle w:val="EEAtableleft"/>
            </w:pPr>
            <w:r w:rsidRPr="00BB0FE3">
              <w:t>Terranimo</w:t>
            </w:r>
          </w:p>
        </w:tc>
        <w:tc>
          <w:tcPr>
            <w:tcW w:w="5386" w:type="dxa"/>
          </w:tcPr>
          <w:p w14:paraId="4BCB4826" w14:textId="627E3470" w:rsidR="00BB0FE3" w:rsidRPr="00BB0FE3" w:rsidRDefault="00D31880" w:rsidP="004C089C">
            <w:pPr>
              <w:pStyle w:val="EEAtableleft"/>
            </w:pPr>
            <w:r>
              <w:t>O</w:t>
            </w:r>
            <w:r w:rsidR="00BB0FE3" w:rsidRPr="00BB0FE3">
              <w:t>pen source manual for site specific data analysis for given soil properties and mechanical impacts as a tool for practitioners</w:t>
            </w:r>
          </w:p>
        </w:tc>
        <w:tc>
          <w:tcPr>
            <w:tcW w:w="2597" w:type="dxa"/>
          </w:tcPr>
          <w:p w14:paraId="509BB345" w14:textId="41D4D7E4" w:rsidR="00BB0FE3" w:rsidRPr="005F35CC" w:rsidRDefault="00BB0FE3" w:rsidP="004C089C">
            <w:pPr>
              <w:pStyle w:val="EEAtableleft"/>
            </w:pPr>
            <w:r w:rsidRPr="005F35CC">
              <w:t xml:space="preserve">Stettler et al. </w:t>
            </w:r>
            <w:r w:rsidR="00834449" w:rsidRPr="005F35CC">
              <w:t>(</w:t>
            </w:r>
            <w:r w:rsidRPr="005F35CC">
              <w:t>2014</w:t>
            </w:r>
            <w:r w:rsidR="00834449" w:rsidRPr="005F35CC">
              <w:t>)</w:t>
            </w:r>
          </w:p>
        </w:tc>
      </w:tr>
    </w:tbl>
    <w:p w14:paraId="2D7058F9" w14:textId="0C36E256" w:rsidR="00BB0FE3" w:rsidRDefault="00BB0FE3" w:rsidP="004C089C"/>
    <w:p w14:paraId="595226B1" w14:textId="57D79856" w:rsidR="000C097B" w:rsidRPr="009D5972" w:rsidRDefault="000C097B" w:rsidP="002C488D">
      <w:pPr>
        <w:pStyle w:val="berschrift2"/>
        <w:numPr>
          <w:ilvl w:val="2"/>
          <w:numId w:val="3"/>
        </w:numPr>
        <w:spacing w:after="120"/>
        <w:rPr>
          <w:rStyle w:val="FormatvorlageFormatvorlageberschrift3Zchn1"/>
          <w:b/>
          <w:bCs/>
        </w:rPr>
      </w:pPr>
      <w:bookmarkStart w:id="402" w:name="_Toc83997403"/>
      <w:bookmarkStart w:id="403" w:name="_Toc58968597"/>
      <w:bookmarkStart w:id="404" w:name="_Toc59032882"/>
      <w:r w:rsidRPr="000C097B">
        <w:rPr>
          <w:rStyle w:val="FormatvorlageFormatvorlageberschrift3Zchn1"/>
        </w:rPr>
        <w:t>Compaction Verification Tool (CVT)</w:t>
      </w:r>
      <w:bookmarkEnd w:id="402"/>
    </w:p>
    <w:p w14:paraId="32B534F2" w14:textId="6DE44A7A" w:rsidR="00BB0FE3" w:rsidRDefault="00BB0FE3" w:rsidP="004C089C">
      <w:r w:rsidRPr="00BB0FE3">
        <w:t xml:space="preserve">In order to evaluate the actual soil stability and the risk of stress-induced soil </w:t>
      </w:r>
      <w:r w:rsidRPr="005F35CC">
        <w:t>degradation, Zink et al. (2011)</w:t>
      </w:r>
      <w:r w:rsidRPr="00BB0FE3">
        <w:t xml:space="preserve"> have developed the Compaction Verification Tool (CVT), </w:t>
      </w:r>
      <w:r w:rsidRPr="00BB0FE3">
        <w:rPr>
          <w:lang w:val="en-US" w:eastAsia="de-DE"/>
        </w:rPr>
        <w:t xml:space="preserve">which include stress dependent changes in soil functions described as indicators in </w:t>
      </w:r>
      <w:r w:rsidR="00616A32">
        <w:rPr>
          <w:highlight w:val="yellow"/>
          <w:lang w:val="en-US" w:eastAsia="de-DE"/>
        </w:rPr>
        <w:fldChar w:fldCharType="begin"/>
      </w:r>
      <w:r w:rsidR="00616A32">
        <w:rPr>
          <w:lang w:val="en-US" w:eastAsia="de-DE"/>
        </w:rPr>
        <w:instrText xml:space="preserve"> REF _Ref82784897 \h </w:instrText>
      </w:r>
      <w:r w:rsidR="00616A32">
        <w:rPr>
          <w:highlight w:val="yellow"/>
          <w:lang w:val="en-US" w:eastAsia="de-DE"/>
        </w:rPr>
      </w:r>
      <w:r w:rsidR="00616A32">
        <w:rPr>
          <w:highlight w:val="yellow"/>
          <w:lang w:val="en-US" w:eastAsia="de-DE"/>
        </w:rPr>
        <w:fldChar w:fldCharType="separate"/>
      </w:r>
      <w:r w:rsidR="0067767C" w:rsidRPr="00B2361E">
        <w:t xml:space="preserve">Figure </w:t>
      </w:r>
      <w:r w:rsidR="0067767C">
        <w:rPr>
          <w:noProof/>
        </w:rPr>
        <w:t>8</w:t>
      </w:r>
      <w:r w:rsidR="0067767C">
        <w:noBreakHyphen/>
      </w:r>
      <w:r w:rsidR="0067767C">
        <w:rPr>
          <w:noProof/>
        </w:rPr>
        <w:t>2</w:t>
      </w:r>
      <w:r w:rsidR="00616A32">
        <w:rPr>
          <w:highlight w:val="yellow"/>
          <w:lang w:val="en-US" w:eastAsia="de-DE"/>
        </w:rPr>
        <w:fldChar w:fldCharType="end"/>
      </w:r>
      <w:r w:rsidR="007D3906">
        <w:rPr>
          <w:lang w:val="en-US" w:eastAsia="de-DE"/>
        </w:rPr>
        <w:t>.</w:t>
      </w:r>
      <w:r w:rsidRPr="00BB0FE3">
        <w:rPr>
          <w:lang w:val="en-US" w:eastAsia="de-DE"/>
        </w:rPr>
        <w:t xml:space="preserve"> It</w:t>
      </w:r>
      <w:bookmarkEnd w:id="403"/>
      <w:r w:rsidRPr="00BB0FE3">
        <w:rPr>
          <w:lang w:val="en-US" w:eastAsia="de-DE"/>
        </w:rPr>
        <w:t xml:space="preserve"> </w:t>
      </w:r>
      <w:r w:rsidRPr="00BB0FE3">
        <w:t>s based on measurements or estimates of saturated hydraulic conductivity K</w:t>
      </w:r>
      <w:r w:rsidRPr="00BB0FE3">
        <w:rPr>
          <w:vertAlign w:val="subscript"/>
        </w:rPr>
        <w:t>s</w:t>
      </w:r>
      <w:r w:rsidRPr="00BB0FE3">
        <w:t xml:space="preserve"> and air capacity (at -60 hPa) as a function of actual stress applied within the virgin </w:t>
      </w:r>
      <w:r w:rsidRPr="005F35CC">
        <w:t>compression stress range (s</w:t>
      </w:r>
      <w:r w:rsidR="00F53111" w:rsidRPr="005F35CC">
        <w:t>ee also</w:t>
      </w:r>
      <w:r w:rsidRPr="005F35CC">
        <w:t xml:space="preserve"> </w:t>
      </w:r>
      <w:r w:rsidR="007D3906" w:rsidRPr="005F35CC">
        <w:fldChar w:fldCharType="begin"/>
      </w:r>
      <w:r w:rsidR="007D3906" w:rsidRPr="005F35CC">
        <w:instrText xml:space="preserve"> REF _Ref64648639 \h  \* MERGEFORMAT </w:instrText>
      </w:r>
      <w:r w:rsidR="007D3906" w:rsidRPr="005F35CC">
        <w:fldChar w:fldCharType="separate"/>
      </w:r>
      <w:r w:rsidR="0067767C">
        <w:t xml:space="preserve">Table </w:t>
      </w:r>
      <w:r w:rsidR="0067767C">
        <w:rPr>
          <w:noProof/>
        </w:rPr>
        <w:t>8</w:t>
      </w:r>
      <w:r w:rsidR="0067767C">
        <w:rPr>
          <w:noProof/>
        </w:rPr>
        <w:noBreakHyphen/>
        <w:t>3</w:t>
      </w:r>
      <w:r w:rsidR="007D3906" w:rsidRPr="005F35CC">
        <w:fldChar w:fldCharType="end"/>
      </w:r>
      <w:r w:rsidR="007D3906" w:rsidRPr="005F35CC">
        <w:t xml:space="preserve"> and </w:t>
      </w:r>
      <w:r w:rsidR="007D3906" w:rsidRPr="005F35CC">
        <w:fldChar w:fldCharType="begin"/>
      </w:r>
      <w:r w:rsidR="007D3906" w:rsidRPr="005F35CC">
        <w:instrText xml:space="preserve"> REF _Ref64646853 \h  \* MERGEFORMAT </w:instrText>
      </w:r>
      <w:r w:rsidR="007D3906" w:rsidRPr="005F35CC">
        <w:fldChar w:fldCharType="separate"/>
      </w:r>
      <w:r w:rsidR="0067767C">
        <w:t xml:space="preserve">Table </w:t>
      </w:r>
      <w:r w:rsidR="0067767C">
        <w:rPr>
          <w:noProof/>
        </w:rPr>
        <w:t>8</w:t>
      </w:r>
      <w:r w:rsidR="0067767C">
        <w:rPr>
          <w:noProof/>
        </w:rPr>
        <w:noBreakHyphen/>
        <w:t>4</w:t>
      </w:r>
      <w:r w:rsidR="007D3906" w:rsidRPr="005F35CC">
        <w:fldChar w:fldCharType="end"/>
      </w:r>
      <w:r w:rsidRPr="005F35CC">
        <w:t xml:space="preserve">). Suggestions to quantify these sub-indicators </w:t>
      </w:r>
      <w:r w:rsidRPr="005F35CC">
        <w:lastRenderedPageBreak/>
        <w:t>are described in Horn and Fleige (2009) for texture classes from sand to clay and based on a large variety</w:t>
      </w:r>
      <w:r w:rsidRPr="00BB0FE3">
        <w:t xml:space="preserve"> of soil profile data.</w:t>
      </w:r>
      <w:bookmarkEnd w:id="404"/>
      <w:r w:rsidRPr="00BB0FE3">
        <w:t xml:space="preserve"> </w:t>
      </w:r>
    </w:p>
    <w:p w14:paraId="637E2F4D" w14:textId="77777777" w:rsidR="004C089C" w:rsidRPr="00BB0FE3" w:rsidRDefault="004C089C" w:rsidP="004C089C"/>
    <w:p w14:paraId="6CBD0965" w14:textId="079D04BE" w:rsidR="00BB0FE3" w:rsidRDefault="00BB0FE3" w:rsidP="004C089C">
      <w:r w:rsidRPr="00BB0FE3">
        <w:t xml:space="preserve">The proposed minimum values of </w:t>
      </w:r>
      <w:r w:rsidRPr="00BB0FE3">
        <w:rPr>
          <w:b/>
          <w:bCs/>
        </w:rPr>
        <w:t>class I</w:t>
      </w:r>
      <w:r w:rsidRPr="00BB0FE3">
        <w:t xml:space="preserve"> (air capacity AC &gt; 5 vol %, saturated hydraulic conductivity K</w:t>
      </w:r>
      <w:r w:rsidRPr="00BB0FE3">
        <w:rPr>
          <w:vertAlign w:val="subscript"/>
        </w:rPr>
        <w:t>s</w:t>
      </w:r>
      <w:r w:rsidRPr="00BB0FE3">
        <w:t xml:space="preserve"> &gt; 10 cm/d) represent soils which still function properly; it assumes that the rigidity limits (precompression stress) are not exceeded and/or the texture, organic carbon etc. guarantee these values. The values in </w:t>
      </w:r>
      <w:r w:rsidRPr="00BB0FE3">
        <w:rPr>
          <w:b/>
          <w:bCs/>
        </w:rPr>
        <w:t>class II</w:t>
      </w:r>
      <w:r w:rsidRPr="00BB0FE3">
        <w:t xml:space="preserve"> (air capacity &gt;5% and saturated hydraulic conductivity (K</w:t>
      </w:r>
      <w:r w:rsidRPr="00BB0FE3">
        <w:rPr>
          <w:vertAlign w:val="subscript"/>
        </w:rPr>
        <w:t>s</w:t>
      </w:r>
      <w:r w:rsidRPr="00BB0FE3">
        <w:t xml:space="preserve">) &lt; 10cm/d as well as </w:t>
      </w:r>
      <w:r w:rsidRPr="00BB0FE3">
        <w:rPr>
          <w:b/>
          <w:bCs/>
        </w:rPr>
        <w:t>class III</w:t>
      </w:r>
      <w:r w:rsidRPr="00BB0FE3">
        <w:t xml:space="preserve"> (AC &lt; 5%, K</w:t>
      </w:r>
      <w:r w:rsidRPr="00BB0FE3">
        <w:rPr>
          <w:vertAlign w:val="subscript"/>
        </w:rPr>
        <w:t>s</w:t>
      </w:r>
      <w:r w:rsidRPr="00BB0FE3">
        <w:t xml:space="preserve"> &gt; 10cm/d) define the </w:t>
      </w:r>
      <w:r w:rsidRPr="00BB0FE3">
        <w:rPr>
          <w:b/>
          <w:bCs/>
        </w:rPr>
        <w:t>“precaution value” (PV)</w:t>
      </w:r>
      <w:r w:rsidRPr="00BB0FE3">
        <w:t xml:space="preserve"> (no harmful compaction yet), while the values AC&lt; 5% and K</w:t>
      </w:r>
      <w:r w:rsidRPr="00BB0FE3">
        <w:rPr>
          <w:vertAlign w:val="subscript"/>
        </w:rPr>
        <w:t>s</w:t>
      </w:r>
      <w:r w:rsidRPr="00BB0FE3">
        <w:t xml:space="preserve"> &lt; 10cm/d in </w:t>
      </w:r>
      <w:r w:rsidRPr="00BB0FE3">
        <w:rPr>
          <w:b/>
          <w:bCs/>
        </w:rPr>
        <w:t>class IV</w:t>
      </w:r>
      <w:r w:rsidRPr="00BB0FE3">
        <w:t xml:space="preserve"> are associated with yield decline due to lack of aeration, prevention of gas exchange, and/or stagnant water problems in the soil and, thus, correspond to </w:t>
      </w:r>
      <w:r w:rsidRPr="00BB0FE3">
        <w:rPr>
          <w:b/>
          <w:bCs/>
        </w:rPr>
        <w:t>“action values” (AV)</w:t>
      </w:r>
      <w:r w:rsidRPr="00BB0FE3">
        <w:t xml:space="preserve"> (= harmful subsoil compaction).</w:t>
      </w:r>
    </w:p>
    <w:p w14:paraId="471DD50A" w14:textId="77777777" w:rsidR="00EA081C" w:rsidRDefault="00EA081C" w:rsidP="00C37F35">
      <w:pPr>
        <w:spacing w:before="120"/>
      </w:pPr>
    </w:p>
    <w:p w14:paraId="23FEF3D7" w14:textId="4B642149" w:rsidR="005E61BD" w:rsidRPr="00EA081C" w:rsidRDefault="00EA081C" w:rsidP="00EA081C">
      <w:pPr>
        <w:pStyle w:val="FormatvorlageBeschriftung"/>
      </w:pPr>
      <w:bookmarkStart w:id="405" w:name="_Ref82784897"/>
      <w:bookmarkStart w:id="406" w:name="_Toc83997441"/>
      <w:r w:rsidRPr="00B2361E">
        <w:t xml:space="preserve">Figure </w:t>
      </w:r>
      <w:r w:rsidR="00CA7716">
        <w:fldChar w:fldCharType="begin"/>
      </w:r>
      <w:r w:rsidR="00CA7716">
        <w:instrText xml:space="preserve"> STYLEREF 1 \s </w:instrText>
      </w:r>
      <w:r w:rsidR="00CA7716">
        <w:fldChar w:fldCharType="separate"/>
      </w:r>
      <w:r w:rsidR="0067767C">
        <w:rPr>
          <w:noProof/>
        </w:rPr>
        <w:t>8</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2</w:t>
      </w:r>
      <w:r w:rsidR="00CA7716">
        <w:fldChar w:fldCharType="end"/>
      </w:r>
      <w:bookmarkEnd w:id="405"/>
      <w:r w:rsidRPr="00B2361E">
        <w:t>:</w:t>
      </w:r>
      <w:r w:rsidRPr="00B2361E">
        <w:tab/>
      </w:r>
      <w:r w:rsidRPr="00EA081C">
        <w:t>Diagnosis of soil compaction based on threshold exceedance</w:t>
      </w:r>
      <w:bookmarkEnd w:id="406"/>
    </w:p>
    <w:p w14:paraId="2D926AF1" w14:textId="3432EBA1" w:rsidR="004C089C" w:rsidRDefault="00454EA7" w:rsidP="00454EA7">
      <w:pPr>
        <w:pStyle w:val="EEASource"/>
      </w:pPr>
      <w:r>
        <w:t>Source:</w:t>
      </w:r>
      <w:r>
        <w:tab/>
        <w:t>Zink et al. 2011</w:t>
      </w:r>
    </w:p>
    <w:p w14:paraId="79F29771" w14:textId="624B9AEC" w:rsidR="00834449" w:rsidRDefault="00834449" w:rsidP="009C0F69">
      <w:pPr>
        <w:jc w:val="center"/>
      </w:pPr>
      <w:r w:rsidRPr="00BB0FE3">
        <w:rPr>
          <w:noProof/>
          <w:lang w:eastAsia="en-GB"/>
        </w:rPr>
        <w:drawing>
          <wp:anchor distT="0" distB="0" distL="114300" distR="114300" simplePos="0" relativeHeight="251728384" behindDoc="0" locked="0" layoutInCell="1" allowOverlap="1" wp14:anchorId="0983412E" wp14:editId="1B7EE883">
            <wp:simplePos x="0" y="0"/>
            <wp:positionH relativeFrom="column">
              <wp:posOffset>1129484</wp:posOffset>
            </wp:positionH>
            <wp:positionV relativeFrom="paragraph">
              <wp:posOffset>-726</wp:posOffset>
            </wp:positionV>
            <wp:extent cx="3710123" cy="5422790"/>
            <wp:effectExtent l="0" t="0" r="5080" b="6985"/>
            <wp:wrapTopAndBottom/>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0123" cy="5422790"/>
                    </a:xfrm>
                    <a:prstGeom prst="rect">
                      <a:avLst/>
                    </a:prstGeom>
                    <a:noFill/>
                    <a:ln>
                      <a:noFill/>
                    </a:ln>
                  </pic:spPr>
                </pic:pic>
              </a:graphicData>
            </a:graphic>
          </wp:anchor>
        </w:drawing>
      </w:r>
    </w:p>
    <w:p w14:paraId="389E9AC2" w14:textId="10BDC766" w:rsidR="00311C3B" w:rsidRPr="005F35CC" w:rsidRDefault="00311C3B" w:rsidP="00311C3B">
      <w:r w:rsidRPr="00BB0FE3">
        <w:t>In order to promote sustainable soil management practices both in agriculture or forestry, in particular to protect soils from degradation through the actual tillage systems, tree harvesting, and machinery impacts at given water content, the CVT (as ‘</w:t>
      </w:r>
      <w:r w:rsidRPr="00BB0FE3">
        <w:rPr>
          <w:i/>
          <w:iCs/>
        </w:rPr>
        <w:t>good’</w:t>
      </w:r>
      <w:r w:rsidRPr="00BB0FE3">
        <w:t>, i.e. class I, or ‘</w:t>
      </w:r>
      <w:r w:rsidRPr="00BB0FE3">
        <w:rPr>
          <w:i/>
          <w:iCs/>
        </w:rPr>
        <w:t>acceptable’</w:t>
      </w:r>
      <w:r w:rsidRPr="00BB0FE3">
        <w:t xml:space="preserve">, like class II and III) can be combined </w:t>
      </w:r>
      <w:r w:rsidRPr="005F35CC">
        <w:lastRenderedPageBreak/>
        <w:t>with a traffic light system (Riggert et al. 2019)</w:t>
      </w:r>
      <w:r w:rsidR="00C34626">
        <w:t xml:space="preserve">, </w:t>
      </w:r>
      <w:r w:rsidR="004378F8">
        <w:t>and can thus be connected with model approaches presented above (e.g., Terranim</w:t>
      </w:r>
      <w:r w:rsidR="00BC103F">
        <w:t>o</w:t>
      </w:r>
      <w:r w:rsidR="004378F8">
        <w:t xml:space="preserve">) </w:t>
      </w:r>
      <w:r w:rsidRPr="005F35CC">
        <w:t xml:space="preserve">with respect to the applied stresses in relation to soil strength.  </w:t>
      </w:r>
    </w:p>
    <w:p w14:paraId="37A3E403" w14:textId="77777777" w:rsidR="00311C3B" w:rsidRPr="005F35CC" w:rsidRDefault="00311C3B" w:rsidP="00311C3B"/>
    <w:p w14:paraId="256F1145" w14:textId="5B973C4A" w:rsidR="00311C3B" w:rsidRDefault="00311C3B" w:rsidP="00311C3B">
      <w:r w:rsidRPr="005F35CC">
        <w:t>It is most likely, that the monitoring is applicable to all scales, and the necessary data for the air capacity as well as the saturated hydraulic conductivity are mostly available for representative soil profiles (level III) or can be derived from existing data bases (e.g. Wo</w:t>
      </w:r>
      <w:r w:rsidR="002B6DCA" w:rsidRPr="005F35CC">
        <w:t>e</w:t>
      </w:r>
      <w:r w:rsidRPr="005F35CC">
        <w:t>sten et al</w:t>
      </w:r>
      <w:r w:rsidR="002B6DCA" w:rsidRPr="005F35CC">
        <w:t>,</w:t>
      </w:r>
      <w:r w:rsidRPr="005F35CC">
        <w:t xml:space="preserve"> 199</w:t>
      </w:r>
      <w:r w:rsidR="002B6DCA" w:rsidRPr="005F35CC">
        <w:t>9</w:t>
      </w:r>
      <w:r w:rsidRPr="005F35CC">
        <w:t>, or national soil mapping datasets) while the corresponding precompression stress data as threshold values can be derived from PTF´s (Horn and Fleige 2009) or detailed in situ measurements (Level III). The quantification of stress implications on the 2 soil indicators (air capacity and hydraulic conductivity) beyond the precompression stress results from PTF´s (Horn and Fleige 2009) or site-specific measurements in combination with wheeling experiments (Level III).</w:t>
      </w:r>
    </w:p>
    <w:p w14:paraId="53F0D17A" w14:textId="03E4F7B7" w:rsidR="00BC103F" w:rsidRDefault="00BC103F" w:rsidP="00311C3B"/>
    <w:p w14:paraId="01FFCB74" w14:textId="2FFC4B44" w:rsidR="00C2008E" w:rsidRDefault="00C2008E" w:rsidP="00C268DB">
      <w:r>
        <w:t xml:space="preserve">While CVT allows to map harmful subsoil compaction, </w:t>
      </w:r>
      <w:r w:rsidR="008357C9">
        <w:t xml:space="preserve">the </w:t>
      </w:r>
      <w:r w:rsidR="008357C9" w:rsidRPr="008357C9">
        <w:t>anthropogenic subsoil compaction</w:t>
      </w:r>
      <w:r w:rsidR="002F5F11">
        <w:t xml:space="preserve"> still needs to be separated from the natural compaction </w:t>
      </w:r>
      <w:r w:rsidR="00506019">
        <w:t>as a result of geogenic and/or pedogenic processes</w:t>
      </w:r>
      <w:r w:rsidR="009D7426">
        <w:t xml:space="preserve"> (“initial subsoil condition”; see Figure 8-3)</w:t>
      </w:r>
      <w:r w:rsidR="00506019">
        <w:t xml:space="preserve">. </w:t>
      </w:r>
      <w:r w:rsidR="00EB2F98">
        <w:t xml:space="preserve">Especially fluvic and stagnic soils </w:t>
      </w:r>
      <w:r w:rsidR="008229C6">
        <w:t>tend to have</w:t>
      </w:r>
      <w:r w:rsidR="00EB2F98">
        <w:t xml:space="preserve"> a high degree of natural compaction</w:t>
      </w:r>
      <w:r w:rsidR="00367B55">
        <w:t xml:space="preserve"> (4</w:t>
      </w:r>
      <w:r w:rsidR="00367B55" w:rsidRPr="00367B55">
        <w:t>6%–65%</w:t>
      </w:r>
      <w:r w:rsidR="00367B55">
        <w:t xml:space="preserve"> of the mapped field</w:t>
      </w:r>
      <w:r w:rsidR="008229C6">
        <w:t>s</w:t>
      </w:r>
      <w:r w:rsidR="00367B55">
        <w:t xml:space="preserve"> in a German case study area</w:t>
      </w:r>
      <w:r w:rsidR="005740F5">
        <w:t>), compared to &lt; 13 % for Podsols and Arenosols) (Mordhorst et al.</w:t>
      </w:r>
      <w:r w:rsidR="008229C6">
        <w:t>, 2020).</w:t>
      </w:r>
      <w:r w:rsidR="005740F5">
        <w:t xml:space="preserve"> </w:t>
      </w:r>
      <w:r w:rsidR="003A25AA">
        <w:t xml:space="preserve">Anthropogenic compaction is found if the </w:t>
      </w:r>
      <w:r w:rsidR="00C268DB">
        <w:t xml:space="preserve">selected compaction-sensitive parameters air capacity (AC) and saturated hydraulic conductivity (Ks) are larger in the subsoil compared to the topsoil. The </w:t>
      </w:r>
      <w:r w:rsidR="00DE69AF">
        <w:t>successful application of this threshold thus requires a horizon-specific analysis (topsoil/subsoil)</w:t>
      </w:r>
      <w:r w:rsidR="008B0DD2">
        <w:t xml:space="preserve">, </w:t>
      </w:r>
      <w:r w:rsidR="000C3BEF">
        <w:t xml:space="preserve">calibrated </w:t>
      </w:r>
      <w:r w:rsidR="008B0DD2">
        <w:t>with the knowledge from a large regional pedological data base</w:t>
      </w:r>
      <w:r w:rsidR="000C3BEF">
        <w:t xml:space="preserve"> (Level I </w:t>
      </w:r>
      <w:r w:rsidR="00694C6A">
        <w:t xml:space="preserve">and/or Level II </w:t>
      </w:r>
      <w:r w:rsidR="000C3BEF">
        <w:t xml:space="preserve">as presented </w:t>
      </w:r>
      <w:r w:rsidR="00694C6A">
        <w:t>in Table 8-3)</w:t>
      </w:r>
      <w:r w:rsidR="000C3BEF">
        <w:t>.</w:t>
      </w:r>
    </w:p>
    <w:p w14:paraId="67A359F3" w14:textId="77777777" w:rsidR="00834449" w:rsidRDefault="00834449" w:rsidP="004C089C"/>
    <w:p w14:paraId="41B97FA3" w14:textId="747BBE5E" w:rsidR="00F53111" w:rsidRDefault="00F53111" w:rsidP="005E61BD">
      <w:pPr>
        <w:rPr>
          <w:rFonts w:cs="Times New Roman"/>
          <w:bCs/>
          <w:color w:val="008173"/>
          <w:sz w:val="28"/>
          <w:szCs w:val="28"/>
        </w:rPr>
      </w:pPr>
      <w:r>
        <w:br w:type="page"/>
      </w:r>
    </w:p>
    <w:p w14:paraId="63D03BB6" w14:textId="28AAF659" w:rsidR="004E2ADF" w:rsidRDefault="005B4D78" w:rsidP="005E61BD">
      <w:pPr>
        <w:pStyle w:val="berschrift1"/>
        <w:tabs>
          <w:tab w:val="clear" w:pos="567"/>
        </w:tabs>
        <w:ind w:left="567" w:hanging="573"/>
      </w:pPr>
      <w:bookmarkStart w:id="407" w:name="_Toc83997404"/>
      <w:r>
        <w:lastRenderedPageBreak/>
        <w:t>S</w:t>
      </w:r>
      <w:r w:rsidR="004E2ADF" w:rsidRPr="00F73B24">
        <w:t xml:space="preserve">oil </w:t>
      </w:r>
      <w:r w:rsidR="004E2ADF">
        <w:t>sealing</w:t>
      </w:r>
      <w:bookmarkEnd w:id="407"/>
    </w:p>
    <w:p w14:paraId="3653D306" w14:textId="41E13366" w:rsidR="00F13CAE" w:rsidRDefault="00F13CAE" w:rsidP="00F13CAE"/>
    <w:tbl>
      <w:tblPr>
        <w:tblW w:w="0" w:type="auto"/>
        <w:shd w:val="clear" w:color="auto" w:fill="D9D9D9" w:themeFill="background1" w:themeFillShade="D9"/>
        <w:tblLook w:val="04A0" w:firstRow="1" w:lastRow="0" w:firstColumn="1" w:lastColumn="0" w:noHBand="0" w:noVBand="1"/>
      </w:tblPr>
      <w:tblGrid>
        <w:gridCol w:w="9406"/>
      </w:tblGrid>
      <w:tr w:rsidR="00F13CAE" w14:paraId="62AB8CF8" w14:textId="77777777" w:rsidTr="00AF4A7B">
        <w:tc>
          <w:tcPr>
            <w:tcW w:w="9546" w:type="dxa"/>
            <w:shd w:val="clear" w:color="auto" w:fill="D9D9D9" w:themeFill="background1" w:themeFillShade="D9"/>
          </w:tcPr>
          <w:p w14:paraId="48D359AE" w14:textId="77777777" w:rsidR="00F13CAE" w:rsidRDefault="00F13CAE" w:rsidP="00AF4A7B">
            <w:pPr>
              <w:pStyle w:val="EEAspacesm"/>
            </w:pPr>
          </w:p>
          <w:p w14:paraId="5FA48043" w14:textId="02D1BA0C" w:rsidR="00F13CAE" w:rsidRDefault="00F13CAE" w:rsidP="00AF4A7B">
            <w:r w:rsidRPr="00B20694">
              <w:t xml:space="preserve">Soil sealing </w:t>
            </w:r>
            <w:r w:rsidR="00F672C4">
              <w:t xml:space="preserve">corresponds to </w:t>
            </w:r>
            <w:r w:rsidRPr="00B20694">
              <w:t>an irreversible loss of soil and its biological functions and loss of biodiversity</w:t>
            </w:r>
            <w:r w:rsidR="00A12711">
              <w:t>.</w:t>
            </w:r>
            <w:r w:rsidR="00C121C2">
              <w:t xml:space="preserve"> </w:t>
            </w:r>
            <w:r w:rsidR="004E7246">
              <w:t>Since the turn of the century annual soil loss in Europe ranges between to 300 to 500 km²</w:t>
            </w:r>
            <w:r w:rsidR="00A12711">
              <w:t>.</w:t>
            </w:r>
            <w:r w:rsidR="004E7246">
              <w:t xml:space="preserve"> </w:t>
            </w:r>
            <w:r>
              <w:t>This chapter presents available indicators and discusses the implications of baseline and threshold definitions for soil sealing</w:t>
            </w:r>
            <w:r w:rsidR="00A12711">
              <w:t>.</w:t>
            </w:r>
            <w:r>
              <w:t xml:space="preserve"> In contrast to all other soil quality indicators presented here in this report baselines and thresholds for soil sealing are not soil science based but policy based</w:t>
            </w:r>
            <w:r w:rsidR="00A12711">
              <w:t>.</w:t>
            </w:r>
            <w:r>
              <w:t xml:space="preserve"> </w:t>
            </w:r>
          </w:p>
          <w:p w14:paraId="44D962AE" w14:textId="77777777" w:rsidR="00F13CAE" w:rsidRPr="002D2C94" w:rsidRDefault="00F13CAE" w:rsidP="00AF4A7B">
            <w:pPr>
              <w:pStyle w:val="EEAspacesm"/>
            </w:pPr>
          </w:p>
        </w:tc>
      </w:tr>
    </w:tbl>
    <w:p w14:paraId="6A4BE52D" w14:textId="2C551555" w:rsidR="00F13CAE" w:rsidRDefault="00F13CAE" w:rsidP="00F13CAE"/>
    <w:p w14:paraId="7D892E69" w14:textId="6A5C0400" w:rsidR="00C121C2" w:rsidRDefault="00C121C2" w:rsidP="00C121C2">
      <w:r w:rsidRPr="004E7246">
        <w:t xml:space="preserve">Soil </w:t>
      </w:r>
      <w:r w:rsidR="004E7246" w:rsidRPr="004E7246">
        <w:t xml:space="preserve">sealing </w:t>
      </w:r>
      <w:r w:rsidR="004E7246">
        <w:t xml:space="preserve">fulfils </w:t>
      </w:r>
      <w:r w:rsidR="004E7246" w:rsidRPr="004E7246">
        <w:t xml:space="preserve">the societal need for infrastructure </w:t>
      </w:r>
      <w:r w:rsidR="004E7246">
        <w:t>but has negative impacts on all other societal needs and soil functions</w:t>
      </w:r>
      <w:r w:rsidR="00A12711">
        <w:t>.</w:t>
      </w:r>
    </w:p>
    <w:p w14:paraId="12C6720D" w14:textId="77777777" w:rsidR="00C121C2" w:rsidRDefault="00C121C2" w:rsidP="00C121C2"/>
    <w:p w14:paraId="621220FB" w14:textId="6A29622F" w:rsidR="00C121C2" w:rsidRDefault="00C121C2" w:rsidP="005E61BD">
      <w:pPr>
        <w:pStyle w:val="EEALabel"/>
        <w:spacing w:after="120"/>
        <w:rPr>
          <w:rFonts w:eastAsia="Calibri"/>
        </w:rPr>
      </w:pPr>
      <w:bookmarkStart w:id="408" w:name="_Ref54603814"/>
      <w:bookmarkStart w:id="409" w:name="_Toc83997537"/>
      <w:r>
        <w:t xml:space="preserve">Table </w:t>
      </w:r>
      <w:r w:rsidR="00C76C23">
        <w:fldChar w:fldCharType="begin"/>
      </w:r>
      <w:r w:rsidR="00C76C23">
        <w:instrText xml:space="preserve"> STYLEREF 1 \s </w:instrText>
      </w:r>
      <w:r w:rsidR="00C76C23">
        <w:fldChar w:fldCharType="separate"/>
      </w:r>
      <w:r w:rsidR="0067767C">
        <w:rPr>
          <w:noProof/>
        </w:rPr>
        <w:t>9</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1</w:t>
      </w:r>
      <w:r w:rsidR="00C76C23">
        <w:fldChar w:fldCharType="end"/>
      </w:r>
      <w:bookmarkEnd w:id="408"/>
      <w:r>
        <w:t>:</w:t>
      </w:r>
      <w:r>
        <w:rPr>
          <w:rFonts w:eastAsia="Calibri"/>
        </w:rPr>
        <w:tab/>
        <w:t>Relationship of Soil sealing to key societal needs and soil functions</w:t>
      </w:r>
      <w:bookmarkEnd w:id="409"/>
    </w:p>
    <w:tbl>
      <w:tblPr>
        <w:tblW w:w="9214"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00"/>
        <w:gridCol w:w="6055"/>
        <w:gridCol w:w="1559"/>
      </w:tblGrid>
      <w:tr w:rsidR="001455B4" w:rsidRPr="001455B4" w14:paraId="6191BA76" w14:textId="77777777" w:rsidTr="003B0911">
        <w:trPr>
          <w:trHeight w:val="300"/>
        </w:trPr>
        <w:tc>
          <w:tcPr>
            <w:tcW w:w="1600" w:type="dxa"/>
            <w:shd w:val="pct10" w:color="auto" w:fill="auto"/>
            <w:noWrap/>
            <w:vAlign w:val="bottom"/>
            <w:hideMark/>
          </w:tcPr>
          <w:p w14:paraId="0418DAD3" w14:textId="77777777" w:rsidR="001455B4" w:rsidRPr="001455B4" w:rsidRDefault="001455B4" w:rsidP="001455B4">
            <w:pPr>
              <w:suppressAutoHyphens w:val="0"/>
              <w:jc w:val="left"/>
              <w:rPr>
                <w:b/>
                <w:bCs/>
                <w:color w:val="000000"/>
                <w:szCs w:val="22"/>
                <w:lang w:eastAsia="de-AT"/>
              </w:rPr>
            </w:pPr>
            <w:r w:rsidRPr="001455B4">
              <w:rPr>
                <w:b/>
                <w:bCs/>
                <w:color w:val="000000"/>
                <w:szCs w:val="22"/>
                <w:lang w:eastAsia="de-AT"/>
              </w:rPr>
              <w:t>Soil sealing</w:t>
            </w:r>
          </w:p>
        </w:tc>
        <w:tc>
          <w:tcPr>
            <w:tcW w:w="6055" w:type="dxa"/>
            <w:shd w:val="pct10" w:color="auto" w:fill="auto"/>
            <w:noWrap/>
            <w:vAlign w:val="bottom"/>
            <w:hideMark/>
          </w:tcPr>
          <w:p w14:paraId="488F71D8" w14:textId="77777777" w:rsidR="001455B4" w:rsidRPr="001455B4" w:rsidRDefault="001455B4" w:rsidP="001455B4">
            <w:pPr>
              <w:suppressAutoHyphens w:val="0"/>
              <w:jc w:val="left"/>
              <w:rPr>
                <w:b/>
                <w:bCs/>
                <w:color w:val="000000"/>
                <w:szCs w:val="22"/>
                <w:lang w:eastAsia="de-AT"/>
              </w:rPr>
            </w:pPr>
          </w:p>
        </w:tc>
        <w:tc>
          <w:tcPr>
            <w:tcW w:w="1559" w:type="dxa"/>
            <w:shd w:val="pct10" w:color="auto" w:fill="auto"/>
            <w:noWrap/>
            <w:vAlign w:val="bottom"/>
            <w:hideMark/>
          </w:tcPr>
          <w:p w14:paraId="420F5737" w14:textId="77777777" w:rsidR="001455B4" w:rsidRPr="001455B4" w:rsidRDefault="001455B4" w:rsidP="001455B4">
            <w:pPr>
              <w:suppressAutoHyphens w:val="0"/>
              <w:jc w:val="left"/>
              <w:rPr>
                <w:rFonts w:ascii="Times New Roman" w:hAnsi="Times New Roman" w:cs="Times New Roman"/>
                <w:sz w:val="20"/>
                <w:lang w:eastAsia="de-AT"/>
              </w:rPr>
            </w:pPr>
          </w:p>
        </w:tc>
      </w:tr>
      <w:tr w:rsidR="001455B4" w:rsidRPr="001455B4" w14:paraId="71617C64" w14:textId="77777777" w:rsidTr="003B0911">
        <w:trPr>
          <w:trHeight w:val="300"/>
        </w:trPr>
        <w:tc>
          <w:tcPr>
            <w:tcW w:w="1600" w:type="dxa"/>
            <w:shd w:val="pct10" w:color="auto" w:fill="auto"/>
            <w:noWrap/>
            <w:vAlign w:val="bottom"/>
            <w:hideMark/>
          </w:tcPr>
          <w:p w14:paraId="6611219D" w14:textId="77777777" w:rsidR="001455B4" w:rsidRPr="001455B4" w:rsidRDefault="001455B4" w:rsidP="0090303E">
            <w:pPr>
              <w:pStyle w:val="EEAtableleftbold"/>
              <w:rPr>
                <w:lang w:eastAsia="de-AT"/>
              </w:rPr>
            </w:pPr>
            <w:r w:rsidRPr="001455B4">
              <w:rPr>
                <w:lang w:eastAsia="de-AT"/>
              </w:rPr>
              <w:t>Societal need</w:t>
            </w:r>
          </w:p>
        </w:tc>
        <w:tc>
          <w:tcPr>
            <w:tcW w:w="6055" w:type="dxa"/>
            <w:shd w:val="pct10" w:color="auto" w:fill="auto"/>
            <w:noWrap/>
            <w:vAlign w:val="bottom"/>
            <w:hideMark/>
          </w:tcPr>
          <w:p w14:paraId="3A438271" w14:textId="77777777" w:rsidR="001455B4" w:rsidRPr="001455B4" w:rsidRDefault="001455B4" w:rsidP="0090303E">
            <w:pPr>
              <w:pStyle w:val="EEAtableleftbold"/>
              <w:rPr>
                <w:lang w:eastAsia="de-AT"/>
              </w:rPr>
            </w:pPr>
            <w:r w:rsidRPr="001455B4">
              <w:rPr>
                <w:lang w:eastAsia="de-AT"/>
              </w:rPr>
              <w:t>Soil service</w:t>
            </w:r>
          </w:p>
        </w:tc>
        <w:tc>
          <w:tcPr>
            <w:tcW w:w="1559" w:type="dxa"/>
            <w:shd w:val="pct10" w:color="auto" w:fill="auto"/>
            <w:noWrap/>
            <w:vAlign w:val="bottom"/>
            <w:hideMark/>
          </w:tcPr>
          <w:p w14:paraId="4AEFECEF" w14:textId="77777777" w:rsidR="001455B4" w:rsidRPr="001455B4" w:rsidRDefault="001455B4" w:rsidP="0090303E">
            <w:pPr>
              <w:pStyle w:val="EEATabcenterbold"/>
            </w:pPr>
            <w:r w:rsidRPr="001455B4">
              <w:t>impact</w:t>
            </w:r>
          </w:p>
        </w:tc>
      </w:tr>
      <w:tr w:rsidR="001455B4" w:rsidRPr="001455B4" w14:paraId="7D9B7E7E" w14:textId="77777777" w:rsidTr="003B0911">
        <w:trPr>
          <w:trHeight w:val="300"/>
        </w:trPr>
        <w:tc>
          <w:tcPr>
            <w:tcW w:w="1600" w:type="dxa"/>
            <w:vMerge w:val="restart"/>
            <w:shd w:val="clear" w:color="000000" w:fill="FFFFFF"/>
            <w:noWrap/>
            <w:vAlign w:val="center"/>
            <w:hideMark/>
          </w:tcPr>
          <w:p w14:paraId="43EDF3ED" w14:textId="77777777" w:rsidR="001455B4" w:rsidRPr="001455B4" w:rsidRDefault="001455B4" w:rsidP="0090303E">
            <w:pPr>
              <w:pStyle w:val="EEAtableleftbold"/>
              <w:rPr>
                <w:lang w:eastAsia="de-AT"/>
              </w:rPr>
            </w:pPr>
            <w:r w:rsidRPr="001455B4">
              <w:rPr>
                <w:lang w:eastAsia="de-AT"/>
              </w:rPr>
              <w:t>Biomass</w:t>
            </w:r>
          </w:p>
        </w:tc>
        <w:tc>
          <w:tcPr>
            <w:tcW w:w="6055" w:type="dxa"/>
            <w:shd w:val="clear" w:color="auto" w:fill="auto"/>
            <w:vAlign w:val="center"/>
            <w:hideMark/>
          </w:tcPr>
          <w:p w14:paraId="1AB39EA5" w14:textId="77777777" w:rsidR="001455B4" w:rsidRPr="001455B4" w:rsidRDefault="001455B4" w:rsidP="001455B4">
            <w:pPr>
              <w:pStyle w:val="EEAtableleft"/>
              <w:rPr>
                <w:lang w:eastAsia="de-AT"/>
              </w:rPr>
            </w:pPr>
            <w:r w:rsidRPr="001455B4">
              <w:rPr>
                <w:lang w:eastAsia="de-AT"/>
              </w:rPr>
              <w:t>Wood &amp; fibre production</w:t>
            </w:r>
          </w:p>
        </w:tc>
        <w:tc>
          <w:tcPr>
            <w:tcW w:w="1559" w:type="dxa"/>
            <w:shd w:val="clear" w:color="000000" w:fill="FF0000"/>
            <w:noWrap/>
            <w:vAlign w:val="bottom"/>
            <w:hideMark/>
          </w:tcPr>
          <w:p w14:paraId="77D9E7B8"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3CD4D0CD" w14:textId="77777777" w:rsidTr="003B0911">
        <w:trPr>
          <w:trHeight w:val="300"/>
        </w:trPr>
        <w:tc>
          <w:tcPr>
            <w:tcW w:w="1600" w:type="dxa"/>
            <w:vMerge/>
            <w:vAlign w:val="center"/>
            <w:hideMark/>
          </w:tcPr>
          <w:p w14:paraId="5150A354" w14:textId="77777777" w:rsidR="001455B4" w:rsidRPr="001455B4" w:rsidRDefault="001455B4" w:rsidP="0090303E">
            <w:pPr>
              <w:pStyle w:val="EEAtableleftbold"/>
              <w:rPr>
                <w:lang w:eastAsia="de-AT"/>
              </w:rPr>
            </w:pPr>
          </w:p>
        </w:tc>
        <w:tc>
          <w:tcPr>
            <w:tcW w:w="6055" w:type="dxa"/>
            <w:shd w:val="clear" w:color="auto" w:fill="auto"/>
            <w:vAlign w:val="center"/>
            <w:hideMark/>
          </w:tcPr>
          <w:p w14:paraId="1D96BB96" w14:textId="77777777" w:rsidR="001455B4" w:rsidRPr="001455B4" w:rsidRDefault="001455B4" w:rsidP="001455B4">
            <w:pPr>
              <w:pStyle w:val="EEAtableleft"/>
              <w:rPr>
                <w:lang w:eastAsia="de-AT"/>
              </w:rPr>
            </w:pPr>
            <w:r w:rsidRPr="001455B4">
              <w:rPr>
                <w:lang w:eastAsia="de-AT"/>
              </w:rPr>
              <w:t>Growth of crops</w:t>
            </w:r>
          </w:p>
        </w:tc>
        <w:tc>
          <w:tcPr>
            <w:tcW w:w="1559" w:type="dxa"/>
            <w:shd w:val="clear" w:color="000000" w:fill="FF0000"/>
            <w:noWrap/>
            <w:vAlign w:val="bottom"/>
            <w:hideMark/>
          </w:tcPr>
          <w:p w14:paraId="3AA73CD0"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3DACF9D6" w14:textId="77777777" w:rsidTr="003B0911">
        <w:trPr>
          <w:trHeight w:val="300"/>
        </w:trPr>
        <w:tc>
          <w:tcPr>
            <w:tcW w:w="1600" w:type="dxa"/>
            <w:vMerge w:val="restart"/>
            <w:shd w:val="clear" w:color="000000" w:fill="FFFFFF"/>
            <w:noWrap/>
            <w:vAlign w:val="center"/>
            <w:hideMark/>
          </w:tcPr>
          <w:p w14:paraId="4B5B2F20" w14:textId="77777777" w:rsidR="001455B4" w:rsidRPr="001455B4" w:rsidRDefault="001455B4" w:rsidP="0090303E">
            <w:pPr>
              <w:pStyle w:val="EEAtableleftbold"/>
              <w:rPr>
                <w:lang w:eastAsia="de-AT"/>
              </w:rPr>
            </w:pPr>
            <w:r w:rsidRPr="001455B4">
              <w:rPr>
                <w:lang w:eastAsia="de-AT"/>
              </w:rPr>
              <w:t>Water</w:t>
            </w:r>
          </w:p>
        </w:tc>
        <w:tc>
          <w:tcPr>
            <w:tcW w:w="6055" w:type="dxa"/>
            <w:shd w:val="clear" w:color="auto" w:fill="auto"/>
            <w:vAlign w:val="center"/>
            <w:hideMark/>
          </w:tcPr>
          <w:p w14:paraId="042BB2A0" w14:textId="77777777" w:rsidR="001455B4" w:rsidRPr="001455B4" w:rsidRDefault="001455B4" w:rsidP="001455B4">
            <w:pPr>
              <w:pStyle w:val="EEAtableleft"/>
              <w:rPr>
                <w:lang w:eastAsia="de-AT"/>
              </w:rPr>
            </w:pPr>
            <w:r w:rsidRPr="001455B4">
              <w:rPr>
                <w:lang w:eastAsia="de-AT"/>
              </w:rPr>
              <w:t>Filtering of contaminants</w:t>
            </w:r>
          </w:p>
        </w:tc>
        <w:tc>
          <w:tcPr>
            <w:tcW w:w="1559" w:type="dxa"/>
            <w:shd w:val="clear" w:color="000000" w:fill="FF0000"/>
            <w:noWrap/>
            <w:vAlign w:val="bottom"/>
            <w:hideMark/>
          </w:tcPr>
          <w:p w14:paraId="1B7048FE"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43792FD2" w14:textId="77777777" w:rsidTr="003B0911">
        <w:trPr>
          <w:trHeight w:val="300"/>
        </w:trPr>
        <w:tc>
          <w:tcPr>
            <w:tcW w:w="1600" w:type="dxa"/>
            <w:vMerge/>
            <w:vAlign w:val="center"/>
            <w:hideMark/>
          </w:tcPr>
          <w:p w14:paraId="2FF95E1C" w14:textId="77777777" w:rsidR="001455B4" w:rsidRPr="001455B4" w:rsidRDefault="001455B4" w:rsidP="0090303E">
            <w:pPr>
              <w:pStyle w:val="EEAtableleftbold"/>
              <w:rPr>
                <w:lang w:eastAsia="de-AT"/>
              </w:rPr>
            </w:pPr>
          </w:p>
        </w:tc>
        <w:tc>
          <w:tcPr>
            <w:tcW w:w="6055" w:type="dxa"/>
            <w:shd w:val="clear" w:color="auto" w:fill="auto"/>
            <w:vAlign w:val="center"/>
            <w:hideMark/>
          </w:tcPr>
          <w:p w14:paraId="0C9C2A12" w14:textId="77777777" w:rsidR="001455B4" w:rsidRPr="001455B4" w:rsidRDefault="001455B4" w:rsidP="001455B4">
            <w:pPr>
              <w:pStyle w:val="EEAtableleft"/>
              <w:rPr>
                <w:lang w:eastAsia="de-AT"/>
              </w:rPr>
            </w:pPr>
            <w:r w:rsidRPr="001455B4">
              <w:rPr>
                <w:lang w:eastAsia="de-AT"/>
              </w:rPr>
              <w:t>Water storage</w:t>
            </w:r>
          </w:p>
        </w:tc>
        <w:tc>
          <w:tcPr>
            <w:tcW w:w="1559" w:type="dxa"/>
            <w:shd w:val="clear" w:color="000000" w:fill="FF0000"/>
            <w:noWrap/>
            <w:vAlign w:val="bottom"/>
            <w:hideMark/>
          </w:tcPr>
          <w:p w14:paraId="5E06BC78"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38ADCA2B" w14:textId="77777777" w:rsidTr="003B0911">
        <w:trPr>
          <w:trHeight w:val="300"/>
        </w:trPr>
        <w:tc>
          <w:tcPr>
            <w:tcW w:w="1600" w:type="dxa"/>
            <w:shd w:val="clear" w:color="000000" w:fill="FFFFFF"/>
            <w:noWrap/>
            <w:vAlign w:val="center"/>
            <w:hideMark/>
          </w:tcPr>
          <w:p w14:paraId="1B2C582B" w14:textId="77777777" w:rsidR="001455B4" w:rsidRPr="001455B4" w:rsidRDefault="001455B4" w:rsidP="0090303E">
            <w:pPr>
              <w:pStyle w:val="EEAtableleftbold"/>
              <w:rPr>
                <w:lang w:eastAsia="de-AT"/>
              </w:rPr>
            </w:pPr>
            <w:r w:rsidRPr="001455B4">
              <w:rPr>
                <w:lang w:eastAsia="de-AT"/>
              </w:rPr>
              <w:t>Climate</w:t>
            </w:r>
          </w:p>
        </w:tc>
        <w:tc>
          <w:tcPr>
            <w:tcW w:w="6055" w:type="dxa"/>
            <w:shd w:val="clear" w:color="auto" w:fill="auto"/>
            <w:vAlign w:val="center"/>
            <w:hideMark/>
          </w:tcPr>
          <w:p w14:paraId="0F3F2B09" w14:textId="77777777" w:rsidR="001455B4" w:rsidRPr="001455B4" w:rsidRDefault="001455B4" w:rsidP="001455B4">
            <w:pPr>
              <w:pStyle w:val="EEAtableleft"/>
              <w:rPr>
                <w:lang w:eastAsia="de-AT"/>
              </w:rPr>
            </w:pPr>
            <w:r w:rsidRPr="001455B4">
              <w:rPr>
                <w:lang w:eastAsia="de-AT"/>
              </w:rPr>
              <w:t>Carbon storage</w:t>
            </w:r>
          </w:p>
        </w:tc>
        <w:tc>
          <w:tcPr>
            <w:tcW w:w="1559" w:type="dxa"/>
            <w:shd w:val="clear" w:color="000000" w:fill="FF0000"/>
            <w:noWrap/>
            <w:vAlign w:val="bottom"/>
            <w:hideMark/>
          </w:tcPr>
          <w:p w14:paraId="0562C1B4"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67B4AC49" w14:textId="77777777" w:rsidTr="003B0911">
        <w:trPr>
          <w:trHeight w:val="300"/>
        </w:trPr>
        <w:tc>
          <w:tcPr>
            <w:tcW w:w="1600" w:type="dxa"/>
            <w:shd w:val="clear" w:color="000000" w:fill="FFFFFF"/>
            <w:noWrap/>
            <w:vAlign w:val="center"/>
            <w:hideMark/>
          </w:tcPr>
          <w:p w14:paraId="7E319ACD" w14:textId="77777777" w:rsidR="001455B4" w:rsidRPr="001455B4" w:rsidRDefault="001455B4" w:rsidP="0090303E">
            <w:pPr>
              <w:pStyle w:val="EEAtableleftbold"/>
              <w:rPr>
                <w:lang w:eastAsia="de-AT"/>
              </w:rPr>
            </w:pPr>
            <w:r w:rsidRPr="001455B4">
              <w:rPr>
                <w:lang w:eastAsia="de-AT"/>
              </w:rPr>
              <w:t>Biodiversity</w:t>
            </w:r>
          </w:p>
        </w:tc>
        <w:tc>
          <w:tcPr>
            <w:tcW w:w="6055" w:type="dxa"/>
            <w:shd w:val="clear" w:color="auto" w:fill="auto"/>
            <w:vAlign w:val="center"/>
            <w:hideMark/>
          </w:tcPr>
          <w:p w14:paraId="500C99BE" w14:textId="19ECC2DC" w:rsidR="001455B4" w:rsidRPr="001455B4" w:rsidRDefault="001455B4" w:rsidP="001455B4">
            <w:pPr>
              <w:pStyle w:val="EEAtableleft"/>
              <w:rPr>
                <w:lang w:eastAsia="de-AT"/>
              </w:rPr>
            </w:pPr>
            <w:r w:rsidRPr="001455B4">
              <w:rPr>
                <w:lang w:eastAsia="de-AT"/>
              </w:rPr>
              <w:t>Habitat for plants</w:t>
            </w:r>
            <w:r w:rsidR="00A12711">
              <w:rPr>
                <w:lang w:eastAsia="de-AT"/>
              </w:rPr>
              <w:t>.</w:t>
            </w:r>
            <w:r w:rsidRPr="001455B4">
              <w:rPr>
                <w:lang w:eastAsia="de-AT"/>
              </w:rPr>
              <w:t xml:space="preserve"> </w:t>
            </w:r>
            <w:proofErr w:type="gramStart"/>
            <w:r w:rsidRPr="001455B4">
              <w:rPr>
                <w:lang w:eastAsia="de-AT"/>
              </w:rPr>
              <w:t>insects</w:t>
            </w:r>
            <w:proofErr w:type="gramEnd"/>
            <w:r w:rsidR="00A12711">
              <w:rPr>
                <w:lang w:eastAsia="de-AT"/>
              </w:rPr>
              <w:t>.</w:t>
            </w:r>
            <w:r w:rsidRPr="001455B4">
              <w:rPr>
                <w:lang w:eastAsia="de-AT"/>
              </w:rPr>
              <w:t xml:space="preserve"> </w:t>
            </w:r>
            <w:proofErr w:type="gramStart"/>
            <w:r w:rsidRPr="001455B4">
              <w:rPr>
                <w:lang w:eastAsia="de-AT"/>
              </w:rPr>
              <w:t>microbes</w:t>
            </w:r>
            <w:proofErr w:type="gramEnd"/>
            <w:r w:rsidR="00A12711">
              <w:rPr>
                <w:lang w:eastAsia="de-AT"/>
              </w:rPr>
              <w:t>.</w:t>
            </w:r>
            <w:r w:rsidRPr="001455B4">
              <w:rPr>
                <w:lang w:eastAsia="de-AT"/>
              </w:rPr>
              <w:t xml:space="preserve"> funghi</w:t>
            </w:r>
          </w:p>
        </w:tc>
        <w:tc>
          <w:tcPr>
            <w:tcW w:w="1559" w:type="dxa"/>
            <w:shd w:val="clear" w:color="000000" w:fill="FF0000"/>
            <w:noWrap/>
            <w:vAlign w:val="bottom"/>
            <w:hideMark/>
          </w:tcPr>
          <w:p w14:paraId="0E72DDD3"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w:t>
            </w:r>
          </w:p>
        </w:tc>
      </w:tr>
      <w:tr w:rsidR="001455B4" w:rsidRPr="001455B4" w14:paraId="6FB1E323" w14:textId="77777777" w:rsidTr="003B0911">
        <w:trPr>
          <w:trHeight w:val="300"/>
        </w:trPr>
        <w:tc>
          <w:tcPr>
            <w:tcW w:w="1600" w:type="dxa"/>
            <w:vMerge w:val="restart"/>
            <w:shd w:val="clear" w:color="auto" w:fill="auto"/>
            <w:noWrap/>
            <w:vAlign w:val="center"/>
            <w:hideMark/>
          </w:tcPr>
          <w:p w14:paraId="1942550C" w14:textId="77777777" w:rsidR="001455B4" w:rsidRPr="001455B4" w:rsidRDefault="001455B4" w:rsidP="0090303E">
            <w:pPr>
              <w:pStyle w:val="EEAtableleftbold"/>
              <w:rPr>
                <w:lang w:eastAsia="de-AT"/>
              </w:rPr>
            </w:pPr>
            <w:r w:rsidRPr="001455B4">
              <w:rPr>
                <w:lang w:eastAsia="de-AT"/>
              </w:rPr>
              <w:t>Infrastructure</w:t>
            </w:r>
          </w:p>
        </w:tc>
        <w:tc>
          <w:tcPr>
            <w:tcW w:w="6055" w:type="dxa"/>
            <w:shd w:val="clear" w:color="auto" w:fill="auto"/>
            <w:vAlign w:val="center"/>
            <w:hideMark/>
          </w:tcPr>
          <w:p w14:paraId="20C56FC0" w14:textId="77777777" w:rsidR="001455B4" w:rsidRPr="001455B4" w:rsidRDefault="001455B4" w:rsidP="001455B4">
            <w:pPr>
              <w:pStyle w:val="EEAtableleft"/>
              <w:rPr>
                <w:lang w:eastAsia="de-AT"/>
              </w:rPr>
            </w:pPr>
            <w:r w:rsidRPr="001455B4">
              <w:rPr>
                <w:lang w:eastAsia="de-AT"/>
              </w:rPr>
              <w:t>Platform for infrastructure</w:t>
            </w:r>
          </w:p>
        </w:tc>
        <w:tc>
          <w:tcPr>
            <w:tcW w:w="1559" w:type="dxa"/>
            <w:shd w:val="clear" w:color="000000" w:fill="92D050"/>
            <w:vAlign w:val="center"/>
            <w:hideMark/>
          </w:tcPr>
          <w:p w14:paraId="515CC9AD"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 xml:space="preserve">+ </w:t>
            </w:r>
          </w:p>
        </w:tc>
      </w:tr>
      <w:tr w:rsidR="001455B4" w:rsidRPr="001455B4" w14:paraId="305D25C6" w14:textId="77777777" w:rsidTr="003B0911">
        <w:trPr>
          <w:trHeight w:val="300"/>
        </w:trPr>
        <w:tc>
          <w:tcPr>
            <w:tcW w:w="1600" w:type="dxa"/>
            <w:vMerge/>
            <w:vAlign w:val="center"/>
            <w:hideMark/>
          </w:tcPr>
          <w:p w14:paraId="1663A822" w14:textId="77777777" w:rsidR="001455B4" w:rsidRPr="001455B4" w:rsidRDefault="001455B4" w:rsidP="001455B4">
            <w:pPr>
              <w:suppressAutoHyphens w:val="0"/>
              <w:jc w:val="left"/>
              <w:rPr>
                <w:b/>
                <w:bCs/>
                <w:sz w:val="20"/>
                <w:lang w:eastAsia="de-AT"/>
              </w:rPr>
            </w:pPr>
          </w:p>
        </w:tc>
        <w:tc>
          <w:tcPr>
            <w:tcW w:w="6055" w:type="dxa"/>
            <w:shd w:val="clear" w:color="auto" w:fill="auto"/>
            <w:vAlign w:val="center"/>
            <w:hideMark/>
          </w:tcPr>
          <w:p w14:paraId="0835E1EB" w14:textId="77777777" w:rsidR="001455B4" w:rsidRPr="001455B4" w:rsidRDefault="001455B4" w:rsidP="001455B4">
            <w:pPr>
              <w:pStyle w:val="EEAtableleft"/>
              <w:rPr>
                <w:lang w:eastAsia="de-AT"/>
              </w:rPr>
            </w:pPr>
            <w:r w:rsidRPr="001455B4">
              <w:rPr>
                <w:lang w:eastAsia="de-AT"/>
              </w:rPr>
              <w:t>Storage of geological material</w:t>
            </w:r>
          </w:p>
        </w:tc>
        <w:tc>
          <w:tcPr>
            <w:tcW w:w="1559" w:type="dxa"/>
            <w:shd w:val="clear" w:color="000000" w:fill="92D050"/>
            <w:vAlign w:val="center"/>
            <w:hideMark/>
          </w:tcPr>
          <w:p w14:paraId="1628A561" w14:textId="77777777" w:rsidR="001455B4" w:rsidRPr="001455B4" w:rsidRDefault="001455B4" w:rsidP="001455B4">
            <w:pPr>
              <w:suppressAutoHyphens w:val="0"/>
              <w:jc w:val="center"/>
              <w:rPr>
                <w:b/>
                <w:bCs/>
                <w:color w:val="000000"/>
                <w:sz w:val="24"/>
                <w:szCs w:val="24"/>
                <w:lang w:eastAsia="de-AT"/>
              </w:rPr>
            </w:pPr>
            <w:r w:rsidRPr="001455B4">
              <w:rPr>
                <w:b/>
                <w:bCs/>
                <w:color w:val="000000"/>
                <w:sz w:val="24"/>
                <w:szCs w:val="24"/>
                <w:lang w:eastAsia="de-AT"/>
              </w:rPr>
              <w:t xml:space="preserve">+ </w:t>
            </w:r>
          </w:p>
        </w:tc>
      </w:tr>
    </w:tbl>
    <w:p w14:paraId="68209B80" w14:textId="77777777" w:rsidR="00182B71" w:rsidRDefault="00182B71" w:rsidP="00F13CAE"/>
    <w:p w14:paraId="20E8AE53" w14:textId="77777777" w:rsidR="00F13CAE" w:rsidRDefault="00F13CAE" w:rsidP="002C488D">
      <w:pPr>
        <w:pStyle w:val="berschrift2"/>
        <w:ind w:left="567" w:hanging="567"/>
      </w:pPr>
      <w:bookmarkStart w:id="410" w:name="_Toc48567190"/>
      <w:bookmarkStart w:id="411" w:name="_Toc83997405"/>
      <w:r w:rsidRPr="00F73B24">
        <w:t>Rationale “</w:t>
      </w:r>
      <w:r>
        <w:t>S</w:t>
      </w:r>
      <w:r w:rsidRPr="00F73B24">
        <w:t>oil</w:t>
      </w:r>
      <w:r>
        <w:t xml:space="preserve"> sealing”</w:t>
      </w:r>
      <w:bookmarkEnd w:id="410"/>
      <w:bookmarkEnd w:id="411"/>
    </w:p>
    <w:p w14:paraId="19746039" w14:textId="77777777" w:rsidR="00F13CAE" w:rsidRDefault="00F13CAE" w:rsidP="00F13CAE">
      <w:pPr>
        <w:rPr>
          <w:rFonts w:eastAsia="Calibri"/>
        </w:rPr>
      </w:pPr>
    </w:p>
    <w:p w14:paraId="209C3BC8" w14:textId="1627F00D" w:rsidR="00F13CAE" w:rsidRDefault="00F13CAE" w:rsidP="00F13CAE">
      <w:r w:rsidRPr="00370F4D">
        <w:rPr>
          <w:rFonts w:eastAsia="Calibri"/>
        </w:rPr>
        <w:t>Soil sealing can be defined as the destruction or covering of soils by buildings</w:t>
      </w:r>
      <w:r w:rsidR="00677B0A">
        <w:rPr>
          <w:rFonts w:eastAsia="Calibri"/>
        </w:rPr>
        <w:t>,</w:t>
      </w:r>
      <w:r>
        <w:rPr>
          <w:rFonts w:eastAsia="Calibri"/>
        </w:rPr>
        <w:t xml:space="preserve"> </w:t>
      </w:r>
      <w:r w:rsidRPr="00370F4D">
        <w:rPr>
          <w:rFonts w:eastAsia="Calibri"/>
        </w:rPr>
        <w:t xml:space="preserve">constructions and </w:t>
      </w:r>
      <w:r w:rsidRPr="00370F4D">
        <w:t>layers of completely or partly impermeable artificial material</w:t>
      </w:r>
      <w:r w:rsidRPr="00370F4D">
        <w:rPr>
          <w:rFonts w:eastAsia="Calibri"/>
        </w:rPr>
        <w:t xml:space="preserve"> </w:t>
      </w:r>
      <w:r w:rsidRPr="00370F4D">
        <w:t>(asphalt</w:t>
      </w:r>
      <w:r w:rsidR="00A12711">
        <w:t>.</w:t>
      </w:r>
      <w:r w:rsidRPr="00370F4D">
        <w:t xml:space="preserve"> concrete</w:t>
      </w:r>
      <w:r w:rsidR="00A12711">
        <w:t>.</w:t>
      </w:r>
      <w:r w:rsidRPr="00370F4D">
        <w:t xml:space="preserve"> etc</w:t>
      </w:r>
      <w:r w:rsidR="00A12711">
        <w:t>.</w:t>
      </w:r>
      <w:r w:rsidRPr="00370F4D">
        <w:t>)</w:t>
      </w:r>
      <w:r w:rsidR="00A12711">
        <w:t>.</w:t>
      </w:r>
      <w:r w:rsidRPr="00370F4D">
        <w:t xml:space="preserve"> It is the most intense form of </w:t>
      </w:r>
      <w:r>
        <w:t>soil degradation</w:t>
      </w:r>
      <w:r w:rsidRPr="00370F4D">
        <w:t xml:space="preserve"> and is essentially an</w:t>
      </w:r>
      <w:r w:rsidRPr="00370F4D">
        <w:rPr>
          <w:rFonts w:eastAsia="Calibri"/>
        </w:rPr>
        <w:t xml:space="preserve"> </w:t>
      </w:r>
      <w:r w:rsidRPr="00370F4D">
        <w:t xml:space="preserve">irreversible process (Prokop </w:t>
      </w:r>
      <w:r>
        <w:t>et</w:t>
      </w:r>
      <w:r w:rsidR="00A12711">
        <w:t>.</w:t>
      </w:r>
      <w:r>
        <w:t xml:space="preserve"> </w:t>
      </w:r>
      <w:r w:rsidR="00EE6B3D">
        <w:t>al.</w:t>
      </w:r>
      <w:r w:rsidRPr="00370F4D">
        <w:t xml:space="preserve"> 2011)</w:t>
      </w:r>
      <w:r w:rsidR="00A12711">
        <w:t>.</w:t>
      </w:r>
      <w:r w:rsidRPr="00370F4D">
        <w:t xml:space="preserve"> </w:t>
      </w:r>
    </w:p>
    <w:p w14:paraId="49675596" w14:textId="3075F28D" w:rsidR="00F13CAE" w:rsidRDefault="00F13CAE" w:rsidP="005E61BD">
      <w:pPr>
        <w:spacing w:before="120"/>
      </w:pPr>
      <w:r>
        <w:t xml:space="preserve">Soil sealing accompanies land take; the latter is commonly used to specify </w:t>
      </w:r>
      <w:r w:rsidRPr="00370F4D">
        <w:t>urbanisation</w:t>
      </w:r>
      <w:r w:rsidR="00677B0A">
        <w:t>,</w:t>
      </w:r>
      <w:r>
        <w:t xml:space="preserve"> expressed as the </w:t>
      </w:r>
      <w:r w:rsidRPr="00370F4D">
        <w:t>increase in artificial surface</w:t>
      </w:r>
      <w:r w:rsidR="00A12711">
        <w:t>.</w:t>
      </w:r>
      <w:r>
        <w:t xml:space="preserve"> Land take is usually realised </w:t>
      </w:r>
      <w:r w:rsidRPr="00370F4D">
        <w:t xml:space="preserve">at the expense of </w:t>
      </w:r>
      <w:r>
        <w:t>cropland or grass land</w:t>
      </w:r>
      <w:r w:rsidR="00677B0A">
        <w:t>,</w:t>
      </w:r>
      <w:r>
        <w:t xml:space="preserve"> and in some cases also forest land</w:t>
      </w:r>
      <w:r w:rsidR="00A12711">
        <w:t>.</w:t>
      </w:r>
      <w:r w:rsidRPr="00370F4D">
        <w:t xml:space="preserve"> </w:t>
      </w:r>
      <w:r>
        <w:t>The relationship between land take and soil sealing is illustrated in</w:t>
      </w:r>
      <w:r w:rsidR="00A77A0A">
        <w:t xml:space="preserve"> </w:t>
      </w:r>
      <w:r w:rsidR="00616A32">
        <w:fldChar w:fldCharType="begin"/>
      </w:r>
      <w:r w:rsidR="00616A32">
        <w:instrText xml:space="preserve"> REF _Ref82784922 \h </w:instrText>
      </w:r>
      <w:r w:rsidR="00616A32">
        <w:fldChar w:fldCharType="separate"/>
      </w:r>
      <w:r w:rsidR="0067767C" w:rsidRPr="00B2361E">
        <w:t xml:space="preserve">Figure </w:t>
      </w:r>
      <w:r w:rsidR="0067767C">
        <w:rPr>
          <w:noProof/>
        </w:rPr>
        <w:t>9</w:t>
      </w:r>
      <w:r w:rsidR="0067767C">
        <w:noBreakHyphen/>
      </w:r>
      <w:r w:rsidR="0067767C">
        <w:rPr>
          <w:noProof/>
        </w:rPr>
        <w:t>1</w:t>
      </w:r>
      <w:r w:rsidR="00616A32">
        <w:fldChar w:fldCharType="end"/>
      </w:r>
      <w:r w:rsidR="00A12711">
        <w:t>.</w:t>
      </w:r>
      <w:r>
        <w:t xml:space="preserve"> Areas subject to land take are not entirely sealed</w:t>
      </w:r>
      <w:r w:rsidR="00A12711">
        <w:t>.</w:t>
      </w:r>
      <w:r>
        <w:t xml:space="preserve"> Sealing rates are usually low in peri-urban areas with on average 10 % and very high in core cities with on average 36 % (Naumann et al 2018)</w:t>
      </w:r>
      <w:r w:rsidR="00A12711">
        <w:t>.</w:t>
      </w:r>
    </w:p>
    <w:p w14:paraId="158C7FCA" w14:textId="14AB1938" w:rsidR="002D189C" w:rsidRDefault="002D189C">
      <w:pPr>
        <w:suppressAutoHyphens w:val="0"/>
        <w:jc w:val="left"/>
      </w:pPr>
      <w:r>
        <w:br w:type="page"/>
      </w:r>
    </w:p>
    <w:p w14:paraId="02F34626" w14:textId="77777777" w:rsidR="0090303E" w:rsidRDefault="0090303E" w:rsidP="005E61BD">
      <w:pPr>
        <w:spacing w:before="120"/>
      </w:pPr>
    </w:p>
    <w:p w14:paraId="0D65C728" w14:textId="7CA54228" w:rsidR="005E61BD" w:rsidRPr="0090303E" w:rsidRDefault="0090303E" w:rsidP="0090303E">
      <w:pPr>
        <w:pStyle w:val="FormatvorlageBeschriftung"/>
      </w:pPr>
      <w:bookmarkStart w:id="412" w:name="_Ref82784922"/>
      <w:bookmarkStart w:id="413" w:name="_Toc83997442"/>
      <w:r w:rsidRPr="00B2361E">
        <w:t xml:space="preserve">Figure </w:t>
      </w:r>
      <w:r w:rsidR="00CA7716">
        <w:fldChar w:fldCharType="begin"/>
      </w:r>
      <w:r w:rsidR="00CA7716">
        <w:instrText xml:space="preserve"> STYLEREF 1 \s </w:instrText>
      </w:r>
      <w:r w:rsidR="00CA7716">
        <w:fldChar w:fldCharType="separate"/>
      </w:r>
      <w:r w:rsidR="0067767C">
        <w:rPr>
          <w:noProof/>
        </w:rPr>
        <w:t>9</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1</w:t>
      </w:r>
      <w:r w:rsidR="00CA7716">
        <w:fldChar w:fldCharType="end"/>
      </w:r>
      <w:bookmarkEnd w:id="412"/>
      <w:r w:rsidRPr="00B2361E">
        <w:t>:</w:t>
      </w:r>
      <w:r w:rsidRPr="00B2361E">
        <w:tab/>
      </w:r>
      <w:r w:rsidRPr="0090303E">
        <w:t>The relationship between land take (left) and soil sealing (right. hatched surfaces)</w:t>
      </w:r>
      <w:bookmarkEnd w:id="413"/>
      <w:r w:rsidRPr="005E61BD">
        <w:rPr>
          <w:b w:val="0"/>
          <w:bCs w:val="0"/>
          <w:i/>
          <w:iCs/>
          <w:szCs w:val="22"/>
        </w:rPr>
        <w:tab/>
      </w:r>
    </w:p>
    <w:p w14:paraId="66A8B94D" w14:textId="11BB2391" w:rsidR="0090303E" w:rsidRDefault="0090303E" w:rsidP="00F13CAE">
      <w:r>
        <w:rPr>
          <w:noProof/>
          <w:lang w:eastAsia="en-GB"/>
        </w:rPr>
        <w:drawing>
          <wp:anchor distT="0" distB="0" distL="114300" distR="114300" simplePos="0" relativeHeight="251743744" behindDoc="0" locked="0" layoutInCell="1" allowOverlap="1" wp14:anchorId="535029B9" wp14:editId="09D756AB">
            <wp:simplePos x="0" y="0"/>
            <wp:positionH relativeFrom="margin">
              <wp:posOffset>171450</wp:posOffset>
            </wp:positionH>
            <wp:positionV relativeFrom="paragraph">
              <wp:posOffset>0</wp:posOffset>
            </wp:positionV>
            <wp:extent cx="5759450" cy="1831975"/>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lementare_sealing.jpg"/>
                    <pic:cNvPicPr/>
                  </pic:nvPicPr>
                  <pic:blipFill>
                    <a:blip r:embed="rId52">
                      <a:extLst>
                        <a:ext uri="{28A0092B-C50C-407E-A947-70E740481C1C}">
                          <a14:useLocalDpi xmlns:a14="http://schemas.microsoft.com/office/drawing/2010/main" val="0"/>
                        </a:ext>
                      </a:extLst>
                    </a:blip>
                    <a:stretch>
                      <a:fillRect/>
                    </a:stretch>
                  </pic:blipFill>
                  <pic:spPr>
                    <a:xfrm>
                      <a:off x="0" y="0"/>
                      <a:ext cx="5759450" cy="1831975"/>
                    </a:xfrm>
                    <a:prstGeom prst="rect">
                      <a:avLst/>
                    </a:prstGeom>
                  </pic:spPr>
                </pic:pic>
              </a:graphicData>
            </a:graphic>
          </wp:anchor>
        </w:drawing>
      </w:r>
    </w:p>
    <w:p w14:paraId="705EFA1F" w14:textId="7B695655" w:rsidR="00F13CAE" w:rsidRDefault="00F13CAE" w:rsidP="00F13CAE">
      <w:r>
        <w:t>Urbanization affects soils in different ways: soils can be fully or partially removed</w:t>
      </w:r>
      <w:r w:rsidR="00677B0A">
        <w:t>,</w:t>
      </w:r>
      <w:r>
        <w:t xml:space="preserve"> and substituted by construction materi</w:t>
      </w:r>
      <w:r w:rsidR="00EE6B3D">
        <w:t>al</w:t>
      </w:r>
      <w:r w:rsidR="00677B0A">
        <w:t>,</w:t>
      </w:r>
      <w:r>
        <w:t xml:space="preserve"> waste</w:t>
      </w:r>
      <w:r w:rsidR="00677B0A">
        <w:t>,</w:t>
      </w:r>
      <w:r>
        <w:t xml:space="preserve"> or mixed material (artefacts</w:t>
      </w:r>
      <w:r w:rsidR="00A12711">
        <w:t>.</w:t>
      </w:r>
      <w:r>
        <w:t xml:space="preserve"> debris); it can be sealed (asphalt) or covered with more or less penetrable surfaces</w:t>
      </w:r>
      <w:r w:rsidR="00A12711">
        <w:t>.</w:t>
      </w:r>
      <w:r>
        <w:t xml:space="preserve"> While the urbanization rate (total land take) may be high</w:t>
      </w:r>
      <w:r w:rsidR="00A12711">
        <w:t>.</w:t>
      </w:r>
      <w:r>
        <w:t xml:space="preserve"> </w:t>
      </w:r>
      <w:proofErr w:type="gramStart"/>
      <w:r>
        <w:t>the</w:t>
      </w:r>
      <w:proofErr w:type="gramEnd"/>
      <w:r>
        <w:t xml:space="preserve"> amount of soils sealed</w:t>
      </w:r>
      <w:r w:rsidR="00677B0A">
        <w:t>,</w:t>
      </w:r>
      <w:r>
        <w:t xml:space="preserve"> or removed might be decreasing</w:t>
      </w:r>
      <w:r w:rsidR="00A12711">
        <w:t>.</w:t>
      </w:r>
      <w:r>
        <w:t xml:space="preserve"> For this reason it is important to monitor soil sealing with as much spatial accuracy as possible</w:t>
      </w:r>
      <w:r w:rsidR="00A12711">
        <w:t>.</w:t>
      </w:r>
    </w:p>
    <w:p w14:paraId="06AE796A" w14:textId="77777777" w:rsidR="00F13CAE" w:rsidRDefault="00F13CAE" w:rsidP="00F13CAE"/>
    <w:p w14:paraId="6E749E9D" w14:textId="77777777" w:rsidR="00F13CAE" w:rsidRDefault="00F13CAE" w:rsidP="002C488D">
      <w:pPr>
        <w:pStyle w:val="berschrift2"/>
        <w:ind w:left="567" w:hanging="567"/>
      </w:pPr>
      <w:bookmarkStart w:id="414" w:name="_Toc48567191"/>
      <w:bookmarkStart w:id="415" w:name="_Toc83997406"/>
      <w:r>
        <w:t>Indicator specification</w:t>
      </w:r>
      <w:bookmarkEnd w:id="414"/>
      <w:bookmarkEnd w:id="415"/>
    </w:p>
    <w:p w14:paraId="0AF5D557" w14:textId="77777777" w:rsidR="00F13CAE" w:rsidRDefault="00F13CAE" w:rsidP="00F13CAE"/>
    <w:p w14:paraId="14061817" w14:textId="1B4D1593" w:rsidR="00F13CAE" w:rsidRDefault="00F13CAE" w:rsidP="00F13CAE">
      <w:pPr>
        <w:jc w:val="left"/>
      </w:pPr>
      <w:r>
        <w:rPr>
          <w:rFonts w:eastAsia="Calibri"/>
        </w:rPr>
        <w:t>Soil sealing is usually calculated as percentage (sealed area per total area) or as sealed area per capita for a given region or country</w:t>
      </w:r>
      <w:r w:rsidR="00A12711">
        <w:rPr>
          <w:rFonts w:eastAsia="Calibri"/>
        </w:rPr>
        <w:t>.</w:t>
      </w:r>
      <w:r>
        <w:rPr>
          <w:rFonts w:eastAsia="Calibri"/>
        </w:rPr>
        <w:t xml:space="preserve"> The EEA indicator “Imperviousness in Europe” has been widely used as soil sealing index (impervious soil coverage)</w:t>
      </w:r>
      <w:r w:rsidR="00A12711">
        <w:rPr>
          <w:rFonts w:eastAsia="Calibri"/>
        </w:rPr>
        <w:t>.</w:t>
      </w:r>
      <w:r>
        <w:rPr>
          <w:rFonts w:eastAsia="Calibri"/>
        </w:rPr>
        <w:t xml:space="preserve"> </w:t>
      </w:r>
      <w:r>
        <w:t>Current methods to measure soil sealing are:</w:t>
      </w:r>
    </w:p>
    <w:p w14:paraId="48D6E7A6" w14:textId="77777777" w:rsidR="00F13CAE" w:rsidRPr="009D5972" w:rsidRDefault="00F13CAE" w:rsidP="002C488D">
      <w:pPr>
        <w:pStyle w:val="berschrift2"/>
        <w:numPr>
          <w:ilvl w:val="2"/>
          <w:numId w:val="3"/>
        </w:numPr>
        <w:rPr>
          <w:rStyle w:val="FormatvorlageFormatvorlageberschrift3Zchn1"/>
        </w:rPr>
      </w:pPr>
      <w:bookmarkStart w:id="416" w:name="_Toc48567192"/>
      <w:bookmarkStart w:id="417" w:name="_Toc83997407"/>
      <w:r w:rsidRPr="009D5972">
        <w:rPr>
          <w:rStyle w:val="FormatvorlageFormatvorlageberschrift3Zchn1"/>
        </w:rPr>
        <w:t>Satellite methods</w:t>
      </w:r>
      <w:bookmarkEnd w:id="416"/>
      <w:bookmarkEnd w:id="417"/>
    </w:p>
    <w:p w14:paraId="7781951B" w14:textId="77777777" w:rsidR="00F13CAE" w:rsidRDefault="00F13CAE" w:rsidP="00F13CAE"/>
    <w:p w14:paraId="414229CA" w14:textId="3BFB1CFC" w:rsidR="00F13CAE" w:rsidRDefault="00F13CAE" w:rsidP="00F13CAE">
      <w:pPr>
        <w:rPr>
          <w:rFonts w:eastAsia="Calibri"/>
        </w:rPr>
      </w:pPr>
      <w:r>
        <w:rPr>
          <w:rFonts w:eastAsia="Calibri"/>
        </w:rPr>
        <w:t xml:space="preserve">The most common method to measure soil sealing is </w:t>
      </w:r>
      <w:r w:rsidRPr="00047715">
        <w:rPr>
          <w:rFonts w:eastAsia="Calibri"/>
        </w:rPr>
        <w:t xml:space="preserve">based on </w:t>
      </w:r>
      <w:r>
        <w:rPr>
          <w:rFonts w:eastAsia="Calibri"/>
        </w:rPr>
        <w:t xml:space="preserve">different </w:t>
      </w:r>
      <w:r w:rsidRPr="00047715">
        <w:rPr>
          <w:rFonts w:eastAsia="Calibri"/>
        </w:rPr>
        <w:t>reflection behaviour of sealed and unsealed surfaces</w:t>
      </w:r>
      <w:r w:rsidR="00A12711">
        <w:rPr>
          <w:rFonts w:eastAsia="Calibri"/>
        </w:rPr>
        <w:t>.</w:t>
      </w:r>
      <w:r>
        <w:rPr>
          <w:rFonts w:eastAsia="Calibri"/>
        </w:rPr>
        <w:t xml:space="preserve"> This so called NDVI method (</w:t>
      </w:r>
      <w:r w:rsidRPr="00047715">
        <w:rPr>
          <w:rFonts w:eastAsia="Calibri"/>
        </w:rPr>
        <w:t>Normalized Difference Vegetation Index</w:t>
      </w:r>
      <w:r>
        <w:rPr>
          <w:rFonts w:eastAsia="Calibri"/>
        </w:rPr>
        <w:t xml:space="preserve">) </w:t>
      </w:r>
      <w:r w:rsidRPr="00047715">
        <w:rPr>
          <w:rFonts w:eastAsia="Calibri"/>
        </w:rPr>
        <w:t>quantifies vegetation by measuring the difference between near-infrared (which vegetation strongly reflects) and red light (which vegetation absorbs)</w:t>
      </w:r>
      <w:r w:rsidR="00A12711">
        <w:rPr>
          <w:rFonts w:eastAsia="Calibri"/>
        </w:rPr>
        <w:t>.</w:t>
      </w:r>
      <w:r>
        <w:rPr>
          <w:rFonts w:eastAsia="Calibri"/>
        </w:rPr>
        <w:t xml:space="preserve"> The NDVI method is used to measure vegetation</w:t>
      </w:r>
      <w:r w:rsidR="00677B0A">
        <w:rPr>
          <w:rFonts w:eastAsia="Calibri"/>
        </w:rPr>
        <w:t>,</w:t>
      </w:r>
      <w:r>
        <w:rPr>
          <w:rFonts w:eastAsia="Calibri"/>
        </w:rPr>
        <w:t xml:space="preserve"> drought</w:t>
      </w:r>
      <w:r w:rsidR="00677B0A">
        <w:rPr>
          <w:rFonts w:eastAsia="Calibri"/>
        </w:rPr>
        <w:t>,</w:t>
      </w:r>
      <w:r>
        <w:rPr>
          <w:rFonts w:eastAsia="Calibri"/>
        </w:rPr>
        <w:t xml:space="preserve"> but also sealed surfaces</w:t>
      </w:r>
      <w:r w:rsidR="00A12711">
        <w:rPr>
          <w:rFonts w:eastAsia="Calibri"/>
        </w:rPr>
        <w:t>.</w:t>
      </w:r>
    </w:p>
    <w:p w14:paraId="224A0353" w14:textId="77777777" w:rsidR="00F13CAE" w:rsidRDefault="00F13CAE" w:rsidP="00F13CAE">
      <w:pPr>
        <w:rPr>
          <w:rFonts w:eastAsia="Calibri"/>
        </w:rPr>
      </w:pPr>
    </w:p>
    <w:p w14:paraId="0C6E51EF" w14:textId="2F616979" w:rsidR="00F13CAE" w:rsidRDefault="00F13CAE" w:rsidP="00F13CAE">
      <w:pPr>
        <w:rPr>
          <w:rFonts w:eastAsia="Calibri"/>
          <w:lang w:val="en-US"/>
        </w:rPr>
      </w:pPr>
      <w:r w:rsidRPr="00047715">
        <w:rPr>
          <w:rFonts w:eastAsia="Calibri"/>
        </w:rPr>
        <w:t>Healthy vegetation (chlorophyll) reflects more near-infrared (NIR) and green light compared to other wavelengths</w:t>
      </w:r>
      <w:r w:rsidR="00677B0A">
        <w:rPr>
          <w:rFonts w:eastAsia="Calibri"/>
        </w:rPr>
        <w:t>,</w:t>
      </w:r>
      <w:r>
        <w:rPr>
          <w:rFonts w:eastAsia="Calibri"/>
        </w:rPr>
        <w:t xml:space="preserve"> b</w:t>
      </w:r>
      <w:r w:rsidRPr="00047715">
        <w:rPr>
          <w:rFonts w:eastAsia="Calibri"/>
        </w:rPr>
        <w:t>ut it absorbs more red and blue light</w:t>
      </w:r>
      <w:r>
        <w:rPr>
          <w:rFonts w:eastAsia="Calibri"/>
        </w:rPr>
        <w:t xml:space="preserve"> (thus</w:t>
      </w:r>
      <w:r w:rsidR="00A12711">
        <w:rPr>
          <w:rFonts w:eastAsia="Calibri"/>
        </w:rPr>
        <w:t>.</w:t>
      </w:r>
      <w:r>
        <w:rPr>
          <w:rFonts w:eastAsia="Calibri"/>
        </w:rPr>
        <w:t xml:space="preserve"> </w:t>
      </w:r>
      <w:r w:rsidRPr="00047715">
        <w:rPr>
          <w:rFonts w:eastAsia="Calibri"/>
        </w:rPr>
        <w:t xml:space="preserve">vegetation </w:t>
      </w:r>
      <w:r>
        <w:rPr>
          <w:rFonts w:eastAsia="Calibri"/>
        </w:rPr>
        <w:t>appears</w:t>
      </w:r>
      <w:r w:rsidRPr="00047715">
        <w:rPr>
          <w:rFonts w:eastAsia="Calibri"/>
        </w:rPr>
        <w:t xml:space="preserve"> green</w:t>
      </w:r>
      <w:r>
        <w:rPr>
          <w:rFonts w:eastAsia="Calibri"/>
        </w:rPr>
        <w:t>)</w:t>
      </w:r>
      <w:r w:rsidR="00A12711">
        <w:rPr>
          <w:rFonts w:eastAsia="Calibri"/>
        </w:rPr>
        <w:t>.</w:t>
      </w:r>
      <w:r w:rsidRPr="00047715">
        <w:rPr>
          <w:rFonts w:eastAsia="Calibri"/>
        </w:rPr>
        <w:t xml:space="preserve"> Satellite sensors like Landsat and Sentinel-2 both have the necessary </w:t>
      </w:r>
      <w:r>
        <w:rPr>
          <w:rFonts w:eastAsia="Calibri"/>
        </w:rPr>
        <w:t>data</w:t>
      </w:r>
      <w:r w:rsidR="00A12711">
        <w:rPr>
          <w:rFonts w:eastAsia="Calibri"/>
          <w:lang w:val="en-US"/>
        </w:rPr>
        <w:t>.</w:t>
      </w:r>
    </w:p>
    <w:p w14:paraId="7F49FBF0" w14:textId="77777777" w:rsidR="00F13CAE" w:rsidRDefault="00F13CAE" w:rsidP="00F13CAE">
      <w:pPr>
        <w:rPr>
          <w:rFonts w:eastAsia="Calibri"/>
          <w:lang w:val="en-US"/>
        </w:rPr>
      </w:pPr>
    </w:p>
    <w:p w14:paraId="54531648" w14:textId="35032805" w:rsidR="00F13CAE" w:rsidRPr="00B15BE3" w:rsidRDefault="00F13CAE" w:rsidP="00F13CAE">
      <w:pPr>
        <w:rPr>
          <w:rFonts w:eastAsia="Calibri"/>
        </w:rPr>
      </w:pPr>
      <w:r w:rsidRPr="00B15BE3">
        <w:rPr>
          <w:rFonts w:eastAsia="Calibri"/>
        </w:rPr>
        <w:t>Calculations of NDVI for a given pixel always result in a number that ranges from minus one (-1) to plus one (+1); however</w:t>
      </w:r>
      <w:r w:rsidR="00677B0A">
        <w:rPr>
          <w:rFonts w:eastAsia="Calibri"/>
        </w:rPr>
        <w:t>,</w:t>
      </w:r>
      <w:r w:rsidRPr="00B15BE3">
        <w:rPr>
          <w:rFonts w:eastAsia="Calibri"/>
        </w:rPr>
        <w:t xml:space="preserve"> no green leave</w:t>
      </w:r>
      <w:r>
        <w:rPr>
          <w:rFonts w:eastAsia="Calibri"/>
        </w:rPr>
        <w:t>s</w:t>
      </w:r>
      <w:r w:rsidRPr="00B15BE3">
        <w:rPr>
          <w:rFonts w:eastAsia="Calibri"/>
        </w:rPr>
        <w:t xml:space="preserve"> </w:t>
      </w:r>
      <w:r>
        <w:rPr>
          <w:rFonts w:eastAsia="Calibri"/>
        </w:rPr>
        <w:t xml:space="preserve">would provide </w:t>
      </w:r>
      <w:r w:rsidRPr="00B15BE3">
        <w:rPr>
          <w:rFonts w:eastAsia="Calibri"/>
        </w:rPr>
        <w:t>a value close to zero</w:t>
      </w:r>
      <w:r>
        <w:rPr>
          <w:rFonts w:eastAsia="Calibri"/>
        </w:rPr>
        <w:t xml:space="preserve">; </w:t>
      </w:r>
      <w:r w:rsidRPr="00B15BE3">
        <w:rPr>
          <w:rFonts w:eastAsia="Calibri"/>
        </w:rPr>
        <w:t>zero means no vegetation</w:t>
      </w:r>
      <w:r w:rsidR="00677B0A">
        <w:rPr>
          <w:rFonts w:eastAsia="Calibri"/>
        </w:rPr>
        <w:t>,</w:t>
      </w:r>
      <w:r w:rsidRPr="00B15BE3">
        <w:rPr>
          <w:rFonts w:eastAsia="Calibri"/>
        </w:rPr>
        <w:t xml:space="preserve"> </w:t>
      </w:r>
      <w:r>
        <w:rPr>
          <w:rFonts w:eastAsia="Calibri"/>
        </w:rPr>
        <w:t>approaching</w:t>
      </w:r>
      <w:r w:rsidRPr="00B15BE3">
        <w:rPr>
          <w:rFonts w:eastAsia="Calibri"/>
        </w:rPr>
        <w:t xml:space="preserve"> +1 (0</w:t>
      </w:r>
      <w:r w:rsidR="00A12711">
        <w:rPr>
          <w:rFonts w:eastAsia="Calibri"/>
        </w:rPr>
        <w:t>.</w:t>
      </w:r>
      <w:r w:rsidRPr="00B15BE3">
        <w:rPr>
          <w:rFonts w:eastAsia="Calibri"/>
        </w:rPr>
        <w:t>8 - 0</w:t>
      </w:r>
      <w:r w:rsidR="00A12711">
        <w:rPr>
          <w:rFonts w:eastAsia="Calibri"/>
        </w:rPr>
        <w:t>.</w:t>
      </w:r>
      <w:r w:rsidRPr="00B15BE3">
        <w:rPr>
          <w:rFonts w:eastAsia="Calibri"/>
        </w:rPr>
        <w:t>9)</w:t>
      </w:r>
      <w:r>
        <w:rPr>
          <w:rFonts w:eastAsia="Calibri"/>
        </w:rPr>
        <w:t>; it</w:t>
      </w:r>
      <w:r w:rsidRPr="00B15BE3">
        <w:rPr>
          <w:rFonts w:eastAsia="Calibri"/>
        </w:rPr>
        <w:t xml:space="preserve"> indicates the highest possible density of green leaves</w:t>
      </w:r>
      <w:r w:rsidR="00A12711">
        <w:rPr>
          <w:rFonts w:eastAsia="Calibri"/>
        </w:rPr>
        <w:t>.</w:t>
      </w:r>
    </w:p>
    <w:p w14:paraId="128A97CF" w14:textId="77777777" w:rsidR="00F13CAE" w:rsidRDefault="00F13CAE" w:rsidP="00F13CAE">
      <w:pPr>
        <w:rPr>
          <w:rFonts w:eastAsia="Calibri"/>
          <w:lang w:val="en-US"/>
        </w:rPr>
      </w:pPr>
    </w:p>
    <w:p w14:paraId="69EE96E5" w14:textId="613FF240" w:rsidR="00F13CAE" w:rsidRPr="00E44384" w:rsidRDefault="00F13CAE" w:rsidP="00F13CAE">
      <w:pPr>
        <w:rPr>
          <w:rFonts w:eastAsia="Calibri"/>
          <w:lang w:val="en-US"/>
        </w:rPr>
      </w:pPr>
      <w:r>
        <w:rPr>
          <w:rFonts w:eastAsia="Calibri"/>
          <w:lang w:val="en-US"/>
        </w:rPr>
        <w:t>At European level data</w:t>
      </w:r>
      <w:r w:rsidR="00677B0A">
        <w:rPr>
          <w:rFonts w:eastAsia="Calibri"/>
          <w:lang w:val="en-US"/>
        </w:rPr>
        <w:t>,</w:t>
      </w:r>
      <w:r>
        <w:rPr>
          <w:rFonts w:eastAsia="Calibri"/>
          <w:lang w:val="en-US"/>
        </w:rPr>
        <w:t xml:space="preserve"> readily evaluated data on soil sealing are available through the Copernicus Land Monitoring Service</w:t>
      </w:r>
      <w:r w:rsidR="00A12711">
        <w:rPr>
          <w:rFonts w:eastAsia="Calibri"/>
          <w:lang w:val="en-US"/>
        </w:rPr>
        <w:t>.</w:t>
      </w:r>
      <w:r>
        <w:rPr>
          <w:rFonts w:eastAsia="Calibri"/>
          <w:lang w:val="en-US"/>
        </w:rPr>
        <w:t xml:space="preserve"> The indicator “Degree of imperviousness” (or: Imperviousness in Europe) describes </w:t>
      </w:r>
      <w:r w:rsidRPr="00E44384">
        <w:rPr>
          <w:rFonts w:eastAsia="Calibri"/>
          <w:lang w:val="en-US"/>
        </w:rPr>
        <w:t>the area sealed as defined above</w:t>
      </w:r>
      <w:r w:rsidR="00A12711">
        <w:rPr>
          <w:rFonts w:eastAsia="Calibri"/>
          <w:lang w:val="en-US"/>
        </w:rPr>
        <w:t>.</w:t>
      </w:r>
      <w:r w:rsidRPr="00E44384">
        <w:rPr>
          <w:rFonts w:eastAsia="Calibri"/>
          <w:lang w:val="en-US"/>
        </w:rPr>
        <w:t xml:space="preserve"> It contains the counts of pixels of impermeable soil cover (thus soil sealing)</w:t>
      </w:r>
      <w:r w:rsidR="00A12711">
        <w:rPr>
          <w:rFonts w:eastAsia="Calibri"/>
          <w:lang w:val="en-US"/>
        </w:rPr>
        <w:t>.</w:t>
      </w:r>
      <w:r w:rsidRPr="00E44384">
        <w:rPr>
          <w:rFonts w:eastAsia="Calibri"/>
          <w:lang w:val="en-US"/>
        </w:rPr>
        <w:t xml:space="preserve"> </w:t>
      </w:r>
      <w:proofErr w:type="gramStart"/>
      <w:r w:rsidRPr="00E44384">
        <w:rPr>
          <w:rFonts w:eastAsia="Calibri"/>
          <w:lang w:val="en-US"/>
        </w:rPr>
        <w:t>and</w:t>
      </w:r>
      <w:proofErr w:type="gramEnd"/>
      <w:r w:rsidRPr="00E44384">
        <w:rPr>
          <w:rFonts w:eastAsia="Calibri"/>
          <w:lang w:val="en-US"/>
        </w:rPr>
        <w:t xml:space="preserve"> are mapped as the degree of imperviousness (0-100%)</w:t>
      </w:r>
      <w:r w:rsidR="00A12711">
        <w:rPr>
          <w:rFonts w:eastAsia="Calibri"/>
          <w:lang w:val="en-US"/>
        </w:rPr>
        <w:t>.</w:t>
      </w:r>
      <w:r w:rsidRPr="00E44384">
        <w:rPr>
          <w:rFonts w:eastAsia="Calibri"/>
          <w:lang w:val="en-US"/>
        </w:rPr>
        <w:t xml:space="preserve"> Imperviousness change layers were produced as a difference between the corresponding reference dates and are presented as degree of imperviousness change (-100% --+100%)</w:t>
      </w:r>
      <w:r w:rsidR="00A12711">
        <w:rPr>
          <w:rFonts w:eastAsia="Calibri"/>
          <w:lang w:val="en-US"/>
        </w:rPr>
        <w:t>.</w:t>
      </w:r>
      <w:r w:rsidRPr="00E44384">
        <w:rPr>
          <w:rFonts w:eastAsia="Calibri"/>
          <w:lang w:val="en-US"/>
        </w:rPr>
        <w:t xml:space="preserve"> Date are available:</w:t>
      </w:r>
    </w:p>
    <w:p w14:paraId="57C28ADD" w14:textId="77777777" w:rsidR="00E44384" w:rsidRPr="00E44384" w:rsidRDefault="00E44384" w:rsidP="00F13CAE">
      <w:pPr>
        <w:rPr>
          <w:rFonts w:eastAsia="Calibri"/>
          <w:lang w:val="en-US"/>
        </w:rPr>
      </w:pPr>
    </w:p>
    <w:p w14:paraId="011FBFF6" w14:textId="079A1ECC" w:rsidR="00F13CAE" w:rsidRPr="00677B0A" w:rsidRDefault="00F13CAE" w:rsidP="00677B0A">
      <w:pPr>
        <w:pStyle w:val="EEAbullet0"/>
      </w:pPr>
      <w:r w:rsidRPr="00677B0A">
        <w:t>On a three year basis since 2006; namely 2006</w:t>
      </w:r>
      <w:r w:rsidR="00A12711" w:rsidRPr="00677B0A">
        <w:t>.</w:t>
      </w:r>
      <w:r w:rsidRPr="00677B0A">
        <w:t xml:space="preserve"> 2009</w:t>
      </w:r>
      <w:r w:rsidR="00A12711" w:rsidRPr="00677B0A">
        <w:t>.</w:t>
      </w:r>
      <w:r w:rsidRPr="00677B0A">
        <w:t xml:space="preserve"> 2012</w:t>
      </w:r>
      <w:r w:rsidR="00A12711" w:rsidRPr="00677B0A">
        <w:t>.</w:t>
      </w:r>
      <w:r w:rsidRPr="00677B0A">
        <w:t xml:space="preserve"> 2015</w:t>
      </w:r>
      <w:r w:rsidR="00A12711" w:rsidRPr="00677B0A">
        <w:t>.</w:t>
      </w:r>
      <w:r w:rsidRPr="00677B0A">
        <w:t xml:space="preserve"> and 2018 (in preparation)</w:t>
      </w:r>
      <w:r w:rsidR="00A12711" w:rsidRPr="00677B0A">
        <w:t>.</w:t>
      </w:r>
    </w:p>
    <w:p w14:paraId="2C9DBEB3" w14:textId="480AC240" w:rsidR="00F13CAE" w:rsidRPr="00677B0A" w:rsidRDefault="00F13CAE" w:rsidP="00677B0A">
      <w:pPr>
        <w:pStyle w:val="EEAbullet0"/>
      </w:pPr>
      <w:r w:rsidRPr="00677B0A">
        <w:t>With a resolution of 20 m x 20 m</w:t>
      </w:r>
      <w:r w:rsidR="00A12711" w:rsidRPr="00677B0A">
        <w:t>.</w:t>
      </w:r>
      <w:r w:rsidRPr="00677B0A">
        <w:t xml:space="preserve"> and from 2018 on with a higher resolution 10 m x 10 m</w:t>
      </w:r>
      <w:r w:rsidR="00A12711" w:rsidRPr="00677B0A">
        <w:t>.</w:t>
      </w:r>
    </w:p>
    <w:p w14:paraId="3AA9B245" w14:textId="42FCBBC6" w:rsidR="00F13CAE" w:rsidRPr="00677B0A" w:rsidRDefault="00F13CAE" w:rsidP="00677B0A">
      <w:pPr>
        <w:pStyle w:val="EEAbullet0"/>
      </w:pPr>
      <w:r w:rsidRPr="00677B0A">
        <w:lastRenderedPageBreak/>
        <w:t>Change layers are available for the periods 2006-2009</w:t>
      </w:r>
      <w:r w:rsidR="00677B0A">
        <w:t>,</w:t>
      </w:r>
      <w:r w:rsidRPr="00677B0A">
        <w:t xml:space="preserve"> 2009-2012</w:t>
      </w:r>
      <w:r w:rsidR="00677B0A">
        <w:t>,</w:t>
      </w:r>
      <w:r w:rsidRPr="00677B0A">
        <w:t xml:space="preserve"> 2012-2015</w:t>
      </w:r>
      <w:r w:rsidR="00677B0A">
        <w:t>,</w:t>
      </w:r>
      <w:r w:rsidRPr="00677B0A">
        <w:t xml:space="preserve"> and 2006-2012</w:t>
      </w:r>
      <w:r w:rsidR="00A12711" w:rsidRPr="00677B0A">
        <w:t>.</w:t>
      </w:r>
      <w:r w:rsidRPr="00677B0A">
        <w:t xml:space="preserve"> They are however based on a coarser resolution</w:t>
      </w:r>
      <w:r w:rsidR="00A12711" w:rsidRPr="00677B0A">
        <w:t>.</w:t>
      </w:r>
      <w:r w:rsidRPr="00677B0A">
        <w:t xml:space="preserve"> The imperviousness change value is based on imperviousness layers with a resolution of 100 m  x 100 m</w:t>
      </w:r>
    </w:p>
    <w:p w14:paraId="1B28C15C" w14:textId="77777777" w:rsidR="00F13CAE" w:rsidRPr="00E44384" w:rsidRDefault="00F13CAE" w:rsidP="00F13CAE">
      <w:pPr>
        <w:rPr>
          <w:rFonts w:eastAsia="Calibri"/>
          <w:lang w:val="en-US"/>
        </w:rPr>
      </w:pPr>
    </w:p>
    <w:p w14:paraId="49D2A850" w14:textId="333853AD" w:rsidR="00F13CAE" w:rsidRDefault="00F13CAE" w:rsidP="00F13CAE">
      <w:pPr>
        <w:rPr>
          <w:rFonts w:eastAsia="Calibri"/>
          <w:lang w:val="en-US"/>
        </w:rPr>
      </w:pPr>
      <w:r w:rsidRPr="00E44384">
        <w:rPr>
          <w:rFonts w:eastAsia="Calibri"/>
          <w:lang w:val="en-US"/>
        </w:rPr>
        <w:t>Based on the above mentioned data sets from the Copernicus Land Monitoring Service regular European assessments are published by the European Environment Agency under the title “Imperviousness and</w:t>
      </w:r>
      <w:r w:rsidRPr="009356A9">
        <w:rPr>
          <w:rFonts w:eastAsia="Calibri"/>
          <w:lang w:val="en-US"/>
        </w:rPr>
        <w:t xml:space="preserve"> imperviousness change in Europe</w:t>
      </w:r>
      <w:r>
        <w:rPr>
          <w:rFonts w:eastAsia="Calibri"/>
          <w:lang w:val="en-US"/>
        </w:rPr>
        <w:t>” (EEA 2020)</w:t>
      </w:r>
      <w:r w:rsidR="00A12711">
        <w:rPr>
          <w:rFonts w:eastAsia="Calibri"/>
          <w:lang w:val="en-US"/>
        </w:rPr>
        <w:t>.</w:t>
      </w:r>
      <w:r>
        <w:rPr>
          <w:rFonts w:eastAsia="Calibri"/>
          <w:lang w:val="en-US"/>
        </w:rPr>
        <w:t xml:space="preserve"> Data are available in interactive format as maps and tables for the above mentioned reference years in absolute values or as changes for defined time </w:t>
      </w:r>
      <w:proofErr w:type="gramStart"/>
      <w:r>
        <w:rPr>
          <w:rFonts w:eastAsia="Calibri"/>
          <w:lang w:val="en-US"/>
        </w:rPr>
        <w:t xml:space="preserve">periods </w:t>
      </w:r>
      <w:proofErr w:type="gramEnd"/>
      <w:r>
        <w:rPr>
          <w:rStyle w:val="Funotenzeichen"/>
          <w:rFonts w:eastAsia="Calibri"/>
          <w:lang w:val="en-US"/>
        </w:rPr>
        <w:footnoteReference w:id="57"/>
      </w:r>
      <w:r w:rsidR="00A12711">
        <w:rPr>
          <w:rFonts w:eastAsia="Calibri"/>
          <w:lang w:val="en-US"/>
        </w:rPr>
        <w:t>.</w:t>
      </w:r>
    </w:p>
    <w:p w14:paraId="318FECFD" w14:textId="5034434F" w:rsidR="00F13CAE" w:rsidRPr="003B0931" w:rsidRDefault="00F13CAE" w:rsidP="00F13CAE">
      <w:pPr>
        <w:rPr>
          <w:noProof/>
          <w:lang w:val="en-US" w:eastAsia="de-AT"/>
        </w:rPr>
      </w:pPr>
    </w:p>
    <w:p w14:paraId="00071B8C" w14:textId="15BF6A3E" w:rsidR="005B4D78" w:rsidRDefault="005B4D78" w:rsidP="00F13CAE">
      <w:pPr>
        <w:rPr>
          <w:rFonts w:eastAsia="Calibri"/>
          <w:lang w:val="en-US"/>
        </w:rPr>
      </w:pPr>
    </w:p>
    <w:p w14:paraId="79837D46" w14:textId="509D5416" w:rsidR="00F13CAE" w:rsidRPr="005E61BD" w:rsidRDefault="002A5C04" w:rsidP="008F3498">
      <w:pPr>
        <w:pStyle w:val="FormatvorlageBeschriftung"/>
      </w:pPr>
      <w:bookmarkStart w:id="418" w:name="_Toc83997443"/>
      <w:r w:rsidRPr="00CA52D8">
        <w:rPr>
          <w:noProof/>
          <w:lang w:eastAsia="en-GB"/>
        </w:rPr>
        <w:drawing>
          <wp:anchor distT="0" distB="0" distL="114300" distR="114300" simplePos="0" relativeHeight="251730432" behindDoc="0" locked="0" layoutInCell="1" allowOverlap="1" wp14:anchorId="37B62FCA" wp14:editId="38F337A3">
            <wp:simplePos x="0" y="0"/>
            <wp:positionH relativeFrom="column">
              <wp:posOffset>-2540</wp:posOffset>
            </wp:positionH>
            <wp:positionV relativeFrom="paragraph">
              <wp:posOffset>410362</wp:posOffset>
            </wp:positionV>
            <wp:extent cx="5972810" cy="2310130"/>
            <wp:effectExtent l="0" t="0" r="8890" b="0"/>
            <wp:wrapTopAndBottom/>
            <wp:docPr id="7184" name="Grafik 7184" descr="\\umweltbundesamt.at\Projekte\10000\10595_ETC-ULS\Intern\183_Soil_2019\1832_Soil_Quality_Monitoring\Rep_Soil_Quality_Indicators\Figures_Tables\Sealing_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weltbundesamt.at\Projekte\10000\10595_ETC-ULS\Intern\183_Soil_2019\1832_Soil_Quality_Monitoring\Rep_Soil_Quality_Indicators\Figures_Tables\Sealing_map.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2810" cy="2310130"/>
                    </a:xfrm>
                    <a:prstGeom prst="rect">
                      <a:avLst/>
                    </a:prstGeom>
                    <a:noFill/>
                    <a:ln>
                      <a:noFill/>
                    </a:ln>
                  </pic:spPr>
                </pic:pic>
              </a:graphicData>
            </a:graphic>
          </wp:anchor>
        </w:drawing>
      </w:r>
      <w:r w:rsidR="005E61BD" w:rsidRPr="005E61BD">
        <w:t xml:space="preserve">Figure </w:t>
      </w:r>
      <w:r w:rsidR="00CA7716">
        <w:fldChar w:fldCharType="begin"/>
      </w:r>
      <w:r w:rsidR="00CA7716">
        <w:instrText xml:space="preserve"> STYLEREF 1 \s </w:instrText>
      </w:r>
      <w:r w:rsidR="00CA7716">
        <w:fldChar w:fldCharType="separate"/>
      </w:r>
      <w:r w:rsidR="0067767C">
        <w:rPr>
          <w:noProof/>
        </w:rPr>
        <w:t>9</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2</w:t>
      </w:r>
      <w:r w:rsidR="00CA7716">
        <w:fldChar w:fldCharType="end"/>
      </w:r>
      <w:r w:rsidR="005E61BD" w:rsidRPr="005E61BD">
        <w:t>:</w:t>
      </w:r>
      <w:r w:rsidR="005E61BD" w:rsidRPr="005E61BD">
        <w:tab/>
      </w:r>
      <w:r w:rsidR="00F13CAE" w:rsidRPr="005E61BD">
        <w:t>Example from the interactive data platform showing accounts of land surface sealing status and change in Europe (EEA39 and EU28) for every 3 years between 2006 and 2015</w:t>
      </w:r>
      <w:r w:rsidR="00A12711" w:rsidRPr="005E61BD">
        <w:t>.</w:t>
      </w:r>
      <w:bookmarkEnd w:id="418"/>
    </w:p>
    <w:p w14:paraId="7716C352" w14:textId="15C2C15E" w:rsidR="00182B71" w:rsidRDefault="00182B71" w:rsidP="002A5C04">
      <w:pPr>
        <w:pStyle w:val="EEASource"/>
        <w:rPr>
          <w:rFonts w:eastAsia="Calibri"/>
        </w:rPr>
      </w:pPr>
      <w:r w:rsidRPr="00182B71">
        <w:rPr>
          <w:rFonts w:eastAsia="Calibri"/>
          <w:b/>
        </w:rPr>
        <w:t>Source:</w:t>
      </w:r>
      <w:r w:rsidRPr="00E44384">
        <w:rPr>
          <w:rFonts w:eastAsia="Calibri"/>
        </w:rPr>
        <w:t xml:space="preserve"> </w:t>
      </w:r>
      <w:r>
        <w:rPr>
          <w:rFonts w:eastAsia="Calibri"/>
        </w:rPr>
        <w:tab/>
      </w:r>
      <w:r w:rsidRPr="00E44384">
        <w:rPr>
          <w:rFonts w:eastAsia="Calibri"/>
        </w:rPr>
        <w:t>EEA indicator “Imperviousness in Europe”</w:t>
      </w:r>
      <w:r>
        <w:rPr>
          <w:rFonts w:eastAsia="Calibri"/>
        </w:rPr>
        <w:t xml:space="preserve"> </w:t>
      </w:r>
    </w:p>
    <w:p w14:paraId="3EC1899F" w14:textId="77777777" w:rsidR="00182B71" w:rsidRPr="00182B71" w:rsidRDefault="00182B71" w:rsidP="00F13CAE">
      <w:pPr>
        <w:pStyle w:val="EEAbullet0"/>
        <w:numPr>
          <w:ilvl w:val="0"/>
          <w:numId w:val="0"/>
        </w:numPr>
      </w:pPr>
    </w:p>
    <w:p w14:paraId="4FF94387" w14:textId="77777777" w:rsidR="00F13CAE" w:rsidRPr="009D5972" w:rsidRDefault="00F13CAE" w:rsidP="002C488D">
      <w:pPr>
        <w:pStyle w:val="berschrift2"/>
        <w:numPr>
          <w:ilvl w:val="2"/>
          <w:numId w:val="3"/>
        </w:numPr>
        <w:rPr>
          <w:rStyle w:val="FormatvorlageFormatvorlageberschrift3Zchn1"/>
        </w:rPr>
      </w:pPr>
      <w:bookmarkStart w:id="419" w:name="_Toc48567193"/>
      <w:bookmarkStart w:id="420" w:name="_Toc83997408"/>
      <w:r w:rsidRPr="009D5972">
        <w:rPr>
          <w:rStyle w:val="FormatvorlageFormatvorlageberschrift3Zchn1"/>
        </w:rPr>
        <w:t>Computation based on land use data from cadastres or aerial pictures</w:t>
      </w:r>
      <w:bookmarkEnd w:id="419"/>
      <w:bookmarkEnd w:id="420"/>
    </w:p>
    <w:p w14:paraId="28A0812A" w14:textId="77777777" w:rsidR="00F13CAE" w:rsidRDefault="00F13CAE" w:rsidP="00F13CAE"/>
    <w:p w14:paraId="692A9444" w14:textId="43FCC849" w:rsidR="00F13CAE" w:rsidRDefault="00F13CAE" w:rsidP="00F13CAE">
      <w:pPr>
        <w:rPr>
          <w:rFonts w:eastAsia="Calibri"/>
        </w:rPr>
      </w:pPr>
      <w:r>
        <w:rPr>
          <w:rFonts w:eastAsia="Calibri"/>
        </w:rPr>
        <w:t>A simpler method to measure soil sealing is to use land use data from cadastres or aerial pictures</w:t>
      </w:r>
      <w:r w:rsidR="00A12711">
        <w:rPr>
          <w:rFonts w:eastAsia="Calibri"/>
        </w:rPr>
        <w:t>.</w:t>
      </w:r>
      <w:r>
        <w:rPr>
          <w:rFonts w:eastAsia="Calibri"/>
        </w:rPr>
        <w:t xml:space="preserve"> </w:t>
      </w:r>
      <w:proofErr w:type="gramStart"/>
      <w:r>
        <w:rPr>
          <w:rFonts w:eastAsia="Calibri"/>
        </w:rPr>
        <w:t>and</w:t>
      </w:r>
      <w:proofErr w:type="gramEnd"/>
      <w:r>
        <w:rPr>
          <w:rFonts w:eastAsia="Calibri"/>
        </w:rPr>
        <w:t xml:space="preserve"> to apply standard sealing indices for specified land use classes</w:t>
      </w:r>
      <w:r w:rsidR="00A12711">
        <w:rPr>
          <w:rFonts w:eastAsia="Calibri"/>
        </w:rPr>
        <w:t>.</w:t>
      </w:r>
      <w:r>
        <w:rPr>
          <w:rFonts w:eastAsia="Calibri"/>
        </w:rPr>
        <w:t xml:space="preserve"> Standard indices are derived from multiple sampling and calculating average values</w:t>
      </w:r>
      <w:r w:rsidR="00A12711">
        <w:rPr>
          <w:rFonts w:eastAsia="Calibri"/>
        </w:rPr>
        <w:t>.</w:t>
      </w:r>
      <w:r>
        <w:rPr>
          <w:rFonts w:eastAsia="Calibri"/>
        </w:rPr>
        <w:t xml:space="preserve"> This method can be easily used for measuring soil sealing in smaller regions or for specific projects but can also be used to perform random tests to validate satellite data for soil sealing</w:t>
      </w:r>
      <w:r w:rsidR="00A12711">
        <w:rPr>
          <w:rFonts w:eastAsia="Calibri"/>
        </w:rPr>
        <w:t>.</w:t>
      </w:r>
    </w:p>
    <w:p w14:paraId="2186E09A" w14:textId="77777777" w:rsidR="00F13CAE" w:rsidRDefault="00F13CAE" w:rsidP="00F13CAE">
      <w:pPr>
        <w:rPr>
          <w:rFonts w:eastAsia="Calibri"/>
        </w:rPr>
      </w:pPr>
    </w:p>
    <w:p w14:paraId="4E633D00" w14:textId="4C6EFCDA" w:rsidR="00F13CAE" w:rsidRDefault="00F13CAE" w:rsidP="00F13CAE">
      <w:pPr>
        <w:rPr>
          <w:rFonts w:eastAsia="Calibri"/>
        </w:rPr>
      </w:pPr>
      <w:r>
        <w:rPr>
          <w:rFonts w:eastAsia="Calibri"/>
        </w:rPr>
        <w:fldChar w:fldCharType="begin"/>
      </w:r>
      <w:r>
        <w:rPr>
          <w:rFonts w:eastAsia="Calibri"/>
        </w:rPr>
        <w:instrText xml:space="preserve"> REF _Ref48567005 \h </w:instrText>
      </w:r>
      <w:r>
        <w:rPr>
          <w:rFonts w:eastAsia="Calibri"/>
        </w:rPr>
      </w:r>
      <w:r>
        <w:rPr>
          <w:rFonts w:eastAsia="Calibri"/>
        </w:rPr>
        <w:fldChar w:fldCharType="separate"/>
      </w:r>
      <w:r w:rsidR="0067767C">
        <w:t xml:space="preserve">Table </w:t>
      </w:r>
      <w:r w:rsidR="0067767C">
        <w:rPr>
          <w:noProof/>
        </w:rPr>
        <w:t>9</w:t>
      </w:r>
      <w:r w:rsidR="0067767C">
        <w:noBreakHyphen/>
      </w:r>
      <w:r w:rsidR="0067767C">
        <w:rPr>
          <w:noProof/>
        </w:rPr>
        <w:t>2</w:t>
      </w:r>
      <w:r>
        <w:rPr>
          <w:rFonts w:eastAsia="Calibri"/>
        </w:rPr>
        <w:fldChar w:fldCharType="end"/>
      </w:r>
      <w:r>
        <w:rPr>
          <w:rFonts w:eastAsia="Calibri"/>
        </w:rPr>
        <w:t xml:space="preserve"> shows an example for this method</w:t>
      </w:r>
      <w:r w:rsidR="00A12711">
        <w:rPr>
          <w:rFonts w:eastAsia="Calibri"/>
        </w:rPr>
        <w:t>.</w:t>
      </w:r>
      <w:r>
        <w:rPr>
          <w:rFonts w:eastAsia="Calibri"/>
        </w:rPr>
        <w:t xml:space="preserve"> On the left hand side standard sealing indices for specified land use classes are indicated</w:t>
      </w:r>
      <w:r w:rsidR="00A12711">
        <w:rPr>
          <w:rFonts w:eastAsia="Calibri"/>
        </w:rPr>
        <w:t>.</w:t>
      </w:r>
      <w:r>
        <w:rPr>
          <w:rFonts w:eastAsia="Calibri"/>
        </w:rPr>
        <w:t xml:space="preserve"> On the right side there is a map with the same land use classes visualised as polygons with colour codes</w:t>
      </w:r>
      <w:r w:rsidR="00A12711">
        <w:rPr>
          <w:rFonts w:eastAsia="Calibri"/>
        </w:rPr>
        <w:t>.</w:t>
      </w:r>
      <w:r>
        <w:rPr>
          <w:rFonts w:eastAsia="Calibri"/>
        </w:rPr>
        <w:t xml:space="preserve"> The overall sealing rate can be calculated by summarizing the sealing rate of each polygon</w:t>
      </w:r>
      <w:r w:rsidR="00A12711">
        <w:rPr>
          <w:rFonts w:eastAsia="Calibri"/>
        </w:rPr>
        <w:t>.</w:t>
      </w:r>
    </w:p>
    <w:p w14:paraId="502806A9" w14:textId="49D6DA40" w:rsidR="002D189C" w:rsidRDefault="002D189C">
      <w:pPr>
        <w:suppressAutoHyphens w:val="0"/>
        <w:jc w:val="left"/>
        <w:rPr>
          <w:rFonts w:eastAsia="Calibri"/>
        </w:rPr>
      </w:pPr>
      <w:r>
        <w:rPr>
          <w:rFonts w:eastAsia="Calibri"/>
        </w:rPr>
        <w:br w:type="page"/>
      </w:r>
    </w:p>
    <w:p w14:paraId="527F96CD" w14:textId="77777777" w:rsidR="00F13CAE" w:rsidRDefault="00F13CAE" w:rsidP="00F13CAE">
      <w:pPr>
        <w:rPr>
          <w:rFonts w:eastAsia="Calibri"/>
        </w:rPr>
      </w:pPr>
    </w:p>
    <w:p w14:paraId="71A4C9FE" w14:textId="38B3273E" w:rsidR="004B1C75" w:rsidRDefault="00C76C23" w:rsidP="004B1C75">
      <w:pPr>
        <w:pStyle w:val="EEALabel"/>
      </w:pPr>
      <w:bookmarkStart w:id="421" w:name="_Ref48567005"/>
      <w:bookmarkStart w:id="422" w:name="_Toc48567208"/>
      <w:bookmarkStart w:id="423" w:name="_Toc83997538"/>
      <w:r>
        <w:t>Table</w:t>
      </w:r>
      <w:r w:rsidR="004B1C75">
        <w:t xml:space="preserve"> </w:t>
      </w:r>
      <w:r>
        <w:fldChar w:fldCharType="begin"/>
      </w:r>
      <w:r>
        <w:instrText xml:space="preserve"> STYLEREF 1 \s </w:instrText>
      </w:r>
      <w:r>
        <w:fldChar w:fldCharType="separate"/>
      </w:r>
      <w:r w:rsidR="0067767C">
        <w:rPr>
          <w:noProof/>
        </w:rPr>
        <w:t>9</w:t>
      </w:r>
      <w:r>
        <w:fldChar w:fldCharType="end"/>
      </w:r>
      <w:r>
        <w:noBreakHyphen/>
      </w:r>
      <w:r>
        <w:fldChar w:fldCharType="begin"/>
      </w:r>
      <w:r>
        <w:instrText xml:space="preserve"> SEQ Table \* ARABIC \s 1 </w:instrText>
      </w:r>
      <w:r>
        <w:fldChar w:fldCharType="separate"/>
      </w:r>
      <w:r w:rsidR="0067767C">
        <w:rPr>
          <w:noProof/>
        </w:rPr>
        <w:t>2</w:t>
      </w:r>
      <w:r>
        <w:fldChar w:fldCharType="end"/>
      </w:r>
      <w:bookmarkEnd w:id="421"/>
      <w:r w:rsidR="004B1C75">
        <w:t>:</w:t>
      </w:r>
      <w:r w:rsidR="004B1C75">
        <w:tab/>
        <w:t>Example for computing soil sealing based on land use categories from the cadastre.</w:t>
      </w:r>
      <w:bookmarkEnd w:id="422"/>
      <w:bookmarkEnd w:id="423"/>
    </w:p>
    <w:p w14:paraId="017D633E" w14:textId="77777777" w:rsidR="004B1C75" w:rsidRDefault="004B1C75" w:rsidP="00F13CAE">
      <w:pPr>
        <w:rPr>
          <w:rFonts w:eastAsia="Calibri"/>
        </w:rPr>
      </w:pPr>
    </w:p>
    <w:tbl>
      <w:tblPr>
        <w:tblW w:w="9498" w:type="dxa"/>
        <w:tblBorders>
          <w:insideH w:val="single" w:sz="2" w:space="0" w:color="auto"/>
        </w:tblBorders>
        <w:shd w:val="clear" w:color="auto" w:fill="FFFFFF" w:themeFill="background1"/>
        <w:tblLayout w:type="fixed"/>
        <w:tblLook w:val="0000" w:firstRow="0" w:lastRow="0" w:firstColumn="0" w:lastColumn="0" w:noHBand="0" w:noVBand="0"/>
      </w:tblPr>
      <w:tblGrid>
        <w:gridCol w:w="2552"/>
        <w:gridCol w:w="1701"/>
        <w:gridCol w:w="5245"/>
      </w:tblGrid>
      <w:tr w:rsidR="00F13CAE" w:rsidRPr="00EB193D" w14:paraId="6A8E090B" w14:textId="77777777" w:rsidTr="001C6C1E">
        <w:trPr>
          <w:trHeight w:val="57"/>
        </w:trPr>
        <w:tc>
          <w:tcPr>
            <w:tcW w:w="2552" w:type="dxa"/>
            <w:tcBorders>
              <w:top w:val="single" w:sz="2" w:space="0" w:color="auto"/>
              <w:bottom w:val="single" w:sz="2" w:space="0" w:color="auto"/>
            </w:tcBorders>
            <w:shd w:val="clear" w:color="auto" w:fill="F2F2F2" w:themeFill="background1" w:themeFillShade="F2"/>
          </w:tcPr>
          <w:p w14:paraId="2A945D2F" w14:textId="77777777" w:rsidR="00F13CAE" w:rsidRPr="00EB193D" w:rsidRDefault="00F13CAE" w:rsidP="00AF4A7B">
            <w:pPr>
              <w:pStyle w:val="EEAtableleftbold"/>
              <w:rPr>
                <w:lang w:eastAsia="en-GB"/>
              </w:rPr>
            </w:pPr>
            <w:r>
              <w:rPr>
                <w:lang w:eastAsia="en-GB"/>
              </w:rPr>
              <w:t>Land Use Category</w:t>
            </w:r>
          </w:p>
        </w:tc>
        <w:tc>
          <w:tcPr>
            <w:tcW w:w="1701" w:type="dxa"/>
            <w:tcBorders>
              <w:top w:val="single" w:sz="2" w:space="0" w:color="auto"/>
              <w:bottom w:val="single" w:sz="2" w:space="0" w:color="auto"/>
            </w:tcBorders>
            <w:shd w:val="clear" w:color="auto" w:fill="F2F2F2" w:themeFill="background1" w:themeFillShade="F2"/>
          </w:tcPr>
          <w:p w14:paraId="18C79B1C" w14:textId="77777777" w:rsidR="00F13CAE" w:rsidRPr="00EB193D" w:rsidRDefault="00F13CAE" w:rsidP="00AF4A7B">
            <w:pPr>
              <w:pStyle w:val="EEAtableleftbold"/>
              <w:rPr>
                <w:lang w:eastAsia="en-GB"/>
              </w:rPr>
            </w:pPr>
            <w:r>
              <w:rPr>
                <w:lang w:eastAsia="en-GB"/>
              </w:rPr>
              <w:t>Sealing rate [%]</w:t>
            </w:r>
          </w:p>
        </w:tc>
        <w:tc>
          <w:tcPr>
            <w:tcW w:w="5245" w:type="dxa"/>
            <w:vMerge w:val="restart"/>
            <w:shd w:val="clear" w:color="auto" w:fill="FFFFFF" w:themeFill="background1"/>
          </w:tcPr>
          <w:p w14:paraId="3C963C24" w14:textId="00977819" w:rsidR="00F13CAE" w:rsidRDefault="004B1C75" w:rsidP="00AF4A7B">
            <w:pPr>
              <w:pStyle w:val="EEAtableleftbold"/>
              <w:rPr>
                <w:lang w:eastAsia="en-GB"/>
              </w:rPr>
            </w:pPr>
            <w:r>
              <w:rPr>
                <w:noProof/>
                <w:lang w:eastAsia="en-GB"/>
              </w:rPr>
              <w:drawing>
                <wp:anchor distT="0" distB="0" distL="114300" distR="114300" simplePos="0" relativeHeight="251731456" behindDoc="0" locked="0" layoutInCell="1" allowOverlap="1" wp14:anchorId="4DE6F4C1" wp14:editId="11597DB4">
                  <wp:simplePos x="0" y="0"/>
                  <wp:positionH relativeFrom="column">
                    <wp:posOffset>-1451</wp:posOffset>
                  </wp:positionH>
                  <wp:positionV relativeFrom="paragraph">
                    <wp:posOffset>24221</wp:posOffset>
                  </wp:positionV>
                  <wp:extent cx="3135544" cy="2171700"/>
                  <wp:effectExtent l="0" t="0" r="8255" b="0"/>
                  <wp:wrapTopAndBottom/>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35544" cy="2171700"/>
                          </a:xfrm>
                          <a:prstGeom prst="rect">
                            <a:avLst/>
                          </a:prstGeom>
                        </pic:spPr>
                      </pic:pic>
                    </a:graphicData>
                  </a:graphic>
                </wp:anchor>
              </w:drawing>
            </w:r>
          </w:p>
        </w:tc>
      </w:tr>
      <w:tr w:rsidR="00F13CAE" w:rsidRPr="009558C7" w14:paraId="79DABD53" w14:textId="77777777" w:rsidTr="001C6C1E">
        <w:trPr>
          <w:trHeight w:val="57"/>
        </w:trPr>
        <w:tc>
          <w:tcPr>
            <w:tcW w:w="2552" w:type="dxa"/>
            <w:tcBorders>
              <w:top w:val="single" w:sz="2" w:space="0" w:color="auto"/>
            </w:tcBorders>
            <w:shd w:val="clear" w:color="auto" w:fill="FFFFFF" w:themeFill="background1"/>
          </w:tcPr>
          <w:p w14:paraId="65FDCE46" w14:textId="77777777" w:rsidR="00F13CAE" w:rsidRPr="009558C7" w:rsidRDefault="00F13CAE" w:rsidP="00AF4A7B">
            <w:pPr>
              <w:pStyle w:val="EEAtableleft"/>
            </w:pPr>
            <w:r w:rsidRPr="009558C7">
              <w:t>Building</w:t>
            </w:r>
            <w:r>
              <w:t>s</w:t>
            </w:r>
          </w:p>
        </w:tc>
        <w:tc>
          <w:tcPr>
            <w:tcW w:w="1701" w:type="dxa"/>
            <w:tcBorders>
              <w:top w:val="single" w:sz="2" w:space="0" w:color="auto"/>
            </w:tcBorders>
            <w:shd w:val="clear" w:color="auto" w:fill="FFFFFF" w:themeFill="background1"/>
          </w:tcPr>
          <w:p w14:paraId="54DF471E" w14:textId="77777777" w:rsidR="00F13CAE" w:rsidRPr="009558C7" w:rsidRDefault="00F13CAE" w:rsidP="00AF4A7B">
            <w:pPr>
              <w:pStyle w:val="EEAtableright"/>
            </w:pPr>
            <w:r w:rsidRPr="009558C7">
              <w:t>100%</w:t>
            </w:r>
          </w:p>
        </w:tc>
        <w:tc>
          <w:tcPr>
            <w:tcW w:w="5245" w:type="dxa"/>
            <w:vMerge/>
            <w:shd w:val="clear" w:color="auto" w:fill="FFFFFF" w:themeFill="background1"/>
          </w:tcPr>
          <w:p w14:paraId="14B83520" w14:textId="77777777" w:rsidR="00F13CAE" w:rsidRPr="009558C7" w:rsidRDefault="00F13CAE" w:rsidP="00AF4A7B">
            <w:pPr>
              <w:pStyle w:val="EEAtableright"/>
            </w:pPr>
          </w:p>
        </w:tc>
      </w:tr>
      <w:tr w:rsidR="00F13CAE" w:rsidRPr="00EB193D" w14:paraId="187CE32A" w14:textId="77777777" w:rsidTr="0087113B">
        <w:trPr>
          <w:trHeight w:val="57"/>
        </w:trPr>
        <w:tc>
          <w:tcPr>
            <w:tcW w:w="2552" w:type="dxa"/>
            <w:shd w:val="clear" w:color="auto" w:fill="FFFFFF" w:themeFill="background1"/>
          </w:tcPr>
          <w:p w14:paraId="579E1BE7" w14:textId="77777777" w:rsidR="00F13CAE" w:rsidRPr="009558C7" w:rsidRDefault="00F13CAE" w:rsidP="00AF4A7B">
            <w:pPr>
              <w:pStyle w:val="EEAtableleft"/>
            </w:pPr>
            <w:r>
              <w:t>Yards next to buildings</w:t>
            </w:r>
          </w:p>
        </w:tc>
        <w:tc>
          <w:tcPr>
            <w:tcW w:w="1701" w:type="dxa"/>
            <w:shd w:val="clear" w:color="auto" w:fill="FFFFFF" w:themeFill="background1"/>
          </w:tcPr>
          <w:p w14:paraId="67A14568" w14:textId="77777777" w:rsidR="00F13CAE" w:rsidRPr="009558C7" w:rsidRDefault="00F13CAE" w:rsidP="00AF4A7B">
            <w:pPr>
              <w:pStyle w:val="EEAtableright"/>
            </w:pPr>
            <w:r w:rsidRPr="009558C7">
              <w:t>75%</w:t>
            </w:r>
          </w:p>
        </w:tc>
        <w:tc>
          <w:tcPr>
            <w:tcW w:w="5245" w:type="dxa"/>
            <w:vMerge/>
            <w:shd w:val="clear" w:color="auto" w:fill="FFFFFF" w:themeFill="background1"/>
          </w:tcPr>
          <w:p w14:paraId="30F0947A" w14:textId="77777777" w:rsidR="00F13CAE" w:rsidRPr="009558C7" w:rsidRDefault="00F13CAE" w:rsidP="00AF4A7B">
            <w:pPr>
              <w:pStyle w:val="EEAtableright"/>
            </w:pPr>
          </w:p>
        </w:tc>
      </w:tr>
      <w:tr w:rsidR="00F13CAE" w:rsidRPr="00EB193D" w14:paraId="07650E6A" w14:textId="77777777" w:rsidTr="0087113B">
        <w:trPr>
          <w:trHeight w:val="57"/>
        </w:trPr>
        <w:tc>
          <w:tcPr>
            <w:tcW w:w="2552" w:type="dxa"/>
            <w:shd w:val="clear" w:color="auto" w:fill="FFFFFF" w:themeFill="background1"/>
          </w:tcPr>
          <w:p w14:paraId="0A2389BE" w14:textId="77777777" w:rsidR="00F13CAE" w:rsidRPr="009558C7" w:rsidRDefault="00F13CAE" w:rsidP="00AF4A7B">
            <w:pPr>
              <w:pStyle w:val="EEAtableleft"/>
            </w:pPr>
            <w:r w:rsidRPr="009558C7">
              <w:t>Gardens</w:t>
            </w:r>
          </w:p>
        </w:tc>
        <w:tc>
          <w:tcPr>
            <w:tcW w:w="1701" w:type="dxa"/>
            <w:shd w:val="clear" w:color="auto" w:fill="FFFFFF" w:themeFill="background1"/>
          </w:tcPr>
          <w:p w14:paraId="1067FC71" w14:textId="77777777" w:rsidR="00F13CAE" w:rsidRPr="009558C7" w:rsidRDefault="00F13CAE" w:rsidP="00AF4A7B">
            <w:pPr>
              <w:pStyle w:val="EEAtableright"/>
            </w:pPr>
            <w:r w:rsidRPr="009558C7">
              <w:t>0%</w:t>
            </w:r>
          </w:p>
        </w:tc>
        <w:tc>
          <w:tcPr>
            <w:tcW w:w="5245" w:type="dxa"/>
            <w:vMerge/>
            <w:shd w:val="clear" w:color="auto" w:fill="FFFFFF" w:themeFill="background1"/>
          </w:tcPr>
          <w:p w14:paraId="004C3A4B" w14:textId="77777777" w:rsidR="00F13CAE" w:rsidRPr="009558C7" w:rsidRDefault="00F13CAE" w:rsidP="00AF4A7B">
            <w:pPr>
              <w:pStyle w:val="EEAtableright"/>
            </w:pPr>
          </w:p>
        </w:tc>
      </w:tr>
      <w:tr w:rsidR="00F13CAE" w:rsidRPr="00EB193D" w14:paraId="0A8CBE1F" w14:textId="77777777" w:rsidTr="0087113B">
        <w:trPr>
          <w:trHeight w:val="57"/>
        </w:trPr>
        <w:tc>
          <w:tcPr>
            <w:tcW w:w="2552" w:type="dxa"/>
            <w:shd w:val="clear" w:color="auto" w:fill="FFFFFF" w:themeFill="background1"/>
          </w:tcPr>
          <w:p w14:paraId="4AE6B0B5" w14:textId="77777777" w:rsidR="00F13CAE" w:rsidRPr="009558C7" w:rsidRDefault="00F13CAE" w:rsidP="00AF4A7B">
            <w:pPr>
              <w:pStyle w:val="EEAtableleft"/>
            </w:pPr>
            <w:r w:rsidRPr="009558C7">
              <w:t>Streets</w:t>
            </w:r>
          </w:p>
        </w:tc>
        <w:tc>
          <w:tcPr>
            <w:tcW w:w="1701" w:type="dxa"/>
            <w:shd w:val="clear" w:color="auto" w:fill="FFFFFF" w:themeFill="background1"/>
          </w:tcPr>
          <w:p w14:paraId="0F15DA74" w14:textId="77777777" w:rsidR="00F13CAE" w:rsidRPr="009558C7" w:rsidRDefault="00F13CAE" w:rsidP="00AF4A7B">
            <w:pPr>
              <w:pStyle w:val="EEAtableright"/>
            </w:pPr>
            <w:r w:rsidRPr="009558C7">
              <w:t>60%</w:t>
            </w:r>
          </w:p>
        </w:tc>
        <w:tc>
          <w:tcPr>
            <w:tcW w:w="5245" w:type="dxa"/>
            <w:vMerge/>
            <w:shd w:val="clear" w:color="auto" w:fill="FFFFFF" w:themeFill="background1"/>
          </w:tcPr>
          <w:p w14:paraId="546A3C00" w14:textId="77777777" w:rsidR="00F13CAE" w:rsidRPr="009558C7" w:rsidRDefault="00F13CAE" w:rsidP="00AF4A7B">
            <w:pPr>
              <w:pStyle w:val="EEAtableright"/>
            </w:pPr>
          </w:p>
        </w:tc>
      </w:tr>
      <w:tr w:rsidR="00F13CAE" w:rsidRPr="00EB193D" w14:paraId="05D1C7C9" w14:textId="77777777" w:rsidTr="0087113B">
        <w:trPr>
          <w:trHeight w:val="57"/>
        </w:trPr>
        <w:tc>
          <w:tcPr>
            <w:tcW w:w="2552" w:type="dxa"/>
            <w:shd w:val="clear" w:color="auto" w:fill="FFFFFF" w:themeFill="background1"/>
          </w:tcPr>
          <w:p w14:paraId="546650E0" w14:textId="77777777" w:rsidR="00F13CAE" w:rsidRPr="009558C7" w:rsidRDefault="00F13CAE" w:rsidP="00AF4A7B">
            <w:pPr>
              <w:pStyle w:val="EEAtableleft"/>
            </w:pPr>
            <w:r w:rsidRPr="009558C7">
              <w:t>Parking Areas</w:t>
            </w:r>
          </w:p>
        </w:tc>
        <w:tc>
          <w:tcPr>
            <w:tcW w:w="1701" w:type="dxa"/>
            <w:shd w:val="clear" w:color="auto" w:fill="FFFFFF" w:themeFill="background1"/>
          </w:tcPr>
          <w:p w14:paraId="74398241" w14:textId="77777777" w:rsidR="00F13CAE" w:rsidRPr="009558C7" w:rsidRDefault="00F13CAE" w:rsidP="00AF4A7B">
            <w:pPr>
              <w:pStyle w:val="EEAtableright"/>
            </w:pPr>
            <w:r w:rsidRPr="009558C7">
              <w:t>80%</w:t>
            </w:r>
          </w:p>
        </w:tc>
        <w:tc>
          <w:tcPr>
            <w:tcW w:w="5245" w:type="dxa"/>
            <w:vMerge/>
            <w:shd w:val="clear" w:color="auto" w:fill="FFFFFF" w:themeFill="background1"/>
          </w:tcPr>
          <w:p w14:paraId="5D46F27F" w14:textId="77777777" w:rsidR="00F13CAE" w:rsidRPr="009558C7" w:rsidRDefault="00F13CAE" w:rsidP="00AF4A7B">
            <w:pPr>
              <w:pStyle w:val="EEAtableright"/>
            </w:pPr>
          </w:p>
        </w:tc>
      </w:tr>
      <w:tr w:rsidR="00F13CAE" w:rsidRPr="00EB193D" w14:paraId="42BE4F23" w14:textId="77777777" w:rsidTr="0087113B">
        <w:trPr>
          <w:trHeight w:val="57"/>
        </w:trPr>
        <w:tc>
          <w:tcPr>
            <w:tcW w:w="2552" w:type="dxa"/>
            <w:shd w:val="clear" w:color="auto" w:fill="FFFFFF" w:themeFill="background1"/>
          </w:tcPr>
          <w:p w14:paraId="5BEA0EBC" w14:textId="77777777" w:rsidR="00F13CAE" w:rsidRPr="009558C7" w:rsidRDefault="00F13CAE" w:rsidP="00AF4A7B">
            <w:pPr>
              <w:pStyle w:val="EEAtableleft"/>
            </w:pPr>
            <w:r w:rsidRPr="009558C7">
              <w:t>Rail tracks</w:t>
            </w:r>
          </w:p>
        </w:tc>
        <w:tc>
          <w:tcPr>
            <w:tcW w:w="1701" w:type="dxa"/>
            <w:shd w:val="clear" w:color="auto" w:fill="FFFFFF" w:themeFill="background1"/>
          </w:tcPr>
          <w:p w14:paraId="3D441C49" w14:textId="77777777" w:rsidR="00F13CAE" w:rsidRPr="009558C7" w:rsidRDefault="00F13CAE" w:rsidP="00AF4A7B">
            <w:pPr>
              <w:pStyle w:val="EEAtableright"/>
            </w:pPr>
            <w:r w:rsidRPr="009558C7">
              <w:t>50%</w:t>
            </w:r>
          </w:p>
        </w:tc>
        <w:tc>
          <w:tcPr>
            <w:tcW w:w="5245" w:type="dxa"/>
            <w:vMerge/>
            <w:shd w:val="clear" w:color="auto" w:fill="FFFFFF" w:themeFill="background1"/>
          </w:tcPr>
          <w:p w14:paraId="78FDFC20" w14:textId="77777777" w:rsidR="00F13CAE" w:rsidRPr="009558C7" w:rsidRDefault="00F13CAE" w:rsidP="00AF4A7B">
            <w:pPr>
              <w:pStyle w:val="EEAtableright"/>
            </w:pPr>
          </w:p>
        </w:tc>
      </w:tr>
      <w:tr w:rsidR="00F13CAE" w:rsidRPr="00EB193D" w14:paraId="79FB083F" w14:textId="77777777" w:rsidTr="0087113B">
        <w:trPr>
          <w:trHeight w:val="57"/>
        </w:trPr>
        <w:tc>
          <w:tcPr>
            <w:tcW w:w="2552" w:type="dxa"/>
            <w:shd w:val="clear" w:color="auto" w:fill="FFFFFF" w:themeFill="background1"/>
          </w:tcPr>
          <w:p w14:paraId="19EEC0C4" w14:textId="77777777" w:rsidR="00F13CAE" w:rsidRPr="009558C7" w:rsidRDefault="00F13CAE" w:rsidP="00AF4A7B">
            <w:pPr>
              <w:pStyle w:val="EEAtableleft"/>
            </w:pPr>
            <w:r w:rsidRPr="009558C7">
              <w:t>Commercial areas</w:t>
            </w:r>
          </w:p>
        </w:tc>
        <w:tc>
          <w:tcPr>
            <w:tcW w:w="1701" w:type="dxa"/>
            <w:shd w:val="clear" w:color="auto" w:fill="FFFFFF" w:themeFill="background1"/>
          </w:tcPr>
          <w:p w14:paraId="7765EAE1" w14:textId="77777777" w:rsidR="00F13CAE" w:rsidRPr="009558C7" w:rsidRDefault="00F13CAE" w:rsidP="00AF4A7B">
            <w:pPr>
              <w:pStyle w:val="EEAtableright"/>
            </w:pPr>
            <w:r w:rsidRPr="009558C7">
              <w:t>60%</w:t>
            </w:r>
          </w:p>
        </w:tc>
        <w:tc>
          <w:tcPr>
            <w:tcW w:w="5245" w:type="dxa"/>
            <w:vMerge/>
            <w:shd w:val="clear" w:color="auto" w:fill="FFFFFF" w:themeFill="background1"/>
          </w:tcPr>
          <w:p w14:paraId="1BF0A51D" w14:textId="77777777" w:rsidR="00F13CAE" w:rsidRPr="009558C7" w:rsidRDefault="00F13CAE" w:rsidP="00AF4A7B">
            <w:pPr>
              <w:pStyle w:val="EEAtableright"/>
            </w:pPr>
          </w:p>
        </w:tc>
      </w:tr>
      <w:tr w:rsidR="00F13CAE" w:rsidRPr="00EB193D" w14:paraId="7E27447E" w14:textId="77777777" w:rsidTr="0087113B">
        <w:trPr>
          <w:trHeight w:val="57"/>
        </w:trPr>
        <w:tc>
          <w:tcPr>
            <w:tcW w:w="2552" w:type="dxa"/>
            <w:shd w:val="clear" w:color="auto" w:fill="FFFFFF" w:themeFill="background1"/>
          </w:tcPr>
          <w:p w14:paraId="2E785A5D" w14:textId="77777777" w:rsidR="00F13CAE" w:rsidRPr="009558C7" w:rsidRDefault="00F13CAE" w:rsidP="00AF4A7B">
            <w:pPr>
              <w:pStyle w:val="EEAtableleft"/>
            </w:pPr>
            <w:r w:rsidRPr="009558C7">
              <w:t>Quarries and waste sites</w:t>
            </w:r>
          </w:p>
        </w:tc>
        <w:tc>
          <w:tcPr>
            <w:tcW w:w="1701" w:type="dxa"/>
            <w:shd w:val="clear" w:color="auto" w:fill="FFFFFF" w:themeFill="background1"/>
          </w:tcPr>
          <w:p w14:paraId="5A2F76D4" w14:textId="77777777" w:rsidR="00F13CAE" w:rsidRPr="009558C7" w:rsidRDefault="00F13CAE" w:rsidP="00AF4A7B">
            <w:pPr>
              <w:pStyle w:val="EEAtableright"/>
            </w:pPr>
            <w:r w:rsidRPr="009558C7">
              <w:t>10%</w:t>
            </w:r>
          </w:p>
        </w:tc>
        <w:tc>
          <w:tcPr>
            <w:tcW w:w="5245" w:type="dxa"/>
            <w:vMerge/>
            <w:shd w:val="clear" w:color="auto" w:fill="FFFFFF" w:themeFill="background1"/>
          </w:tcPr>
          <w:p w14:paraId="69EE8312" w14:textId="77777777" w:rsidR="00F13CAE" w:rsidRPr="009558C7" w:rsidRDefault="00F13CAE" w:rsidP="00AF4A7B">
            <w:pPr>
              <w:pStyle w:val="EEAtableright"/>
            </w:pPr>
          </w:p>
        </w:tc>
      </w:tr>
      <w:tr w:rsidR="00F13CAE" w:rsidRPr="00EB193D" w14:paraId="03D81124" w14:textId="77777777" w:rsidTr="0087113B">
        <w:trPr>
          <w:trHeight w:val="57"/>
        </w:trPr>
        <w:tc>
          <w:tcPr>
            <w:tcW w:w="2552" w:type="dxa"/>
            <w:shd w:val="clear" w:color="auto" w:fill="FFFFFF" w:themeFill="background1"/>
          </w:tcPr>
          <w:p w14:paraId="437B98C0" w14:textId="77777777" w:rsidR="00F13CAE" w:rsidRPr="009558C7" w:rsidRDefault="00F13CAE" w:rsidP="00AF4A7B">
            <w:pPr>
              <w:pStyle w:val="EEAtableleft"/>
            </w:pPr>
            <w:r>
              <w:t>R</w:t>
            </w:r>
            <w:r w:rsidRPr="009558C7">
              <w:t>ecreational areas</w:t>
            </w:r>
          </w:p>
        </w:tc>
        <w:tc>
          <w:tcPr>
            <w:tcW w:w="1701" w:type="dxa"/>
            <w:shd w:val="clear" w:color="auto" w:fill="FFFFFF" w:themeFill="background1"/>
          </w:tcPr>
          <w:p w14:paraId="779FC4B4" w14:textId="77777777" w:rsidR="00F13CAE" w:rsidRPr="009558C7" w:rsidRDefault="00F13CAE" w:rsidP="00AF4A7B">
            <w:pPr>
              <w:pStyle w:val="EEAtableright"/>
            </w:pPr>
            <w:r w:rsidRPr="009558C7">
              <w:t>20%</w:t>
            </w:r>
          </w:p>
        </w:tc>
        <w:tc>
          <w:tcPr>
            <w:tcW w:w="5245" w:type="dxa"/>
            <w:vMerge/>
            <w:shd w:val="clear" w:color="auto" w:fill="FFFFFF" w:themeFill="background1"/>
          </w:tcPr>
          <w:p w14:paraId="474A2E1E" w14:textId="77777777" w:rsidR="00F13CAE" w:rsidRPr="009558C7" w:rsidRDefault="00F13CAE" w:rsidP="00AF4A7B">
            <w:pPr>
              <w:pStyle w:val="EEAtableright"/>
            </w:pPr>
          </w:p>
        </w:tc>
      </w:tr>
      <w:tr w:rsidR="00F13CAE" w:rsidRPr="00EB193D" w14:paraId="73E14DCE" w14:textId="77777777" w:rsidTr="0087113B">
        <w:trPr>
          <w:trHeight w:val="57"/>
        </w:trPr>
        <w:tc>
          <w:tcPr>
            <w:tcW w:w="2552" w:type="dxa"/>
            <w:shd w:val="clear" w:color="auto" w:fill="FFFFFF" w:themeFill="background1"/>
          </w:tcPr>
          <w:p w14:paraId="13163632" w14:textId="77777777" w:rsidR="00F13CAE" w:rsidRPr="009558C7" w:rsidRDefault="00F13CAE" w:rsidP="00AF4A7B">
            <w:pPr>
              <w:pStyle w:val="EEAtableleft"/>
            </w:pPr>
            <w:r>
              <w:t>G</w:t>
            </w:r>
            <w:r w:rsidRPr="009558C7">
              <w:t>rave yards</w:t>
            </w:r>
          </w:p>
        </w:tc>
        <w:tc>
          <w:tcPr>
            <w:tcW w:w="1701" w:type="dxa"/>
            <w:shd w:val="clear" w:color="auto" w:fill="FFFFFF" w:themeFill="background1"/>
          </w:tcPr>
          <w:p w14:paraId="5629E4C5" w14:textId="77777777" w:rsidR="00F13CAE" w:rsidRPr="009558C7" w:rsidRDefault="00F13CAE" w:rsidP="00AF4A7B">
            <w:pPr>
              <w:pStyle w:val="EEAtableright"/>
            </w:pPr>
            <w:r w:rsidRPr="009558C7">
              <w:t>35%</w:t>
            </w:r>
          </w:p>
        </w:tc>
        <w:tc>
          <w:tcPr>
            <w:tcW w:w="5245" w:type="dxa"/>
            <w:vMerge/>
            <w:shd w:val="clear" w:color="auto" w:fill="FFFFFF" w:themeFill="background1"/>
          </w:tcPr>
          <w:p w14:paraId="203A33C8" w14:textId="77777777" w:rsidR="00F13CAE" w:rsidRPr="009558C7" w:rsidRDefault="00F13CAE" w:rsidP="00AF4A7B">
            <w:pPr>
              <w:pStyle w:val="EEAtableright"/>
            </w:pPr>
          </w:p>
        </w:tc>
      </w:tr>
      <w:tr w:rsidR="00F13CAE" w:rsidRPr="00EB193D" w14:paraId="3EAF0DCC" w14:textId="77777777" w:rsidTr="0087113B">
        <w:trPr>
          <w:trHeight w:val="57"/>
        </w:trPr>
        <w:tc>
          <w:tcPr>
            <w:tcW w:w="9498" w:type="dxa"/>
            <w:gridSpan w:val="3"/>
            <w:shd w:val="clear" w:color="auto" w:fill="FFFFFF" w:themeFill="background1"/>
          </w:tcPr>
          <w:p w14:paraId="2572C2FC" w14:textId="416FE3A2" w:rsidR="00F13CAE" w:rsidRPr="009558C7" w:rsidRDefault="00F13CAE" w:rsidP="00AF4A7B">
            <w:pPr>
              <w:pStyle w:val="EEAtableleft"/>
            </w:pPr>
            <w:r>
              <w:t xml:space="preserve">Sealing rate = </w:t>
            </w:r>
            <w:proofErr w:type="gramStart"/>
            <w:r>
              <w:rPr>
                <w:rFonts w:ascii="Yu Gothic" w:eastAsia="Yu Gothic" w:hAnsi="Yu Gothic" w:hint="eastAsia"/>
              </w:rPr>
              <w:t>Σ</w:t>
            </w:r>
            <w:r>
              <w:t>(</w:t>
            </w:r>
            <w:proofErr w:type="gramEnd"/>
            <w:r>
              <w:t xml:space="preserve">area buildings) + </w:t>
            </w:r>
            <w:r>
              <w:rPr>
                <w:rFonts w:ascii="Yu Gothic" w:eastAsia="Yu Gothic" w:hAnsi="Yu Gothic" w:hint="eastAsia"/>
              </w:rPr>
              <w:t>Σ</w:t>
            </w:r>
            <w:r>
              <w:t>(area yards) x 0</w:t>
            </w:r>
            <w:r w:rsidR="00A12711">
              <w:t>.</w:t>
            </w:r>
            <w:r>
              <w:t xml:space="preserve">75 + </w:t>
            </w:r>
            <w:r>
              <w:rPr>
                <w:rFonts w:ascii="Yu Gothic" w:eastAsia="Yu Gothic" w:hAnsi="Yu Gothic" w:hint="eastAsia"/>
              </w:rPr>
              <w:t>Σ</w:t>
            </w:r>
            <w:r>
              <w:t>(area streets) x 0</w:t>
            </w:r>
            <w:r w:rsidR="00A12711">
              <w:t>.</w:t>
            </w:r>
            <w:r>
              <w:t>6 ……</w:t>
            </w:r>
            <w:r w:rsidR="00A12711">
              <w:t>.</w:t>
            </w:r>
            <w:r>
              <w:t>/ total area</w:t>
            </w:r>
            <w:r w:rsidR="00A12711">
              <w:t>.</w:t>
            </w:r>
            <w:r>
              <w:t xml:space="preserve"> </w:t>
            </w:r>
          </w:p>
        </w:tc>
      </w:tr>
    </w:tbl>
    <w:p w14:paraId="103A0E9A" w14:textId="784D940C" w:rsidR="00F13CAE" w:rsidRDefault="004B1C75" w:rsidP="002A5C04">
      <w:pPr>
        <w:pStyle w:val="EEASource"/>
        <w:rPr>
          <w:rFonts w:eastAsia="Calibri"/>
        </w:rPr>
      </w:pPr>
      <w:r w:rsidRPr="004B1C75">
        <w:rPr>
          <w:rFonts w:eastAsia="Calibri"/>
          <w:b/>
        </w:rPr>
        <w:t>S</w:t>
      </w:r>
      <w:r w:rsidR="00F13CAE" w:rsidRPr="004B1C75">
        <w:rPr>
          <w:rFonts w:eastAsia="Calibri"/>
          <w:b/>
        </w:rPr>
        <w:t>ource:</w:t>
      </w:r>
      <w:r w:rsidR="00F13CAE" w:rsidRPr="00E44384">
        <w:rPr>
          <w:rFonts w:eastAsia="Calibri"/>
        </w:rPr>
        <w:t xml:space="preserve"> </w:t>
      </w:r>
      <w:r>
        <w:rPr>
          <w:rFonts w:eastAsia="Calibri"/>
        </w:rPr>
        <w:tab/>
      </w:r>
      <w:r w:rsidR="00F13CAE" w:rsidRPr="00E44384">
        <w:rPr>
          <w:rFonts w:eastAsia="Calibri"/>
        </w:rPr>
        <w:t>Monitoring of soil sealing in Austria</w:t>
      </w:r>
      <w:r w:rsidR="00F13CAE">
        <w:rPr>
          <w:rFonts w:eastAsia="Calibri"/>
        </w:rPr>
        <w:t xml:space="preserve"> </w:t>
      </w:r>
    </w:p>
    <w:p w14:paraId="1E4EEE95" w14:textId="77777777" w:rsidR="00F13CAE" w:rsidRDefault="00F13CAE" w:rsidP="00F13CAE">
      <w:pPr>
        <w:rPr>
          <w:rFonts w:eastAsia="Calibri"/>
        </w:rPr>
      </w:pPr>
    </w:p>
    <w:p w14:paraId="55238C4A" w14:textId="77777777" w:rsidR="00F13CAE" w:rsidRPr="009D5972" w:rsidRDefault="00F13CAE" w:rsidP="002C488D">
      <w:pPr>
        <w:pStyle w:val="berschrift2"/>
        <w:numPr>
          <w:ilvl w:val="2"/>
          <w:numId w:val="3"/>
        </w:numPr>
        <w:rPr>
          <w:rStyle w:val="FormatvorlageFormatvorlageberschrift3Zchn1"/>
        </w:rPr>
      </w:pPr>
      <w:bookmarkStart w:id="424" w:name="_Toc83997409"/>
      <w:r w:rsidRPr="009D5972">
        <w:rPr>
          <w:rStyle w:val="FormatvorlageFormatvorlageberschrift3Zchn1"/>
        </w:rPr>
        <w:t>Comparison of national and European monitoring of soil sealing</w:t>
      </w:r>
      <w:bookmarkEnd w:id="424"/>
    </w:p>
    <w:p w14:paraId="4FC9DBA2" w14:textId="77777777" w:rsidR="00F13CAE" w:rsidRDefault="00F13CAE" w:rsidP="00F13CAE">
      <w:pPr>
        <w:rPr>
          <w:rFonts w:eastAsia="Calibri"/>
        </w:rPr>
      </w:pPr>
    </w:p>
    <w:p w14:paraId="0DFBAD25" w14:textId="6C18E510" w:rsidR="00F13CAE" w:rsidRDefault="005B4D78" w:rsidP="00F13CAE">
      <w:pPr>
        <w:suppressAutoHyphens w:val="0"/>
        <w:jc w:val="left"/>
      </w:pPr>
      <w:r>
        <w:t>While land take is regularly monitored at national level for all EU countries</w:t>
      </w:r>
      <w:r w:rsidR="00677B0A">
        <w:t>,</w:t>
      </w:r>
      <w:r>
        <w:t xml:space="preserve"> soil sealing is determined by only very few countries with surveys other than Copernicus</w:t>
      </w:r>
      <w:r w:rsidR="00A12711">
        <w:t>.</w:t>
      </w:r>
      <w:r>
        <w:t xml:space="preserve"> </w:t>
      </w:r>
      <w:r w:rsidR="00A77A0A">
        <w:fldChar w:fldCharType="begin"/>
      </w:r>
      <w:r w:rsidR="00A77A0A">
        <w:instrText xml:space="preserve"> REF _Ref54603814 \h </w:instrText>
      </w:r>
      <w:r w:rsidR="00A77A0A">
        <w:fldChar w:fldCharType="separate"/>
      </w:r>
      <w:r w:rsidR="0067767C">
        <w:t xml:space="preserve">Table </w:t>
      </w:r>
      <w:r w:rsidR="0067767C">
        <w:rPr>
          <w:noProof/>
        </w:rPr>
        <w:t>9</w:t>
      </w:r>
      <w:r w:rsidR="0067767C">
        <w:noBreakHyphen/>
      </w:r>
      <w:r w:rsidR="0067767C">
        <w:rPr>
          <w:noProof/>
        </w:rPr>
        <w:t>1</w:t>
      </w:r>
      <w:r w:rsidR="00A77A0A">
        <w:fldChar w:fldCharType="end"/>
      </w:r>
      <w:r w:rsidR="00C51D7E">
        <w:t xml:space="preserve"> </w:t>
      </w:r>
      <w:r>
        <w:t>indicates available national soil sealing data for the year 2015</w:t>
      </w:r>
      <w:r w:rsidR="00A12711">
        <w:t>.</w:t>
      </w:r>
      <w:r w:rsidR="00F13CAE">
        <w:t xml:space="preserve"> National data refer generally to higher sealing rates</w:t>
      </w:r>
      <w:r w:rsidR="00677B0A">
        <w:t>,</w:t>
      </w:r>
      <w:r w:rsidR="00F13CAE">
        <w:t xml:space="preserve"> which leads to the conclusion that EEA-Copernicus data do not capture smaller structures and therefore underestimate soil sealing at large</w:t>
      </w:r>
      <w:r w:rsidR="00A12711">
        <w:t>.</w:t>
      </w:r>
      <w:r w:rsidR="00F13CAE">
        <w:t xml:space="preserve"> </w:t>
      </w:r>
      <w:r w:rsidR="00562E1A">
        <w:fldChar w:fldCharType="begin"/>
      </w:r>
      <w:r w:rsidR="00562E1A">
        <w:instrText xml:space="preserve"> REF _Ref82782987 \h </w:instrText>
      </w:r>
      <w:r w:rsidR="00562E1A">
        <w:fldChar w:fldCharType="separate"/>
      </w:r>
      <w:r w:rsidR="0067767C">
        <w:t xml:space="preserve">Table </w:t>
      </w:r>
      <w:r w:rsidR="0067767C">
        <w:rPr>
          <w:noProof/>
        </w:rPr>
        <w:t>9</w:t>
      </w:r>
      <w:r w:rsidR="0067767C">
        <w:noBreakHyphen/>
      </w:r>
      <w:r w:rsidR="0067767C">
        <w:rPr>
          <w:noProof/>
        </w:rPr>
        <w:t>3</w:t>
      </w:r>
      <w:r w:rsidR="00562E1A">
        <w:fldChar w:fldCharType="end"/>
      </w:r>
      <w:r w:rsidR="00F13CAE">
        <w:t xml:space="preserve"> shows three examples based on aerial pictures and indicates which structures were not captured by the EEA-Copernicus layer</w:t>
      </w:r>
      <w:r w:rsidR="00A12711">
        <w:t>.</w:t>
      </w:r>
      <w:r w:rsidR="00F13CAE">
        <w:t xml:space="preserve"> </w:t>
      </w:r>
    </w:p>
    <w:p w14:paraId="0B2E2F60" w14:textId="6955A4B2" w:rsidR="00F13CAE" w:rsidRDefault="00F13CAE" w:rsidP="00F13CAE">
      <w:pPr>
        <w:suppressAutoHyphens w:val="0"/>
        <w:jc w:val="left"/>
      </w:pPr>
    </w:p>
    <w:p w14:paraId="05DC1B91" w14:textId="0871505F" w:rsidR="00F13CAE" w:rsidRPr="00E44384" w:rsidRDefault="00A77A0A" w:rsidP="00A77A0A">
      <w:pPr>
        <w:pStyle w:val="EEALabel"/>
        <w:rPr>
          <w:rFonts w:eastAsia="Calibri"/>
        </w:rPr>
      </w:pPr>
      <w:bookmarkStart w:id="425" w:name="_Ref82782987"/>
      <w:bookmarkStart w:id="426" w:name="_Toc83997539"/>
      <w:r>
        <w:t xml:space="preserve">Table </w:t>
      </w:r>
      <w:r w:rsidR="00C76C23">
        <w:fldChar w:fldCharType="begin"/>
      </w:r>
      <w:r w:rsidR="00C76C23">
        <w:instrText xml:space="preserve"> STYLEREF 1 \s </w:instrText>
      </w:r>
      <w:r w:rsidR="00C76C23">
        <w:fldChar w:fldCharType="separate"/>
      </w:r>
      <w:r w:rsidR="0067767C">
        <w:rPr>
          <w:noProof/>
        </w:rPr>
        <w:t>9</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3</w:t>
      </w:r>
      <w:r w:rsidR="00C76C23">
        <w:fldChar w:fldCharType="end"/>
      </w:r>
      <w:bookmarkEnd w:id="425"/>
      <w:r>
        <w:t>:</w:t>
      </w:r>
      <w:r>
        <w:rPr>
          <w:rFonts w:eastAsia="Calibri"/>
        </w:rPr>
        <w:tab/>
      </w:r>
      <w:r w:rsidRPr="00A77A0A">
        <w:rPr>
          <w:rFonts w:eastAsia="Calibri"/>
        </w:rPr>
        <w:t>Available national soil sealing data compared to Copernicus-EEA data (both 2015)</w:t>
      </w:r>
      <w:bookmarkEnd w:id="426"/>
    </w:p>
    <w:p w14:paraId="4F91CAAC" w14:textId="77777777" w:rsidR="00E870E6" w:rsidRDefault="00E870E6"/>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1626"/>
        <w:gridCol w:w="1417"/>
        <w:gridCol w:w="1276"/>
        <w:gridCol w:w="1701"/>
        <w:gridCol w:w="1276"/>
      </w:tblGrid>
      <w:tr w:rsidR="00F13CAE" w:rsidRPr="00E44384" w14:paraId="025A7B49" w14:textId="77777777" w:rsidTr="00E870E6">
        <w:trPr>
          <w:trHeight w:val="300"/>
        </w:trPr>
        <w:tc>
          <w:tcPr>
            <w:tcW w:w="2060" w:type="dxa"/>
            <w:tcBorders>
              <w:top w:val="nil"/>
              <w:left w:val="nil"/>
              <w:bottom w:val="single" w:sz="4" w:space="0" w:color="auto"/>
              <w:right w:val="nil"/>
            </w:tcBorders>
            <w:shd w:val="clear" w:color="auto" w:fill="auto"/>
            <w:noWrap/>
            <w:vAlign w:val="bottom"/>
          </w:tcPr>
          <w:p w14:paraId="681A4B29" w14:textId="77777777" w:rsidR="00F13CAE" w:rsidRPr="00E44384" w:rsidRDefault="00F13CAE" w:rsidP="00AF4A7B">
            <w:pPr>
              <w:pStyle w:val="EEAtableleft"/>
              <w:rPr>
                <w:lang w:eastAsia="de-AT"/>
              </w:rPr>
            </w:pPr>
          </w:p>
        </w:tc>
        <w:tc>
          <w:tcPr>
            <w:tcW w:w="1626" w:type="dxa"/>
            <w:tcBorders>
              <w:top w:val="nil"/>
              <w:left w:val="nil"/>
              <w:bottom w:val="single" w:sz="4" w:space="0" w:color="auto"/>
              <w:right w:val="nil"/>
            </w:tcBorders>
            <w:shd w:val="clear" w:color="auto" w:fill="auto"/>
            <w:noWrap/>
            <w:vAlign w:val="bottom"/>
          </w:tcPr>
          <w:p w14:paraId="53C25AA8" w14:textId="77777777" w:rsidR="00F13CAE" w:rsidRPr="00E44384" w:rsidRDefault="00F13CAE" w:rsidP="00AF4A7B">
            <w:pPr>
              <w:pStyle w:val="EEAtableleft"/>
              <w:rPr>
                <w:color w:val="000000"/>
                <w:szCs w:val="22"/>
                <w:lang w:eastAsia="de-AT"/>
              </w:rPr>
            </w:pPr>
          </w:p>
        </w:tc>
        <w:tc>
          <w:tcPr>
            <w:tcW w:w="5670" w:type="dxa"/>
            <w:gridSpan w:val="4"/>
            <w:tcBorders>
              <w:left w:val="nil"/>
              <w:bottom w:val="single" w:sz="4" w:space="0" w:color="auto"/>
              <w:right w:val="nil"/>
            </w:tcBorders>
            <w:shd w:val="pct10" w:color="auto" w:fill="auto"/>
            <w:noWrap/>
            <w:vAlign w:val="center"/>
          </w:tcPr>
          <w:p w14:paraId="621CB50C" w14:textId="77777777" w:rsidR="00F13CAE" w:rsidRPr="00E44384" w:rsidRDefault="00F13CAE" w:rsidP="00AF4A7B">
            <w:pPr>
              <w:pStyle w:val="EEATabcenterbold"/>
            </w:pPr>
            <w:r w:rsidRPr="00E44384">
              <w:t>SOIL SEALING IN 2015</w:t>
            </w:r>
          </w:p>
        </w:tc>
      </w:tr>
      <w:tr w:rsidR="00F13CAE" w:rsidRPr="00E44384" w14:paraId="0FFFFA95" w14:textId="77777777" w:rsidTr="00E870E6">
        <w:trPr>
          <w:trHeight w:val="300"/>
        </w:trPr>
        <w:tc>
          <w:tcPr>
            <w:tcW w:w="2060" w:type="dxa"/>
            <w:tcBorders>
              <w:left w:val="nil"/>
              <w:right w:val="nil"/>
            </w:tcBorders>
            <w:shd w:val="pct10" w:color="auto" w:fill="auto"/>
            <w:noWrap/>
            <w:vAlign w:val="center"/>
            <w:hideMark/>
          </w:tcPr>
          <w:p w14:paraId="64383E8A" w14:textId="77777777" w:rsidR="00F13CAE" w:rsidRPr="00E44384" w:rsidRDefault="00F13CAE" w:rsidP="00AF4A7B">
            <w:pPr>
              <w:pStyle w:val="EEAtableleftbold"/>
              <w:rPr>
                <w:lang w:eastAsia="de-AT"/>
              </w:rPr>
            </w:pPr>
            <w:r w:rsidRPr="00E44384">
              <w:rPr>
                <w:lang w:eastAsia="de-AT"/>
              </w:rPr>
              <w:t>Country</w:t>
            </w:r>
          </w:p>
        </w:tc>
        <w:tc>
          <w:tcPr>
            <w:tcW w:w="1626" w:type="dxa"/>
            <w:tcBorders>
              <w:left w:val="nil"/>
              <w:right w:val="nil"/>
            </w:tcBorders>
            <w:shd w:val="pct10" w:color="auto" w:fill="auto"/>
            <w:noWrap/>
            <w:vAlign w:val="center"/>
            <w:hideMark/>
          </w:tcPr>
          <w:p w14:paraId="5CC4159E" w14:textId="77777777" w:rsidR="00F13CAE" w:rsidRPr="00E44384" w:rsidRDefault="00F13CAE" w:rsidP="00AF4A7B">
            <w:pPr>
              <w:pStyle w:val="EEATabcenterbold"/>
            </w:pPr>
            <w:r w:rsidRPr="00E44384">
              <w:t xml:space="preserve">country size </w:t>
            </w:r>
          </w:p>
        </w:tc>
        <w:tc>
          <w:tcPr>
            <w:tcW w:w="2693" w:type="dxa"/>
            <w:gridSpan w:val="2"/>
            <w:tcBorders>
              <w:left w:val="nil"/>
              <w:right w:val="nil"/>
            </w:tcBorders>
            <w:shd w:val="pct10" w:color="auto" w:fill="auto"/>
            <w:noWrap/>
            <w:vAlign w:val="center"/>
            <w:hideMark/>
          </w:tcPr>
          <w:p w14:paraId="697E24F0" w14:textId="77777777" w:rsidR="00F13CAE" w:rsidRPr="00E44384" w:rsidRDefault="00F13CAE" w:rsidP="00AF4A7B">
            <w:pPr>
              <w:pStyle w:val="EEATabcenterbold"/>
            </w:pPr>
            <w:r w:rsidRPr="00E44384">
              <w:t>national method</w:t>
            </w:r>
          </w:p>
        </w:tc>
        <w:tc>
          <w:tcPr>
            <w:tcW w:w="2977" w:type="dxa"/>
            <w:gridSpan w:val="2"/>
            <w:tcBorders>
              <w:left w:val="nil"/>
              <w:right w:val="nil"/>
            </w:tcBorders>
            <w:shd w:val="pct10" w:color="auto" w:fill="auto"/>
            <w:noWrap/>
            <w:vAlign w:val="center"/>
            <w:hideMark/>
          </w:tcPr>
          <w:p w14:paraId="275C0386" w14:textId="77777777" w:rsidR="00F13CAE" w:rsidRPr="00E44384" w:rsidRDefault="00F13CAE" w:rsidP="00AF4A7B">
            <w:pPr>
              <w:pStyle w:val="EEATabcenterbold"/>
            </w:pPr>
            <w:r w:rsidRPr="00E44384">
              <w:t>EEA / COPERNICUS</w:t>
            </w:r>
          </w:p>
        </w:tc>
      </w:tr>
      <w:tr w:rsidR="00F13CAE" w:rsidRPr="00E44384" w14:paraId="6C340D9E" w14:textId="77777777" w:rsidTr="00E870E6">
        <w:trPr>
          <w:trHeight w:val="300"/>
        </w:trPr>
        <w:tc>
          <w:tcPr>
            <w:tcW w:w="2060" w:type="dxa"/>
            <w:tcBorders>
              <w:left w:val="nil"/>
              <w:right w:val="nil"/>
            </w:tcBorders>
            <w:shd w:val="clear" w:color="auto" w:fill="auto"/>
            <w:noWrap/>
            <w:vAlign w:val="bottom"/>
            <w:hideMark/>
          </w:tcPr>
          <w:p w14:paraId="6A3CE3DE" w14:textId="77777777" w:rsidR="00F13CAE" w:rsidRPr="00E870E6" w:rsidRDefault="00F13CAE" w:rsidP="00E870E6">
            <w:pPr>
              <w:pStyle w:val="EEAtableleft"/>
              <w:rPr>
                <w:b/>
                <w:bCs/>
                <w:lang w:eastAsia="de-AT"/>
              </w:rPr>
            </w:pPr>
            <w:r w:rsidRPr="00E870E6">
              <w:rPr>
                <w:b/>
                <w:bCs/>
                <w:lang w:eastAsia="de-AT"/>
              </w:rPr>
              <w:t>Belgium - Flanders</w:t>
            </w:r>
          </w:p>
        </w:tc>
        <w:tc>
          <w:tcPr>
            <w:tcW w:w="1626" w:type="dxa"/>
            <w:tcBorders>
              <w:left w:val="nil"/>
              <w:right w:val="nil"/>
            </w:tcBorders>
            <w:shd w:val="clear" w:color="auto" w:fill="auto"/>
            <w:noWrap/>
            <w:vAlign w:val="bottom"/>
            <w:hideMark/>
          </w:tcPr>
          <w:p w14:paraId="3CFEAF43" w14:textId="77777777" w:rsidR="00F13CAE" w:rsidRPr="00E44384" w:rsidRDefault="00F13CAE" w:rsidP="00AF4A7B">
            <w:pPr>
              <w:pStyle w:val="EEAtableright"/>
              <w:rPr>
                <w:lang w:eastAsia="de-AT"/>
              </w:rPr>
            </w:pPr>
            <w:r w:rsidRPr="00E44384">
              <w:rPr>
                <w:lang w:eastAsia="de-AT"/>
              </w:rPr>
              <w:t>13 625 km²</w:t>
            </w:r>
          </w:p>
        </w:tc>
        <w:tc>
          <w:tcPr>
            <w:tcW w:w="1417" w:type="dxa"/>
            <w:tcBorders>
              <w:left w:val="nil"/>
              <w:right w:val="nil"/>
            </w:tcBorders>
            <w:shd w:val="clear" w:color="auto" w:fill="auto"/>
            <w:noWrap/>
            <w:vAlign w:val="bottom"/>
            <w:hideMark/>
          </w:tcPr>
          <w:p w14:paraId="11968199" w14:textId="77777777" w:rsidR="00F13CAE" w:rsidRPr="00E44384" w:rsidRDefault="00F13CAE" w:rsidP="00AF4A7B">
            <w:pPr>
              <w:pStyle w:val="EEAtableright"/>
              <w:rPr>
                <w:lang w:eastAsia="de-AT"/>
              </w:rPr>
            </w:pPr>
            <w:r w:rsidRPr="00E44384">
              <w:rPr>
                <w:lang w:eastAsia="de-AT"/>
              </w:rPr>
              <w:t>1 935 km²</w:t>
            </w:r>
          </w:p>
        </w:tc>
        <w:tc>
          <w:tcPr>
            <w:tcW w:w="1276" w:type="dxa"/>
            <w:tcBorders>
              <w:left w:val="nil"/>
              <w:right w:val="nil"/>
            </w:tcBorders>
            <w:shd w:val="clear" w:color="auto" w:fill="auto"/>
            <w:noWrap/>
            <w:vAlign w:val="bottom"/>
            <w:hideMark/>
          </w:tcPr>
          <w:p w14:paraId="55F67F68" w14:textId="761BBD67" w:rsidR="00F13CAE" w:rsidRPr="00E44384" w:rsidRDefault="00F13CAE" w:rsidP="00AF4A7B">
            <w:pPr>
              <w:pStyle w:val="EEAtableright"/>
              <w:rPr>
                <w:color w:val="000000"/>
                <w:szCs w:val="22"/>
                <w:lang w:eastAsia="de-AT"/>
              </w:rPr>
            </w:pPr>
            <w:r w:rsidRPr="00E44384">
              <w:rPr>
                <w:color w:val="000000"/>
                <w:szCs w:val="22"/>
                <w:lang w:eastAsia="de-AT"/>
              </w:rPr>
              <w:t>14</w:t>
            </w:r>
            <w:r w:rsidR="00A12711">
              <w:rPr>
                <w:color w:val="000000"/>
                <w:szCs w:val="22"/>
                <w:lang w:eastAsia="de-AT"/>
              </w:rPr>
              <w:t>.</w:t>
            </w:r>
            <w:r w:rsidRPr="00E44384">
              <w:rPr>
                <w:color w:val="000000"/>
                <w:szCs w:val="22"/>
                <w:lang w:eastAsia="de-AT"/>
              </w:rPr>
              <w:t>2 %</w:t>
            </w:r>
          </w:p>
        </w:tc>
        <w:tc>
          <w:tcPr>
            <w:tcW w:w="1701" w:type="dxa"/>
            <w:tcBorders>
              <w:left w:val="nil"/>
              <w:right w:val="nil"/>
            </w:tcBorders>
            <w:shd w:val="clear" w:color="auto" w:fill="auto"/>
            <w:noWrap/>
            <w:vAlign w:val="bottom"/>
            <w:hideMark/>
          </w:tcPr>
          <w:p w14:paraId="6C8294CA" w14:textId="77777777" w:rsidR="00F13CAE" w:rsidRPr="00E44384" w:rsidRDefault="00F13CAE" w:rsidP="00AF4A7B">
            <w:pPr>
              <w:pStyle w:val="EEAtableright"/>
              <w:rPr>
                <w:color w:val="000000"/>
                <w:szCs w:val="22"/>
                <w:lang w:eastAsia="de-AT"/>
              </w:rPr>
            </w:pPr>
            <w:r w:rsidRPr="00E44384">
              <w:rPr>
                <w:color w:val="000000"/>
                <w:szCs w:val="22"/>
                <w:lang w:eastAsia="de-AT"/>
              </w:rPr>
              <w:t xml:space="preserve">12 12 </w:t>
            </w:r>
            <w:r w:rsidRPr="00E44384">
              <w:rPr>
                <w:lang w:eastAsia="de-AT"/>
              </w:rPr>
              <w:t>km²</w:t>
            </w:r>
          </w:p>
        </w:tc>
        <w:tc>
          <w:tcPr>
            <w:tcW w:w="1276" w:type="dxa"/>
            <w:tcBorders>
              <w:left w:val="nil"/>
              <w:right w:val="nil"/>
            </w:tcBorders>
            <w:shd w:val="clear" w:color="auto" w:fill="auto"/>
            <w:noWrap/>
            <w:vAlign w:val="bottom"/>
            <w:hideMark/>
          </w:tcPr>
          <w:p w14:paraId="68930BAE" w14:textId="678B0EC3" w:rsidR="00F13CAE" w:rsidRPr="00E44384" w:rsidRDefault="00F13CAE" w:rsidP="00AF4A7B">
            <w:pPr>
              <w:pStyle w:val="EEAtableright"/>
              <w:rPr>
                <w:color w:val="000000"/>
                <w:szCs w:val="22"/>
                <w:lang w:eastAsia="de-AT"/>
              </w:rPr>
            </w:pPr>
            <w:r w:rsidRPr="00E44384">
              <w:rPr>
                <w:color w:val="000000"/>
                <w:szCs w:val="22"/>
                <w:lang w:eastAsia="de-AT"/>
              </w:rPr>
              <w:t>8</w:t>
            </w:r>
            <w:r w:rsidR="00A12711">
              <w:rPr>
                <w:color w:val="000000"/>
                <w:szCs w:val="22"/>
                <w:lang w:eastAsia="de-AT"/>
              </w:rPr>
              <w:t>.</w:t>
            </w:r>
            <w:r w:rsidRPr="00E44384">
              <w:rPr>
                <w:color w:val="000000"/>
                <w:szCs w:val="22"/>
                <w:lang w:eastAsia="de-AT"/>
              </w:rPr>
              <w:t>9 %</w:t>
            </w:r>
          </w:p>
        </w:tc>
      </w:tr>
      <w:tr w:rsidR="00F13CAE" w:rsidRPr="00E44384" w14:paraId="3CA4BB22" w14:textId="77777777" w:rsidTr="00E870E6">
        <w:trPr>
          <w:trHeight w:val="300"/>
        </w:trPr>
        <w:tc>
          <w:tcPr>
            <w:tcW w:w="2060" w:type="dxa"/>
            <w:tcBorders>
              <w:left w:val="nil"/>
              <w:right w:val="nil"/>
            </w:tcBorders>
            <w:shd w:val="clear" w:color="auto" w:fill="auto"/>
            <w:noWrap/>
            <w:vAlign w:val="bottom"/>
            <w:hideMark/>
          </w:tcPr>
          <w:p w14:paraId="23FB4675" w14:textId="77777777" w:rsidR="00F13CAE" w:rsidRPr="00E870E6" w:rsidRDefault="00F13CAE" w:rsidP="00E870E6">
            <w:pPr>
              <w:pStyle w:val="EEAtableleft"/>
              <w:rPr>
                <w:b/>
                <w:bCs/>
                <w:lang w:eastAsia="de-AT"/>
              </w:rPr>
            </w:pPr>
            <w:r w:rsidRPr="00E870E6">
              <w:rPr>
                <w:b/>
                <w:bCs/>
                <w:lang w:eastAsia="de-AT"/>
              </w:rPr>
              <w:t>Austria</w:t>
            </w:r>
          </w:p>
        </w:tc>
        <w:tc>
          <w:tcPr>
            <w:tcW w:w="1626" w:type="dxa"/>
            <w:tcBorders>
              <w:left w:val="nil"/>
              <w:right w:val="nil"/>
            </w:tcBorders>
            <w:shd w:val="clear" w:color="auto" w:fill="auto"/>
            <w:noWrap/>
            <w:vAlign w:val="bottom"/>
            <w:hideMark/>
          </w:tcPr>
          <w:p w14:paraId="79CACB3F" w14:textId="77777777" w:rsidR="00F13CAE" w:rsidRPr="00E44384" w:rsidRDefault="00F13CAE" w:rsidP="00AF4A7B">
            <w:pPr>
              <w:pStyle w:val="EEAtableright"/>
              <w:rPr>
                <w:lang w:eastAsia="de-AT"/>
              </w:rPr>
            </w:pPr>
            <w:r w:rsidRPr="00E44384">
              <w:rPr>
                <w:lang w:eastAsia="de-AT"/>
              </w:rPr>
              <w:t>83 882 km²</w:t>
            </w:r>
          </w:p>
        </w:tc>
        <w:tc>
          <w:tcPr>
            <w:tcW w:w="1417" w:type="dxa"/>
            <w:tcBorders>
              <w:left w:val="nil"/>
              <w:right w:val="nil"/>
            </w:tcBorders>
            <w:shd w:val="clear" w:color="auto" w:fill="auto"/>
            <w:noWrap/>
            <w:vAlign w:val="bottom"/>
            <w:hideMark/>
          </w:tcPr>
          <w:p w14:paraId="73E41A6F" w14:textId="77777777" w:rsidR="00F13CAE" w:rsidRPr="00E44384" w:rsidRDefault="00F13CAE" w:rsidP="00AF4A7B">
            <w:pPr>
              <w:pStyle w:val="EEAtableright"/>
              <w:rPr>
                <w:lang w:eastAsia="de-AT"/>
              </w:rPr>
            </w:pPr>
            <w:r w:rsidRPr="00E44384">
              <w:rPr>
                <w:lang w:eastAsia="de-AT"/>
              </w:rPr>
              <w:t>2 298 km²</w:t>
            </w:r>
          </w:p>
        </w:tc>
        <w:tc>
          <w:tcPr>
            <w:tcW w:w="1276" w:type="dxa"/>
            <w:tcBorders>
              <w:left w:val="nil"/>
              <w:right w:val="nil"/>
            </w:tcBorders>
            <w:shd w:val="clear" w:color="auto" w:fill="auto"/>
            <w:noWrap/>
            <w:vAlign w:val="bottom"/>
            <w:hideMark/>
          </w:tcPr>
          <w:p w14:paraId="10D6F98E" w14:textId="24EF0FB7" w:rsidR="00F13CAE" w:rsidRPr="00E44384" w:rsidRDefault="00F13CAE" w:rsidP="00AF4A7B">
            <w:pPr>
              <w:pStyle w:val="EEAtableright"/>
              <w:rPr>
                <w:color w:val="000000"/>
                <w:szCs w:val="22"/>
                <w:lang w:eastAsia="de-AT"/>
              </w:rPr>
            </w:pPr>
            <w:r w:rsidRPr="00E44384">
              <w:rPr>
                <w:color w:val="000000"/>
                <w:szCs w:val="22"/>
                <w:lang w:eastAsia="de-AT"/>
              </w:rPr>
              <w:t>2</w:t>
            </w:r>
            <w:r w:rsidR="00A12711">
              <w:rPr>
                <w:color w:val="000000"/>
                <w:szCs w:val="22"/>
                <w:lang w:eastAsia="de-AT"/>
              </w:rPr>
              <w:t>.</w:t>
            </w:r>
            <w:r w:rsidRPr="00E44384">
              <w:rPr>
                <w:color w:val="000000"/>
                <w:szCs w:val="22"/>
                <w:lang w:eastAsia="de-AT"/>
              </w:rPr>
              <w:t>7 %</w:t>
            </w:r>
          </w:p>
        </w:tc>
        <w:tc>
          <w:tcPr>
            <w:tcW w:w="1701" w:type="dxa"/>
            <w:tcBorders>
              <w:left w:val="nil"/>
              <w:right w:val="nil"/>
            </w:tcBorders>
            <w:shd w:val="clear" w:color="auto" w:fill="auto"/>
            <w:noWrap/>
            <w:vAlign w:val="bottom"/>
            <w:hideMark/>
          </w:tcPr>
          <w:p w14:paraId="22307F59" w14:textId="77777777" w:rsidR="00F13CAE" w:rsidRPr="00E44384" w:rsidRDefault="00F13CAE" w:rsidP="00AF4A7B">
            <w:pPr>
              <w:pStyle w:val="EEAtableright"/>
              <w:rPr>
                <w:color w:val="000000"/>
                <w:szCs w:val="22"/>
                <w:lang w:eastAsia="de-AT"/>
              </w:rPr>
            </w:pPr>
            <w:r w:rsidRPr="00E44384">
              <w:rPr>
                <w:color w:val="000000"/>
                <w:szCs w:val="22"/>
                <w:lang w:eastAsia="de-AT"/>
              </w:rPr>
              <w:t xml:space="preserve">1 475 </w:t>
            </w:r>
            <w:r w:rsidRPr="00E44384">
              <w:rPr>
                <w:lang w:eastAsia="de-AT"/>
              </w:rPr>
              <w:t>km²</w:t>
            </w:r>
          </w:p>
        </w:tc>
        <w:tc>
          <w:tcPr>
            <w:tcW w:w="1276" w:type="dxa"/>
            <w:tcBorders>
              <w:left w:val="nil"/>
              <w:right w:val="nil"/>
            </w:tcBorders>
            <w:shd w:val="clear" w:color="auto" w:fill="auto"/>
            <w:noWrap/>
            <w:vAlign w:val="bottom"/>
            <w:hideMark/>
          </w:tcPr>
          <w:p w14:paraId="39924D1A" w14:textId="1D2A26E9" w:rsidR="00F13CAE" w:rsidRPr="00E44384" w:rsidRDefault="00F13CAE" w:rsidP="00AF4A7B">
            <w:pPr>
              <w:pStyle w:val="EEAtableright"/>
              <w:rPr>
                <w:color w:val="000000"/>
                <w:szCs w:val="22"/>
                <w:lang w:eastAsia="de-AT"/>
              </w:rPr>
            </w:pPr>
            <w:r w:rsidRPr="00E44384">
              <w:rPr>
                <w:color w:val="000000"/>
                <w:szCs w:val="22"/>
                <w:lang w:eastAsia="de-AT"/>
              </w:rPr>
              <w:t>1</w:t>
            </w:r>
            <w:r w:rsidR="00A12711">
              <w:rPr>
                <w:color w:val="000000"/>
                <w:szCs w:val="22"/>
                <w:lang w:eastAsia="de-AT"/>
              </w:rPr>
              <w:t>.</w:t>
            </w:r>
            <w:r w:rsidRPr="00E44384">
              <w:rPr>
                <w:color w:val="000000"/>
                <w:szCs w:val="22"/>
                <w:lang w:eastAsia="de-AT"/>
              </w:rPr>
              <w:t>8 %</w:t>
            </w:r>
          </w:p>
        </w:tc>
      </w:tr>
      <w:tr w:rsidR="00F13CAE" w:rsidRPr="00E44384" w14:paraId="2597F5C6" w14:textId="77777777" w:rsidTr="00E870E6">
        <w:trPr>
          <w:trHeight w:val="300"/>
        </w:trPr>
        <w:tc>
          <w:tcPr>
            <w:tcW w:w="2060" w:type="dxa"/>
            <w:tcBorders>
              <w:left w:val="nil"/>
              <w:right w:val="nil"/>
            </w:tcBorders>
            <w:shd w:val="clear" w:color="auto" w:fill="auto"/>
            <w:noWrap/>
            <w:vAlign w:val="bottom"/>
            <w:hideMark/>
          </w:tcPr>
          <w:p w14:paraId="16ABD548" w14:textId="77777777" w:rsidR="00F13CAE" w:rsidRPr="00E870E6" w:rsidRDefault="00F13CAE" w:rsidP="00E870E6">
            <w:pPr>
              <w:pStyle w:val="EEAtableleft"/>
              <w:rPr>
                <w:b/>
                <w:bCs/>
                <w:lang w:eastAsia="de-AT"/>
              </w:rPr>
            </w:pPr>
            <w:r w:rsidRPr="00E870E6">
              <w:rPr>
                <w:b/>
                <w:bCs/>
                <w:lang w:eastAsia="de-AT"/>
              </w:rPr>
              <w:t>Luxembourg</w:t>
            </w:r>
          </w:p>
        </w:tc>
        <w:tc>
          <w:tcPr>
            <w:tcW w:w="1626" w:type="dxa"/>
            <w:tcBorders>
              <w:left w:val="nil"/>
              <w:right w:val="nil"/>
            </w:tcBorders>
            <w:shd w:val="clear" w:color="auto" w:fill="auto"/>
            <w:noWrap/>
            <w:vAlign w:val="bottom"/>
            <w:hideMark/>
          </w:tcPr>
          <w:p w14:paraId="5921DB09" w14:textId="77777777" w:rsidR="00F13CAE" w:rsidRPr="00E44384" w:rsidRDefault="00F13CAE" w:rsidP="00AF4A7B">
            <w:pPr>
              <w:pStyle w:val="EEAtableright"/>
              <w:rPr>
                <w:lang w:eastAsia="de-AT"/>
              </w:rPr>
            </w:pPr>
            <w:r w:rsidRPr="00E44384">
              <w:rPr>
                <w:lang w:eastAsia="de-AT"/>
              </w:rPr>
              <w:t>2 593  km²</w:t>
            </w:r>
          </w:p>
        </w:tc>
        <w:tc>
          <w:tcPr>
            <w:tcW w:w="1417" w:type="dxa"/>
            <w:tcBorders>
              <w:left w:val="nil"/>
              <w:right w:val="nil"/>
            </w:tcBorders>
            <w:shd w:val="clear" w:color="auto" w:fill="auto"/>
            <w:noWrap/>
            <w:vAlign w:val="bottom"/>
            <w:hideMark/>
          </w:tcPr>
          <w:p w14:paraId="02DCC4BC" w14:textId="71705773" w:rsidR="00F13CAE" w:rsidRPr="00E44384" w:rsidRDefault="00E870E6" w:rsidP="00AF4A7B">
            <w:pPr>
              <w:pStyle w:val="EEAtableright"/>
              <w:rPr>
                <w:lang w:eastAsia="de-AT"/>
              </w:rPr>
            </w:pPr>
            <w:r w:rsidRPr="00E870E6">
              <w:rPr>
                <w:b/>
                <w:vertAlign w:val="superscript"/>
                <w:lang w:eastAsia="de-AT"/>
              </w:rPr>
              <w:t>(1)</w:t>
            </w:r>
            <w:r w:rsidR="00F13CAE" w:rsidRPr="00E44384">
              <w:rPr>
                <w:lang w:eastAsia="de-AT"/>
              </w:rPr>
              <w:t>176 km²</w:t>
            </w:r>
          </w:p>
        </w:tc>
        <w:tc>
          <w:tcPr>
            <w:tcW w:w="1276" w:type="dxa"/>
            <w:tcBorders>
              <w:left w:val="nil"/>
              <w:right w:val="nil"/>
            </w:tcBorders>
            <w:shd w:val="clear" w:color="auto" w:fill="auto"/>
            <w:noWrap/>
            <w:vAlign w:val="bottom"/>
            <w:hideMark/>
          </w:tcPr>
          <w:p w14:paraId="6A741951" w14:textId="5CE37AB7" w:rsidR="00F13CAE" w:rsidRPr="00E44384" w:rsidRDefault="00E870E6" w:rsidP="00AF4A7B">
            <w:pPr>
              <w:pStyle w:val="EEAtableright"/>
              <w:rPr>
                <w:color w:val="000000"/>
                <w:szCs w:val="22"/>
                <w:lang w:eastAsia="de-AT"/>
              </w:rPr>
            </w:pPr>
            <w:r w:rsidRPr="00E870E6">
              <w:rPr>
                <w:b/>
                <w:vertAlign w:val="superscript"/>
                <w:lang w:eastAsia="de-AT"/>
              </w:rPr>
              <w:t>(1)</w:t>
            </w:r>
            <w:r w:rsidR="00F13CAE" w:rsidRPr="00E44384">
              <w:rPr>
                <w:color w:val="000000"/>
                <w:szCs w:val="22"/>
                <w:lang w:eastAsia="de-AT"/>
              </w:rPr>
              <w:t>6</w:t>
            </w:r>
            <w:r w:rsidR="00A12711">
              <w:rPr>
                <w:color w:val="000000"/>
                <w:szCs w:val="22"/>
                <w:lang w:eastAsia="de-AT"/>
              </w:rPr>
              <w:t>.</w:t>
            </w:r>
            <w:r w:rsidR="00F13CAE" w:rsidRPr="00E44384">
              <w:rPr>
                <w:color w:val="000000"/>
                <w:szCs w:val="22"/>
                <w:lang w:eastAsia="de-AT"/>
              </w:rPr>
              <w:t>8 %</w:t>
            </w:r>
          </w:p>
        </w:tc>
        <w:tc>
          <w:tcPr>
            <w:tcW w:w="1701" w:type="dxa"/>
            <w:tcBorders>
              <w:left w:val="nil"/>
              <w:right w:val="nil"/>
            </w:tcBorders>
            <w:shd w:val="clear" w:color="auto" w:fill="auto"/>
            <w:noWrap/>
            <w:vAlign w:val="bottom"/>
            <w:hideMark/>
          </w:tcPr>
          <w:p w14:paraId="02FC1B0A" w14:textId="77777777" w:rsidR="00F13CAE" w:rsidRPr="00E44384" w:rsidRDefault="00F13CAE" w:rsidP="00AF4A7B">
            <w:pPr>
              <w:pStyle w:val="EEAtableright"/>
              <w:rPr>
                <w:color w:val="000000"/>
                <w:szCs w:val="22"/>
                <w:lang w:eastAsia="de-AT"/>
              </w:rPr>
            </w:pPr>
            <w:r w:rsidRPr="00E44384">
              <w:rPr>
                <w:color w:val="000000"/>
                <w:szCs w:val="22"/>
                <w:lang w:eastAsia="de-AT"/>
              </w:rPr>
              <w:t xml:space="preserve"> 49 km²</w:t>
            </w:r>
          </w:p>
        </w:tc>
        <w:tc>
          <w:tcPr>
            <w:tcW w:w="1276" w:type="dxa"/>
            <w:tcBorders>
              <w:left w:val="nil"/>
              <w:right w:val="nil"/>
            </w:tcBorders>
            <w:shd w:val="clear" w:color="auto" w:fill="auto"/>
            <w:noWrap/>
            <w:vAlign w:val="bottom"/>
            <w:hideMark/>
          </w:tcPr>
          <w:p w14:paraId="1CA5F440" w14:textId="03D87290" w:rsidR="00F13CAE" w:rsidRPr="00E44384" w:rsidRDefault="00F13CAE" w:rsidP="00AF4A7B">
            <w:pPr>
              <w:pStyle w:val="EEAtableright"/>
              <w:rPr>
                <w:color w:val="000000"/>
                <w:szCs w:val="22"/>
                <w:lang w:eastAsia="de-AT"/>
              </w:rPr>
            </w:pPr>
            <w:r w:rsidRPr="00E44384">
              <w:rPr>
                <w:color w:val="000000"/>
                <w:szCs w:val="22"/>
                <w:lang w:eastAsia="de-AT"/>
              </w:rPr>
              <w:t xml:space="preserve"> 1</w:t>
            </w:r>
            <w:r w:rsidR="00A12711">
              <w:rPr>
                <w:color w:val="000000"/>
                <w:szCs w:val="22"/>
                <w:lang w:eastAsia="de-AT"/>
              </w:rPr>
              <w:t>.</w:t>
            </w:r>
            <w:r w:rsidRPr="00E44384">
              <w:rPr>
                <w:color w:val="000000"/>
                <w:szCs w:val="22"/>
                <w:lang w:eastAsia="de-AT"/>
              </w:rPr>
              <w:t>9 %</w:t>
            </w:r>
          </w:p>
        </w:tc>
      </w:tr>
    </w:tbl>
    <w:p w14:paraId="51BC7216" w14:textId="77777777" w:rsidR="00F13CAE" w:rsidRPr="00E44384" w:rsidRDefault="00F13CAE" w:rsidP="00F13CAE">
      <w:pPr>
        <w:rPr>
          <w:rFonts w:eastAsia="Calibri"/>
        </w:rPr>
      </w:pPr>
    </w:p>
    <w:p w14:paraId="4571A8EF" w14:textId="7458E667" w:rsidR="00F13CAE" w:rsidRPr="001C6C1E" w:rsidRDefault="00E870E6" w:rsidP="001C6C1E">
      <w:pPr>
        <w:pStyle w:val="EEASource"/>
      </w:pPr>
      <w:r w:rsidRPr="001C6C1E">
        <w:t xml:space="preserve">Note: </w:t>
      </w:r>
      <w:r w:rsidR="001C6C1E">
        <w:tab/>
      </w:r>
      <w:r w:rsidRPr="001C6C1E">
        <w:t>(1)</w:t>
      </w:r>
      <w:r w:rsidR="00F13CAE" w:rsidRPr="001C6C1E">
        <w:t xml:space="preserve"> refers to year 2018 as there is no data for 2015</w:t>
      </w:r>
    </w:p>
    <w:p w14:paraId="5F9D8C3D" w14:textId="77777777" w:rsidR="00C51D7E" w:rsidRDefault="00C51D7E" w:rsidP="00F13CAE">
      <w:pPr>
        <w:suppressAutoHyphens w:val="0"/>
        <w:jc w:val="left"/>
        <w:rPr>
          <w:rFonts w:eastAsia="Calibri"/>
        </w:rPr>
      </w:pPr>
    </w:p>
    <w:p w14:paraId="346AA4BA" w14:textId="01F594A0" w:rsidR="00F13CAE" w:rsidRDefault="0090303E" w:rsidP="009C0F69">
      <w:pPr>
        <w:suppressAutoHyphens w:val="0"/>
      </w:pPr>
      <w:r>
        <w:fldChar w:fldCharType="begin"/>
      </w:r>
      <w:r>
        <w:instrText xml:space="preserve"> REF _Ref82776373 \h </w:instrText>
      </w:r>
      <w:r>
        <w:fldChar w:fldCharType="separate"/>
      </w:r>
      <w:r w:rsidR="0067767C" w:rsidRPr="00B2361E">
        <w:t xml:space="preserve">Figure </w:t>
      </w:r>
      <w:r w:rsidR="0067767C">
        <w:rPr>
          <w:noProof/>
        </w:rPr>
        <w:t>9</w:t>
      </w:r>
      <w:r w:rsidR="0067767C">
        <w:noBreakHyphen/>
      </w:r>
      <w:r w:rsidR="0067767C">
        <w:rPr>
          <w:noProof/>
        </w:rPr>
        <w:t>3</w:t>
      </w:r>
      <w:r>
        <w:fldChar w:fldCharType="end"/>
      </w:r>
      <w:r w:rsidR="00C51D7E">
        <w:t xml:space="preserve"> shows a quality check regarding the 2015 high resolution layer for soil sealing</w:t>
      </w:r>
      <w:r w:rsidR="00A12711">
        <w:t>.</w:t>
      </w:r>
      <w:r w:rsidR="00C51D7E">
        <w:t xml:space="preserve"> It is obvious that smaller structures</w:t>
      </w:r>
      <w:r w:rsidR="00677B0A">
        <w:t>,</w:t>
      </w:r>
      <w:r w:rsidR="00C51D7E">
        <w:t xml:space="preserve"> like disperse single family houses and smaller roads are not captured by this data set</w:t>
      </w:r>
      <w:r w:rsidR="00A12711">
        <w:t>.</w:t>
      </w:r>
      <w:r w:rsidR="00C51D7E">
        <w:t xml:space="preserve"> However</w:t>
      </w:r>
      <w:r w:rsidR="00677B0A">
        <w:t>,</w:t>
      </w:r>
      <w:r w:rsidR="00C51D7E">
        <w:t xml:space="preserve"> it can be expected that the higher resolution of the new data set (from 2018 on) will overcome this deficiency</w:t>
      </w:r>
      <w:r w:rsidR="00A12711">
        <w:t>.</w:t>
      </w:r>
    </w:p>
    <w:p w14:paraId="4FAD9978" w14:textId="4B97FE3B" w:rsidR="002D189C" w:rsidRDefault="002D189C">
      <w:pPr>
        <w:suppressAutoHyphens w:val="0"/>
        <w:jc w:val="left"/>
      </w:pPr>
      <w:r>
        <w:br w:type="page"/>
      </w:r>
    </w:p>
    <w:p w14:paraId="2100EB36" w14:textId="77777777" w:rsidR="00E870E6" w:rsidRDefault="00E870E6" w:rsidP="00F13CAE">
      <w:pPr>
        <w:suppressAutoHyphens w:val="0"/>
        <w:jc w:val="left"/>
      </w:pPr>
    </w:p>
    <w:p w14:paraId="705F5F9F" w14:textId="5C54719E" w:rsidR="0090303E" w:rsidRPr="0090303E" w:rsidRDefault="0090303E" w:rsidP="0090303E">
      <w:pPr>
        <w:pStyle w:val="FormatvorlageBeschriftung"/>
      </w:pPr>
      <w:bookmarkStart w:id="427" w:name="_Ref82776373"/>
      <w:bookmarkStart w:id="428" w:name="_Toc83997444"/>
      <w:r w:rsidRPr="00B2361E">
        <w:t xml:space="preserve">Figure </w:t>
      </w:r>
      <w:r w:rsidR="00CA7716">
        <w:fldChar w:fldCharType="begin"/>
      </w:r>
      <w:r w:rsidR="00CA7716">
        <w:instrText xml:space="preserve"> STYLEREF 1 \s </w:instrText>
      </w:r>
      <w:r w:rsidR="00CA7716">
        <w:fldChar w:fldCharType="separate"/>
      </w:r>
      <w:r w:rsidR="0067767C">
        <w:rPr>
          <w:noProof/>
        </w:rPr>
        <w:t>9</w:t>
      </w:r>
      <w:r w:rsidR="00CA7716">
        <w:fldChar w:fldCharType="end"/>
      </w:r>
      <w:r w:rsidR="00CA7716">
        <w:noBreakHyphen/>
      </w:r>
      <w:r w:rsidR="00CA7716">
        <w:fldChar w:fldCharType="begin"/>
      </w:r>
      <w:r w:rsidR="00CA7716">
        <w:instrText xml:space="preserve"> SEQ Figure \* ARABIC \s 1 </w:instrText>
      </w:r>
      <w:r w:rsidR="00CA7716">
        <w:fldChar w:fldCharType="separate"/>
      </w:r>
      <w:r w:rsidR="0067767C">
        <w:rPr>
          <w:noProof/>
        </w:rPr>
        <w:t>3</w:t>
      </w:r>
      <w:r w:rsidR="00CA7716">
        <w:fldChar w:fldCharType="end"/>
      </w:r>
      <w:bookmarkEnd w:id="427"/>
      <w:r w:rsidRPr="00B2361E">
        <w:t>:</w:t>
      </w:r>
      <w:r w:rsidRPr="00B2361E">
        <w:tab/>
      </w:r>
      <w:r w:rsidRPr="0090303E">
        <w:t>Documentation errors of EEA-Copernicus high resolution layer “Degree of Imperviousness 2015”</w:t>
      </w:r>
      <w:bookmarkEnd w:id="428"/>
    </w:p>
    <w:tbl>
      <w:tblPr>
        <w:tblStyle w:val="Tabellenraster"/>
        <w:tblW w:w="9493" w:type="dxa"/>
        <w:tblBorders>
          <w:insideH w:val="none" w:sz="0" w:space="0" w:color="auto"/>
          <w:insideV w:val="none" w:sz="0" w:space="0" w:color="auto"/>
        </w:tblBorders>
        <w:tblLayout w:type="fixed"/>
        <w:tblLook w:val="04A0" w:firstRow="1" w:lastRow="0" w:firstColumn="1" w:lastColumn="0" w:noHBand="0" w:noVBand="1"/>
      </w:tblPr>
      <w:tblGrid>
        <w:gridCol w:w="4106"/>
        <w:gridCol w:w="4253"/>
        <w:gridCol w:w="1134"/>
      </w:tblGrid>
      <w:tr w:rsidR="00E870E6" w14:paraId="4FF38AEF" w14:textId="77777777" w:rsidTr="00E870E6">
        <w:tc>
          <w:tcPr>
            <w:tcW w:w="4106" w:type="dxa"/>
          </w:tcPr>
          <w:p w14:paraId="339ACCFD" w14:textId="77777777" w:rsidR="00E870E6" w:rsidRPr="008B4B55" w:rsidRDefault="00E870E6" w:rsidP="00AC4033">
            <w:pPr>
              <w:pStyle w:val="EEAtableleftbold"/>
              <w:rPr>
                <w:noProof/>
                <w:lang w:val="en-US" w:eastAsia="de-AT"/>
              </w:rPr>
            </w:pPr>
            <w:r w:rsidRPr="008B4B55">
              <w:rPr>
                <w:noProof/>
                <w:lang w:val="en-US" w:eastAsia="de-AT"/>
              </w:rPr>
              <w:t>Aerial picture</w:t>
            </w:r>
          </w:p>
        </w:tc>
        <w:tc>
          <w:tcPr>
            <w:tcW w:w="4253" w:type="dxa"/>
          </w:tcPr>
          <w:p w14:paraId="54B6DA0E" w14:textId="77777777" w:rsidR="00E870E6" w:rsidRPr="00CB7A72" w:rsidRDefault="00E870E6" w:rsidP="00AC4033">
            <w:pPr>
              <w:pStyle w:val="EEAtableleftbold"/>
              <w:rPr>
                <w:noProof/>
                <w:lang w:val="en-US" w:eastAsia="de-AT"/>
              </w:rPr>
            </w:pPr>
            <w:r w:rsidRPr="00CB7A72">
              <w:rPr>
                <w:noProof/>
                <w:lang w:val="en-US" w:eastAsia="de-AT"/>
              </w:rPr>
              <w:t xml:space="preserve">EEA-Copernicus data set 2015 (yellow-red) </w:t>
            </w:r>
          </w:p>
        </w:tc>
        <w:tc>
          <w:tcPr>
            <w:tcW w:w="1134" w:type="dxa"/>
          </w:tcPr>
          <w:p w14:paraId="05D82441" w14:textId="77777777" w:rsidR="00E870E6" w:rsidRPr="00CB7A72" w:rsidRDefault="00E870E6" w:rsidP="00AC4033">
            <w:pPr>
              <w:pStyle w:val="EEAtableleftbold"/>
              <w:rPr>
                <w:noProof/>
                <w:lang w:val="en-US" w:eastAsia="de-AT"/>
              </w:rPr>
            </w:pPr>
            <w:r>
              <w:rPr>
                <w:noProof/>
                <w:lang w:val="en-US" w:eastAsia="de-AT"/>
              </w:rPr>
              <w:t>Comment</w:t>
            </w:r>
          </w:p>
        </w:tc>
      </w:tr>
      <w:tr w:rsidR="00E870E6" w:rsidRPr="0096110F" w14:paraId="3C11D642" w14:textId="77777777" w:rsidTr="00E870E6">
        <w:tc>
          <w:tcPr>
            <w:tcW w:w="4106" w:type="dxa"/>
          </w:tcPr>
          <w:p w14:paraId="4D25CAF0"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2480" behindDoc="0" locked="0" layoutInCell="1" allowOverlap="1" wp14:anchorId="00AF2979" wp14:editId="09CE9621">
                  <wp:simplePos x="0" y="0"/>
                  <wp:positionH relativeFrom="column">
                    <wp:posOffset>-32476</wp:posOffset>
                  </wp:positionH>
                  <wp:positionV relativeFrom="paragraph">
                    <wp:posOffset>1996</wp:posOffset>
                  </wp:positionV>
                  <wp:extent cx="2563200" cy="1828800"/>
                  <wp:effectExtent l="0" t="0" r="8890" b="0"/>
                  <wp:wrapTopAndBottom/>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referRelativeResize="0"/>
                        </pic:nvPicPr>
                        <pic:blipFill rotWithShape="1">
                          <a:blip r:embed="rId55"/>
                          <a:srcRect l="16392" t="12137" r="12198" b="3943"/>
                          <a:stretch/>
                        </pic:blipFill>
                        <pic:spPr bwMode="auto">
                          <a:xfrm>
                            <a:off x="0" y="0"/>
                            <a:ext cx="2563200" cy="1828800"/>
                          </a:xfrm>
                          <a:prstGeom prst="rect">
                            <a:avLst/>
                          </a:prstGeom>
                          <a:ln>
                            <a:noFill/>
                          </a:ln>
                          <a:extLst>
                            <a:ext uri="{53640926-AAD7-44D8-BBD7-CCE9431645EC}">
                              <a14:shadowObscured xmlns:a14="http://schemas.microsoft.com/office/drawing/2010/main"/>
                            </a:ext>
                          </a:extLst>
                        </pic:spPr>
                      </pic:pic>
                    </a:graphicData>
                  </a:graphic>
                </wp:anchor>
              </w:drawing>
            </w:r>
          </w:p>
        </w:tc>
        <w:tc>
          <w:tcPr>
            <w:tcW w:w="4253" w:type="dxa"/>
          </w:tcPr>
          <w:p w14:paraId="3DE74A68"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3504" behindDoc="0" locked="0" layoutInCell="1" allowOverlap="1" wp14:anchorId="77768BA1" wp14:editId="72B5C6D9">
                  <wp:simplePos x="0" y="0"/>
                  <wp:positionH relativeFrom="column">
                    <wp:posOffset>1633</wp:posOffset>
                  </wp:positionH>
                  <wp:positionV relativeFrom="paragraph">
                    <wp:posOffset>1996</wp:posOffset>
                  </wp:positionV>
                  <wp:extent cx="2563200" cy="1828800"/>
                  <wp:effectExtent l="0" t="0" r="8890" b="0"/>
                  <wp:wrapTopAndBottom/>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referRelativeResize="0"/>
                        </pic:nvPicPr>
                        <pic:blipFill rotWithShape="1">
                          <a:blip r:embed="rId56"/>
                          <a:srcRect l="16392" t="12347" r="12199" b="5198"/>
                          <a:stretch/>
                        </pic:blipFill>
                        <pic:spPr bwMode="auto">
                          <a:xfrm>
                            <a:off x="0" y="0"/>
                            <a:ext cx="2563200" cy="1828800"/>
                          </a:xfrm>
                          <a:prstGeom prst="rect">
                            <a:avLst/>
                          </a:prstGeom>
                          <a:ln>
                            <a:noFill/>
                          </a:ln>
                          <a:extLst>
                            <a:ext uri="{53640926-AAD7-44D8-BBD7-CCE9431645EC}">
                              <a14:shadowObscured xmlns:a14="http://schemas.microsoft.com/office/drawing/2010/main"/>
                            </a:ext>
                          </a:extLst>
                        </pic:spPr>
                      </pic:pic>
                    </a:graphicData>
                  </a:graphic>
                </wp:anchor>
              </w:drawing>
            </w:r>
          </w:p>
        </w:tc>
        <w:tc>
          <w:tcPr>
            <w:tcW w:w="1134" w:type="dxa"/>
          </w:tcPr>
          <w:p w14:paraId="6D1E3CDD" w14:textId="77777777" w:rsidR="00E870E6" w:rsidRPr="0096110F" w:rsidRDefault="00E870E6" w:rsidP="00AC4033">
            <w:pPr>
              <w:pStyle w:val="EEAtableleft"/>
              <w:rPr>
                <w:noProof/>
                <w:highlight w:val="lightGray"/>
                <w:lang w:val="en-US" w:eastAsia="de-AT"/>
              </w:rPr>
            </w:pPr>
            <w:r w:rsidRPr="0096110F">
              <w:rPr>
                <w:highlight w:val="lightGray"/>
              </w:rPr>
              <w:t>Railway tracks associated to other impervious surfaces are not mapped</w:t>
            </w:r>
          </w:p>
        </w:tc>
      </w:tr>
      <w:tr w:rsidR="00E870E6" w:rsidRPr="0096110F" w14:paraId="16894B30" w14:textId="77777777" w:rsidTr="00E870E6">
        <w:tc>
          <w:tcPr>
            <w:tcW w:w="8359" w:type="dxa"/>
            <w:gridSpan w:val="2"/>
          </w:tcPr>
          <w:p w14:paraId="13557214" w14:textId="77777777" w:rsidR="00E870E6" w:rsidRPr="0096110F" w:rsidRDefault="00E870E6" w:rsidP="00AC4033">
            <w:pPr>
              <w:pStyle w:val="EEAspacesm"/>
              <w:rPr>
                <w:rFonts w:eastAsia="Calibri"/>
                <w:highlight w:val="lightGray"/>
              </w:rPr>
            </w:pPr>
          </w:p>
        </w:tc>
        <w:tc>
          <w:tcPr>
            <w:tcW w:w="1134" w:type="dxa"/>
          </w:tcPr>
          <w:p w14:paraId="50062369" w14:textId="77777777" w:rsidR="00E870E6" w:rsidRPr="0096110F" w:rsidRDefault="00E870E6" w:rsidP="00AC4033">
            <w:pPr>
              <w:pStyle w:val="EEAspacesm"/>
              <w:rPr>
                <w:highlight w:val="lightGray"/>
              </w:rPr>
            </w:pPr>
          </w:p>
        </w:tc>
      </w:tr>
      <w:tr w:rsidR="00E870E6" w:rsidRPr="0096110F" w14:paraId="62D15B93" w14:textId="77777777" w:rsidTr="00E870E6">
        <w:tc>
          <w:tcPr>
            <w:tcW w:w="4106" w:type="dxa"/>
          </w:tcPr>
          <w:p w14:paraId="2C163453"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4528" behindDoc="0" locked="0" layoutInCell="1" allowOverlap="1" wp14:anchorId="7D7B390C" wp14:editId="0F8A9A3F">
                  <wp:simplePos x="0" y="0"/>
                  <wp:positionH relativeFrom="column">
                    <wp:posOffset>-32476</wp:posOffset>
                  </wp:positionH>
                  <wp:positionV relativeFrom="paragraph">
                    <wp:posOffset>1905</wp:posOffset>
                  </wp:positionV>
                  <wp:extent cx="2563200" cy="1828800"/>
                  <wp:effectExtent l="0" t="0" r="8890" b="0"/>
                  <wp:wrapTopAndBottom/>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57"/>
                          <a:srcRect l="16392" t="12347" r="12198" b="3942"/>
                          <a:stretch/>
                        </pic:blipFill>
                        <pic:spPr bwMode="auto">
                          <a:xfrm>
                            <a:off x="0" y="0"/>
                            <a:ext cx="2563200" cy="1828800"/>
                          </a:xfrm>
                          <a:prstGeom prst="rect">
                            <a:avLst/>
                          </a:prstGeom>
                          <a:ln>
                            <a:noFill/>
                          </a:ln>
                          <a:extLst>
                            <a:ext uri="{53640926-AAD7-44D8-BBD7-CCE9431645EC}">
                              <a14:shadowObscured xmlns:a14="http://schemas.microsoft.com/office/drawing/2010/main"/>
                            </a:ext>
                          </a:extLst>
                        </pic:spPr>
                      </pic:pic>
                    </a:graphicData>
                  </a:graphic>
                </wp:anchor>
              </w:drawing>
            </w:r>
          </w:p>
        </w:tc>
        <w:tc>
          <w:tcPr>
            <w:tcW w:w="4253" w:type="dxa"/>
          </w:tcPr>
          <w:p w14:paraId="6AE21D5B"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5552" behindDoc="0" locked="0" layoutInCell="1" allowOverlap="1" wp14:anchorId="28265D0F" wp14:editId="3161E337">
                  <wp:simplePos x="0" y="0"/>
                  <wp:positionH relativeFrom="column">
                    <wp:posOffset>1633</wp:posOffset>
                  </wp:positionH>
                  <wp:positionV relativeFrom="paragraph">
                    <wp:posOffset>1905</wp:posOffset>
                  </wp:positionV>
                  <wp:extent cx="2563200" cy="1828800"/>
                  <wp:effectExtent l="0" t="0" r="8890" b="0"/>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rotWithShape="1">
                          <a:blip r:embed="rId58"/>
                          <a:srcRect l="16391" t="12557" r="12071" b="3943"/>
                          <a:stretch/>
                        </pic:blipFill>
                        <pic:spPr bwMode="auto">
                          <a:xfrm>
                            <a:off x="0" y="0"/>
                            <a:ext cx="2563200" cy="1828800"/>
                          </a:xfrm>
                          <a:prstGeom prst="rect">
                            <a:avLst/>
                          </a:prstGeom>
                          <a:ln>
                            <a:noFill/>
                          </a:ln>
                          <a:extLst>
                            <a:ext uri="{53640926-AAD7-44D8-BBD7-CCE9431645EC}">
                              <a14:shadowObscured xmlns:a14="http://schemas.microsoft.com/office/drawing/2010/main"/>
                            </a:ext>
                          </a:extLst>
                        </pic:spPr>
                      </pic:pic>
                    </a:graphicData>
                  </a:graphic>
                </wp:anchor>
              </w:drawing>
            </w:r>
          </w:p>
        </w:tc>
        <w:tc>
          <w:tcPr>
            <w:tcW w:w="1134" w:type="dxa"/>
          </w:tcPr>
          <w:p w14:paraId="7F8D17A7" w14:textId="77777777" w:rsidR="00E870E6" w:rsidRPr="0096110F" w:rsidRDefault="00E870E6" w:rsidP="00AC4033">
            <w:pPr>
              <w:pStyle w:val="EEAtableleft"/>
              <w:rPr>
                <w:noProof/>
                <w:highlight w:val="lightGray"/>
                <w:lang w:val="en-US" w:eastAsia="de-AT"/>
              </w:rPr>
            </w:pPr>
            <w:r w:rsidRPr="0096110F">
              <w:rPr>
                <w:highlight w:val="lightGray"/>
              </w:rPr>
              <w:t>Scattered houses around a village are not or only randomly selected</w:t>
            </w:r>
          </w:p>
        </w:tc>
      </w:tr>
      <w:tr w:rsidR="00E870E6" w:rsidRPr="0096110F" w14:paraId="50C375D0" w14:textId="77777777" w:rsidTr="00E870E6">
        <w:tc>
          <w:tcPr>
            <w:tcW w:w="8359" w:type="dxa"/>
            <w:gridSpan w:val="2"/>
          </w:tcPr>
          <w:p w14:paraId="14B304A0" w14:textId="77777777" w:rsidR="00E870E6" w:rsidRPr="0096110F" w:rsidRDefault="00E870E6" w:rsidP="00AC4033">
            <w:pPr>
              <w:pStyle w:val="EEAspacesm"/>
              <w:rPr>
                <w:rFonts w:eastAsia="Calibri"/>
                <w:highlight w:val="lightGray"/>
              </w:rPr>
            </w:pPr>
          </w:p>
        </w:tc>
        <w:tc>
          <w:tcPr>
            <w:tcW w:w="1134" w:type="dxa"/>
          </w:tcPr>
          <w:p w14:paraId="32C52905" w14:textId="77777777" w:rsidR="00E870E6" w:rsidRPr="0096110F" w:rsidRDefault="00E870E6" w:rsidP="00AC4033">
            <w:pPr>
              <w:pStyle w:val="EEAspacesm"/>
              <w:rPr>
                <w:highlight w:val="lightGray"/>
              </w:rPr>
            </w:pPr>
          </w:p>
        </w:tc>
      </w:tr>
      <w:tr w:rsidR="00E870E6" w:rsidRPr="0096110F" w14:paraId="12C3E830" w14:textId="77777777" w:rsidTr="00E870E6">
        <w:tc>
          <w:tcPr>
            <w:tcW w:w="4106" w:type="dxa"/>
          </w:tcPr>
          <w:p w14:paraId="758B93F6"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6576" behindDoc="0" locked="0" layoutInCell="1" allowOverlap="1" wp14:anchorId="6512B098" wp14:editId="0A1209E9">
                  <wp:simplePos x="0" y="0"/>
                  <wp:positionH relativeFrom="column">
                    <wp:posOffset>-64861</wp:posOffset>
                  </wp:positionH>
                  <wp:positionV relativeFrom="paragraph">
                    <wp:posOffset>1633</wp:posOffset>
                  </wp:positionV>
                  <wp:extent cx="2670048" cy="1897508"/>
                  <wp:effectExtent l="0" t="0" r="0" b="762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rotWithShape="1">
                          <a:blip r:embed="rId59"/>
                          <a:srcRect l="16391" t="12347" r="12071" b="3942"/>
                          <a:stretch/>
                        </pic:blipFill>
                        <pic:spPr bwMode="auto">
                          <a:xfrm>
                            <a:off x="0" y="0"/>
                            <a:ext cx="2670048" cy="1897508"/>
                          </a:xfrm>
                          <a:prstGeom prst="rect">
                            <a:avLst/>
                          </a:prstGeom>
                          <a:ln>
                            <a:noFill/>
                          </a:ln>
                          <a:extLst>
                            <a:ext uri="{53640926-AAD7-44D8-BBD7-CCE9431645EC}">
                              <a14:shadowObscured xmlns:a14="http://schemas.microsoft.com/office/drawing/2010/main"/>
                            </a:ext>
                          </a:extLst>
                        </pic:spPr>
                      </pic:pic>
                    </a:graphicData>
                  </a:graphic>
                </wp:anchor>
              </w:drawing>
            </w:r>
          </w:p>
        </w:tc>
        <w:tc>
          <w:tcPr>
            <w:tcW w:w="4253" w:type="dxa"/>
          </w:tcPr>
          <w:p w14:paraId="06B837B0" w14:textId="77777777" w:rsidR="00E870E6" w:rsidRPr="0096110F" w:rsidRDefault="00E870E6" w:rsidP="00AC4033">
            <w:pPr>
              <w:rPr>
                <w:rFonts w:eastAsia="Calibri"/>
                <w:highlight w:val="lightGray"/>
              </w:rPr>
            </w:pPr>
            <w:r w:rsidRPr="0096110F">
              <w:rPr>
                <w:noProof/>
                <w:highlight w:val="lightGray"/>
                <w:lang w:eastAsia="en-GB"/>
              </w:rPr>
              <w:drawing>
                <wp:anchor distT="0" distB="0" distL="114300" distR="114300" simplePos="0" relativeHeight="251737600" behindDoc="0" locked="0" layoutInCell="1" allowOverlap="1" wp14:anchorId="39D5EEDC" wp14:editId="3B99001A">
                  <wp:simplePos x="0" y="0"/>
                  <wp:positionH relativeFrom="column">
                    <wp:posOffset>-34562</wp:posOffset>
                  </wp:positionH>
                  <wp:positionV relativeFrom="paragraph">
                    <wp:posOffset>1633</wp:posOffset>
                  </wp:positionV>
                  <wp:extent cx="2666007" cy="1894636"/>
                  <wp:effectExtent l="0" t="0" r="1270" b="0"/>
                  <wp:wrapTopAndBottom/>
                  <wp:docPr id="7168" name="Grafik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rotWithShape="1">
                          <a:blip r:embed="rId60"/>
                          <a:srcRect l="16391" t="12347" r="12071" b="3942"/>
                          <a:stretch/>
                        </pic:blipFill>
                        <pic:spPr bwMode="auto">
                          <a:xfrm>
                            <a:off x="0" y="0"/>
                            <a:ext cx="2666007" cy="1894636"/>
                          </a:xfrm>
                          <a:prstGeom prst="rect">
                            <a:avLst/>
                          </a:prstGeom>
                          <a:ln>
                            <a:noFill/>
                          </a:ln>
                          <a:extLst>
                            <a:ext uri="{53640926-AAD7-44D8-BBD7-CCE9431645EC}">
                              <a14:shadowObscured xmlns:a14="http://schemas.microsoft.com/office/drawing/2010/main"/>
                            </a:ext>
                          </a:extLst>
                        </pic:spPr>
                      </pic:pic>
                    </a:graphicData>
                  </a:graphic>
                </wp:anchor>
              </w:drawing>
            </w:r>
          </w:p>
        </w:tc>
        <w:tc>
          <w:tcPr>
            <w:tcW w:w="1134" w:type="dxa"/>
          </w:tcPr>
          <w:p w14:paraId="643CFD07" w14:textId="77777777" w:rsidR="00E870E6" w:rsidRPr="0096110F" w:rsidRDefault="00E870E6" w:rsidP="00AC4033">
            <w:pPr>
              <w:pStyle w:val="EEAtableleft"/>
              <w:rPr>
                <w:noProof/>
                <w:highlight w:val="lightGray"/>
                <w:lang w:val="en-US" w:eastAsia="de-AT"/>
              </w:rPr>
            </w:pPr>
            <w:r w:rsidRPr="0096110F">
              <w:rPr>
                <w:highlight w:val="lightGray"/>
              </w:rPr>
              <w:t>Typical landscape with scattered small settlements and farm houses, only a small part of farm-houses mapped</w:t>
            </w:r>
          </w:p>
        </w:tc>
      </w:tr>
    </w:tbl>
    <w:p w14:paraId="7A3E4D7B" w14:textId="47677D85" w:rsidR="00F13CAE" w:rsidRPr="002A5C04" w:rsidRDefault="00E870E6" w:rsidP="002A5C04">
      <w:pPr>
        <w:pStyle w:val="EEASource"/>
      </w:pPr>
      <w:r w:rsidRPr="002A5C04">
        <w:t xml:space="preserve">Note: </w:t>
      </w:r>
      <w:r w:rsidRPr="002A5C04">
        <w:tab/>
        <w:t>The squares on the right hand side indicate the sealing density</w:t>
      </w:r>
      <w:r w:rsidR="00677B0A" w:rsidRPr="002A5C04">
        <w:t>,</w:t>
      </w:r>
      <w:r w:rsidRPr="002A5C04">
        <w:t xml:space="preserve"> ranging from pale yellow (1 – 20%) to dark red (&gt;80% sealing)</w:t>
      </w:r>
    </w:p>
    <w:p w14:paraId="60D3890C" w14:textId="70141F3F" w:rsidR="00E870E6" w:rsidRPr="002A5C04" w:rsidRDefault="00E870E6" w:rsidP="002A5C04">
      <w:pPr>
        <w:pStyle w:val="EEASource"/>
        <w:rPr>
          <w:rFonts w:eastAsia="Calibri"/>
        </w:rPr>
      </w:pPr>
      <w:r w:rsidRPr="002A5C04">
        <w:rPr>
          <w:rFonts w:eastAsia="Calibri"/>
        </w:rPr>
        <w:t xml:space="preserve">Source: </w:t>
      </w:r>
      <w:r w:rsidRPr="002A5C04">
        <w:rPr>
          <w:rFonts w:eastAsia="Calibri"/>
        </w:rPr>
        <w:tab/>
        <w:t>National HRL verification report</w:t>
      </w:r>
    </w:p>
    <w:p w14:paraId="47E83FDE" w14:textId="77777777" w:rsidR="00F13CAE" w:rsidRPr="00E870E6" w:rsidRDefault="00F13CAE" w:rsidP="00E870E6">
      <w:pPr>
        <w:pStyle w:val="FormatvorlageEEATabfootnoteLinks0cmErsteZeile0cm"/>
        <w:rPr>
          <w:rFonts w:eastAsia="Calibri"/>
          <w:color w:val="000000" w:themeColor="text1"/>
        </w:rPr>
      </w:pPr>
    </w:p>
    <w:p w14:paraId="33E7133F" w14:textId="77777777" w:rsidR="00F13CAE" w:rsidRDefault="00F13CAE" w:rsidP="002C488D">
      <w:pPr>
        <w:pStyle w:val="berschrift2"/>
        <w:ind w:left="567" w:hanging="567"/>
      </w:pPr>
      <w:bookmarkStart w:id="429" w:name="_Toc48567194"/>
      <w:bookmarkStart w:id="430" w:name="_Toc83997410"/>
      <w:r>
        <w:t>Baselines and target values</w:t>
      </w:r>
      <w:bookmarkEnd w:id="429"/>
      <w:bookmarkEnd w:id="430"/>
    </w:p>
    <w:p w14:paraId="42DA2B6F" w14:textId="77777777" w:rsidR="00F13CAE" w:rsidRDefault="00F13CAE" w:rsidP="00F13CAE">
      <w:pPr>
        <w:suppressAutoHyphens w:val="0"/>
        <w:jc w:val="left"/>
        <w:rPr>
          <w:rFonts w:eastAsia="Calibri"/>
        </w:rPr>
      </w:pPr>
    </w:p>
    <w:p w14:paraId="3A8D3334" w14:textId="2341A6FC" w:rsidR="00F13CAE" w:rsidRDefault="00F13CAE" w:rsidP="00F13CAE">
      <w:pPr>
        <w:suppressAutoHyphens w:val="0"/>
        <w:jc w:val="left"/>
      </w:pPr>
      <w:r>
        <w:t>According to the current state of knowledge</w:t>
      </w:r>
      <w:r w:rsidR="00A12711">
        <w:t>.</w:t>
      </w:r>
      <w:r>
        <w:t xml:space="preserve"> </w:t>
      </w:r>
      <w:r w:rsidR="00677B0A">
        <w:t>B</w:t>
      </w:r>
      <w:r>
        <w:t>aselines and thresholds for soil sealing are not soil science based but policy based</w:t>
      </w:r>
      <w:r w:rsidR="00A12711">
        <w:t>.</w:t>
      </w:r>
      <w:r>
        <w:t xml:space="preserve"> They refer to defined geographical regions and a target year</w:t>
      </w:r>
      <w:r w:rsidR="00A12711">
        <w:t>.</w:t>
      </w:r>
      <w:r>
        <w:t xml:space="preserve"> Also it can be observed that soil sealing is usually implicitly included in targets to reduce land take</w:t>
      </w:r>
      <w:r w:rsidR="00A12711">
        <w:t>.</w:t>
      </w:r>
    </w:p>
    <w:p w14:paraId="55F2128D" w14:textId="77777777" w:rsidR="00F13CAE" w:rsidRDefault="00F13CAE" w:rsidP="00F13CAE">
      <w:pPr>
        <w:suppressAutoHyphens w:val="0"/>
        <w:jc w:val="left"/>
      </w:pPr>
    </w:p>
    <w:p w14:paraId="42BEA20F" w14:textId="2C49F030" w:rsidR="00F13CAE" w:rsidRDefault="00F13CAE" w:rsidP="00F13CAE">
      <w:pPr>
        <w:suppressAutoHyphens w:val="0"/>
        <w:jc w:val="left"/>
      </w:pPr>
      <w:r>
        <w:lastRenderedPageBreak/>
        <w:t xml:space="preserve">The baseline is usually a reference </w:t>
      </w:r>
      <w:r w:rsidR="009F774B">
        <w:t>year,</w:t>
      </w:r>
      <w:r>
        <w:t xml:space="preserve"> and the target value refers to a target year and a defined soil sealing or land take rate for a defined region or country</w:t>
      </w:r>
      <w:r w:rsidR="00A12711">
        <w:t>.</w:t>
      </w:r>
      <w:r>
        <w:t xml:space="preserve"> The rate for soil sealing or land take is usually expressed in “hectares per day” as annual average</w:t>
      </w:r>
      <w:r w:rsidR="00A12711">
        <w:t>.</w:t>
      </w:r>
      <w:r>
        <w:t xml:space="preserve"> To give a few examples see </w:t>
      </w:r>
      <w:r>
        <w:fldChar w:fldCharType="begin"/>
      </w:r>
      <w:r>
        <w:instrText xml:space="preserve"> REF _Ref48567074 \h </w:instrText>
      </w:r>
      <w:r>
        <w:fldChar w:fldCharType="separate"/>
      </w:r>
      <w:r w:rsidR="0067767C">
        <w:t xml:space="preserve">Table </w:t>
      </w:r>
      <w:r w:rsidR="0067767C">
        <w:rPr>
          <w:noProof/>
        </w:rPr>
        <w:t>9</w:t>
      </w:r>
      <w:r w:rsidR="0067767C">
        <w:noBreakHyphen/>
      </w:r>
      <w:r w:rsidR="0067767C">
        <w:rPr>
          <w:noProof/>
        </w:rPr>
        <w:t>4</w:t>
      </w:r>
      <w:r>
        <w:fldChar w:fldCharType="end"/>
      </w:r>
      <w:r>
        <w:t>:</w:t>
      </w:r>
    </w:p>
    <w:p w14:paraId="265BF670" w14:textId="77777777" w:rsidR="00F13CAE" w:rsidRDefault="00F13CAE" w:rsidP="00F13CAE">
      <w:pPr>
        <w:suppressAutoHyphens w:val="0"/>
        <w:jc w:val="left"/>
      </w:pPr>
    </w:p>
    <w:p w14:paraId="3109EA20" w14:textId="6E504742" w:rsidR="00F13CAE" w:rsidRDefault="00F13CAE" w:rsidP="00F13CAE">
      <w:pPr>
        <w:pStyle w:val="EEALabel"/>
        <w:rPr>
          <w:rFonts w:eastAsia="Calibri"/>
        </w:rPr>
      </w:pPr>
      <w:bookmarkStart w:id="431" w:name="_Ref48567074"/>
      <w:bookmarkStart w:id="432" w:name="_Toc83997540"/>
      <w:r>
        <w:t xml:space="preserve">Table </w:t>
      </w:r>
      <w:r w:rsidR="00C76C23">
        <w:fldChar w:fldCharType="begin"/>
      </w:r>
      <w:r w:rsidR="00C76C23">
        <w:instrText xml:space="preserve"> STYLEREF 1 \s </w:instrText>
      </w:r>
      <w:r w:rsidR="00C76C23">
        <w:fldChar w:fldCharType="separate"/>
      </w:r>
      <w:r w:rsidR="0067767C">
        <w:rPr>
          <w:noProof/>
        </w:rPr>
        <w:t>9</w:t>
      </w:r>
      <w:r w:rsidR="00C76C23">
        <w:fldChar w:fldCharType="end"/>
      </w:r>
      <w:r w:rsidR="00C76C23">
        <w:noBreakHyphen/>
      </w:r>
      <w:r w:rsidR="00C76C23">
        <w:fldChar w:fldCharType="begin"/>
      </w:r>
      <w:r w:rsidR="00C76C23">
        <w:instrText xml:space="preserve"> SEQ Table \* ARABIC \s 1 </w:instrText>
      </w:r>
      <w:r w:rsidR="00C76C23">
        <w:fldChar w:fldCharType="separate"/>
      </w:r>
      <w:r w:rsidR="0067767C">
        <w:rPr>
          <w:noProof/>
        </w:rPr>
        <w:t>4</w:t>
      </w:r>
      <w:r w:rsidR="00C76C23">
        <w:fldChar w:fldCharType="end"/>
      </w:r>
      <w:bookmarkEnd w:id="431"/>
      <w:r>
        <w:rPr>
          <w:rFonts w:eastAsia="Calibri"/>
        </w:rPr>
        <w:t>:</w:t>
      </w:r>
      <w:r>
        <w:rPr>
          <w:rFonts w:eastAsia="Calibri"/>
        </w:rPr>
        <w:tab/>
        <w:t>Currently applied targets and baselines for soil sealing/land take in selected European countries</w:t>
      </w:r>
      <w:r w:rsidR="00A12711">
        <w:rPr>
          <w:rFonts w:eastAsia="Calibri"/>
        </w:rPr>
        <w:t>.</w:t>
      </w:r>
      <w:bookmarkEnd w:id="432"/>
    </w:p>
    <w:p w14:paraId="5106AB60" w14:textId="77777777" w:rsidR="00E870E6" w:rsidRDefault="00E870E6"/>
    <w:tbl>
      <w:tblPr>
        <w:tblStyle w:val="Tabellenraster"/>
        <w:tblW w:w="9526" w:type="dxa"/>
        <w:tblBorders>
          <w:left w:val="none" w:sz="0" w:space="0" w:color="auto"/>
          <w:right w:val="none" w:sz="0" w:space="0" w:color="auto"/>
          <w:insideV w:val="none" w:sz="0" w:space="0" w:color="auto"/>
        </w:tblBorders>
        <w:tblLook w:val="04A0" w:firstRow="1" w:lastRow="0" w:firstColumn="1" w:lastColumn="0" w:noHBand="0" w:noVBand="1"/>
      </w:tblPr>
      <w:tblGrid>
        <w:gridCol w:w="4536"/>
        <w:gridCol w:w="2835"/>
        <w:gridCol w:w="2155"/>
      </w:tblGrid>
      <w:tr w:rsidR="00E44384" w14:paraId="0005A2EB" w14:textId="77777777" w:rsidTr="00DA2886">
        <w:trPr>
          <w:tblHeader/>
        </w:trPr>
        <w:tc>
          <w:tcPr>
            <w:tcW w:w="4536" w:type="dxa"/>
            <w:shd w:val="pct10" w:color="auto" w:fill="auto"/>
          </w:tcPr>
          <w:p w14:paraId="2FDB9DCA" w14:textId="77777777" w:rsidR="00E44384" w:rsidRPr="00B678C5" w:rsidRDefault="00E44384" w:rsidP="00776F43">
            <w:pPr>
              <w:pStyle w:val="EEAtableleftbold"/>
            </w:pPr>
            <w:r>
              <w:t>Target</w:t>
            </w:r>
          </w:p>
        </w:tc>
        <w:tc>
          <w:tcPr>
            <w:tcW w:w="2835" w:type="dxa"/>
            <w:shd w:val="pct10" w:color="auto" w:fill="auto"/>
          </w:tcPr>
          <w:p w14:paraId="17411378" w14:textId="77777777" w:rsidR="00E44384" w:rsidRDefault="00E44384" w:rsidP="00776F43">
            <w:pPr>
              <w:pStyle w:val="EEAtableleftbold"/>
            </w:pPr>
            <w:r>
              <w:t>Indicator</w:t>
            </w:r>
          </w:p>
        </w:tc>
        <w:tc>
          <w:tcPr>
            <w:tcW w:w="2155" w:type="dxa"/>
            <w:shd w:val="pct10" w:color="auto" w:fill="auto"/>
          </w:tcPr>
          <w:p w14:paraId="3694A834" w14:textId="77777777" w:rsidR="00E44384" w:rsidRDefault="00E44384" w:rsidP="00776F43">
            <w:pPr>
              <w:pStyle w:val="EEAtableleftbold"/>
            </w:pPr>
            <w:r>
              <w:t>Source</w:t>
            </w:r>
          </w:p>
        </w:tc>
      </w:tr>
      <w:tr w:rsidR="00E44384" w14:paraId="081E02FA" w14:textId="77777777" w:rsidTr="00DA2886">
        <w:tc>
          <w:tcPr>
            <w:tcW w:w="4536" w:type="dxa"/>
          </w:tcPr>
          <w:p w14:paraId="7347C48B" w14:textId="77777777" w:rsidR="00E44384" w:rsidRDefault="00E44384" w:rsidP="00776F43">
            <w:pPr>
              <w:pStyle w:val="EEAtableleft"/>
            </w:pPr>
            <w:r w:rsidRPr="00B678C5">
              <w:t>Achieve no net land take by 2050</w:t>
            </w:r>
          </w:p>
        </w:tc>
        <w:tc>
          <w:tcPr>
            <w:tcW w:w="2835" w:type="dxa"/>
          </w:tcPr>
          <w:p w14:paraId="234C0B06" w14:textId="29E1778A" w:rsidR="00E44384" w:rsidRDefault="00E44384" w:rsidP="00776F43">
            <w:pPr>
              <w:pStyle w:val="EEAtableleft"/>
            </w:pPr>
            <w:r>
              <w:t>km² land take per 3 year period</w:t>
            </w:r>
          </w:p>
        </w:tc>
        <w:tc>
          <w:tcPr>
            <w:tcW w:w="2155" w:type="dxa"/>
          </w:tcPr>
          <w:p w14:paraId="374FB6A1" w14:textId="5A1BEB00" w:rsidR="00E44384" w:rsidRDefault="00E44384" w:rsidP="00776F43">
            <w:pPr>
              <w:pStyle w:val="EEAtableleft"/>
            </w:pPr>
            <w:r>
              <w:t>European Union</w:t>
            </w:r>
            <w:r w:rsidR="00A12711">
              <w:t>.</w:t>
            </w:r>
            <w:r>
              <w:t xml:space="preserve"> </w:t>
            </w:r>
            <w:r w:rsidRPr="00B678C5">
              <w:t>Road Map for a Resource Efficient Europe</w:t>
            </w:r>
            <w:r>
              <w:rPr>
                <w:rStyle w:val="Funotenzeichen"/>
              </w:rPr>
              <w:footnoteReference w:id="58"/>
            </w:r>
          </w:p>
        </w:tc>
      </w:tr>
      <w:tr w:rsidR="00E44384" w14:paraId="4FFAC376" w14:textId="77777777" w:rsidTr="00DA2886">
        <w:tc>
          <w:tcPr>
            <w:tcW w:w="4536" w:type="dxa"/>
          </w:tcPr>
          <w:p w14:paraId="0264E50D" w14:textId="77777777" w:rsidR="00E44384" w:rsidRDefault="00E44384" w:rsidP="00776F43">
            <w:pPr>
              <w:pStyle w:val="EEAtableleft"/>
            </w:pPr>
            <w:r>
              <w:t>To decrease land take gradually:</w:t>
            </w:r>
          </w:p>
          <w:p w14:paraId="73B3C7FC" w14:textId="77777777" w:rsidR="00E44384" w:rsidRDefault="00E44384" w:rsidP="00776F43">
            <w:pPr>
              <w:pStyle w:val="EEAtableleft"/>
            </w:pPr>
            <w:r>
              <w:t xml:space="preserve">2016: daily land take </w:t>
            </w:r>
            <w:r w:rsidRPr="00273BCD">
              <w:t>6ha per day</w:t>
            </w:r>
            <w:r>
              <w:t xml:space="preserve"> (baseline)</w:t>
            </w:r>
          </w:p>
          <w:p w14:paraId="530C0B74" w14:textId="77777777" w:rsidR="00E44384" w:rsidRDefault="00E44384" w:rsidP="00776F43">
            <w:pPr>
              <w:pStyle w:val="EEAtableleft"/>
            </w:pPr>
            <w:r>
              <w:t>2025 interim target 3</w:t>
            </w:r>
            <w:r w:rsidRPr="00273BCD">
              <w:t>ha per day</w:t>
            </w:r>
          </w:p>
          <w:p w14:paraId="10204A1E" w14:textId="77777777" w:rsidR="00E44384" w:rsidRDefault="00E44384" w:rsidP="00776F43">
            <w:pPr>
              <w:pStyle w:val="EEAtableleft"/>
            </w:pPr>
            <w:r>
              <w:t xml:space="preserve">2040 final target 0ha per day / </w:t>
            </w:r>
            <w:r w:rsidRPr="00273BCD">
              <w:t>“land take neutral”</w:t>
            </w:r>
          </w:p>
        </w:tc>
        <w:tc>
          <w:tcPr>
            <w:tcW w:w="2835" w:type="dxa"/>
          </w:tcPr>
          <w:p w14:paraId="41C826BB" w14:textId="4A96FA9F" w:rsidR="00E44384" w:rsidRDefault="00E44384" w:rsidP="00776F43">
            <w:pPr>
              <w:pStyle w:val="EEAtableleft"/>
            </w:pPr>
            <w:r>
              <w:t>average annual land take measured in hectare</w:t>
            </w:r>
            <w:r w:rsidR="00DA2886">
              <w:t>s</w:t>
            </w:r>
            <w:r>
              <w:t xml:space="preserve"> per day</w:t>
            </w:r>
          </w:p>
        </w:tc>
        <w:tc>
          <w:tcPr>
            <w:tcW w:w="2155" w:type="dxa"/>
          </w:tcPr>
          <w:p w14:paraId="3682B8DD" w14:textId="09BA534C" w:rsidR="00E44384" w:rsidRDefault="00E44384" w:rsidP="00776F43">
            <w:pPr>
              <w:pStyle w:val="EEAtableleft"/>
            </w:pPr>
            <w:r>
              <w:t>Flanders</w:t>
            </w:r>
            <w:r w:rsidR="00A12711">
              <w:t>.</w:t>
            </w:r>
            <w:r>
              <w:t xml:space="preserve"> </w:t>
            </w:r>
            <w:r w:rsidRPr="00273BCD">
              <w:t>Strategic Vision Spatial Policy Plan of Flanders</w:t>
            </w:r>
            <w:r>
              <w:rPr>
                <w:rStyle w:val="Funotenzeichen"/>
              </w:rPr>
              <w:footnoteReference w:id="59"/>
            </w:r>
          </w:p>
        </w:tc>
      </w:tr>
      <w:tr w:rsidR="00E44384" w14:paraId="09A6EB77" w14:textId="77777777" w:rsidTr="00DA2886">
        <w:tc>
          <w:tcPr>
            <w:tcW w:w="4536" w:type="dxa"/>
          </w:tcPr>
          <w:p w14:paraId="62296327" w14:textId="455D5DF9" w:rsidR="00E44384" w:rsidRPr="00C315C3" w:rsidRDefault="00E44384" w:rsidP="00776F43">
            <w:pPr>
              <w:pStyle w:val="EEAtableleft"/>
              <w:rPr>
                <w:lang w:val="en-US"/>
              </w:rPr>
            </w:pPr>
            <w:r>
              <w:t xml:space="preserve">To </w:t>
            </w:r>
            <w:r w:rsidRPr="00273BCD">
              <w:t>reduc</w:t>
            </w:r>
            <w:r>
              <w:t xml:space="preserve">e </w:t>
            </w:r>
            <w:r w:rsidRPr="00273BCD">
              <w:t>annual land take</w:t>
            </w:r>
            <w:r>
              <w:t xml:space="preserve"> to a rate of </w:t>
            </w:r>
            <w:r w:rsidRPr="00273BCD">
              <w:t>2</w:t>
            </w:r>
            <w:r w:rsidR="00A12711">
              <w:t>.</w:t>
            </w:r>
            <w:r w:rsidRPr="00273BCD">
              <w:t>5 hecta</w:t>
            </w:r>
            <w:r>
              <w:t xml:space="preserve">re per day by 2030 and to </w:t>
            </w:r>
            <w:r w:rsidRPr="00C315C3">
              <w:rPr>
                <w:lang w:val="en-US"/>
              </w:rPr>
              <w:t>compensat</w:t>
            </w:r>
            <w:r>
              <w:rPr>
                <w:lang w:val="en-US"/>
              </w:rPr>
              <w:t>e</w:t>
            </w:r>
            <w:r w:rsidRPr="00C315C3">
              <w:rPr>
                <w:lang w:val="en-US"/>
              </w:rPr>
              <w:t xml:space="preserve"> unavoidable soil sealing</w:t>
            </w:r>
            <w:r w:rsidR="00A12711">
              <w:rPr>
                <w:lang w:val="en-US"/>
              </w:rPr>
              <w:t>.</w:t>
            </w:r>
          </w:p>
        </w:tc>
        <w:tc>
          <w:tcPr>
            <w:tcW w:w="2835" w:type="dxa"/>
          </w:tcPr>
          <w:p w14:paraId="68CDAE79" w14:textId="77777777" w:rsidR="00E44384" w:rsidRDefault="00E44384" w:rsidP="00776F43">
            <w:pPr>
              <w:pStyle w:val="EEAtableleft"/>
            </w:pPr>
            <w:r>
              <w:t>average annual land take measured in km² per year</w:t>
            </w:r>
          </w:p>
        </w:tc>
        <w:tc>
          <w:tcPr>
            <w:tcW w:w="2155" w:type="dxa"/>
          </w:tcPr>
          <w:p w14:paraId="35AB59F5" w14:textId="38365D3E" w:rsidR="00E44384" w:rsidRDefault="00E44384" w:rsidP="00776F43">
            <w:pPr>
              <w:pStyle w:val="EEAtableleft"/>
            </w:pPr>
            <w:r>
              <w:t>Austrian G</w:t>
            </w:r>
            <w:r w:rsidRPr="00273BCD">
              <w:t xml:space="preserve">overnment </w:t>
            </w:r>
            <w:r>
              <w:t>P</w:t>
            </w:r>
            <w:r w:rsidRPr="00273BCD">
              <w:t>rogramme 2020-2024</w:t>
            </w:r>
            <w:r>
              <w:rPr>
                <w:rStyle w:val="Funotenzeichen"/>
              </w:rPr>
              <w:footnoteReference w:id="60"/>
            </w:r>
            <w:r w:rsidR="00A12711">
              <w:t>.</w:t>
            </w:r>
          </w:p>
        </w:tc>
      </w:tr>
      <w:tr w:rsidR="00E44384" w14:paraId="246EF81C" w14:textId="77777777" w:rsidTr="00DA2886">
        <w:tc>
          <w:tcPr>
            <w:tcW w:w="4536" w:type="dxa"/>
          </w:tcPr>
          <w:p w14:paraId="63A3F770" w14:textId="65068CBF" w:rsidR="00E44384" w:rsidRDefault="00E44384" w:rsidP="00776F43">
            <w:pPr>
              <w:pStyle w:val="EEAtableleft"/>
            </w:pPr>
            <w:r>
              <w:t>T</w:t>
            </w:r>
            <w:r w:rsidRPr="003D36B9">
              <w:t>o reduce land take for settlements and traffic routes to less than 30 ha/d by 2030 (at present: about 60 ha/d)</w:t>
            </w:r>
            <w:r w:rsidR="00A12711">
              <w:t>.</w:t>
            </w:r>
          </w:p>
        </w:tc>
        <w:tc>
          <w:tcPr>
            <w:tcW w:w="2835" w:type="dxa"/>
          </w:tcPr>
          <w:p w14:paraId="24588145" w14:textId="1D198B38" w:rsidR="00E44384" w:rsidRPr="00350943" w:rsidRDefault="00E44384" w:rsidP="00776F43">
            <w:pPr>
              <w:pStyle w:val="EEAtableleft"/>
            </w:pPr>
            <w:r>
              <w:t>average annual land take measured in hectare</w:t>
            </w:r>
            <w:r w:rsidR="00DA2886">
              <w:t>s</w:t>
            </w:r>
            <w:r>
              <w:t xml:space="preserve"> per day</w:t>
            </w:r>
          </w:p>
        </w:tc>
        <w:tc>
          <w:tcPr>
            <w:tcW w:w="2155" w:type="dxa"/>
          </w:tcPr>
          <w:p w14:paraId="7263F806" w14:textId="77777777" w:rsidR="00E44384" w:rsidRDefault="00E44384" w:rsidP="00776F43">
            <w:pPr>
              <w:pStyle w:val="EEAtableleft"/>
            </w:pPr>
            <w:r w:rsidRPr="00350943">
              <w:t>German Sustainability Strategy 2016</w:t>
            </w:r>
            <w:r>
              <w:rPr>
                <w:rStyle w:val="Funotenzeichen"/>
              </w:rPr>
              <w:footnoteReference w:id="61"/>
            </w:r>
          </w:p>
          <w:p w14:paraId="002EF4B8" w14:textId="77777777" w:rsidR="00E44384" w:rsidRDefault="00E44384" w:rsidP="00776F43">
            <w:pPr>
              <w:pStyle w:val="EEAtableleft"/>
            </w:pPr>
          </w:p>
        </w:tc>
      </w:tr>
      <w:tr w:rsidR="00E44384" w14:paraId="1AD2D08C" w14:textId="77777777" w:rsidTr="00DA2886">
        <w:tc>
          <w:tcPr>
            <w:tcW w:w="4536" w:type="dxa"/>
          </w:tcPr>
          <w:p w14:paraId="503105AA" w14:textId="7BE9764B" w:rsidR="00E44384" w:rsidRDefault="00E44384" w:rsidP="00677B0A">
            <w:pPr>
              <w:pStyle w:val="EEAtableleft"/>
            </w:pPr>
            <w:r>
              <w:t>T</w:t>
            </w:r>
            <w:r w:rsidRPr="002D2C94">
              <w:t>o reduce land consumption from 1</w:t>
            </w:r>
            <w:r w:rsidR="00A12711">
              <w:t>.</w:t>
            </w:r>
            <w:r w:rsidRPr="002D2C94">
              <w:t>3 ha/day</w:t>
            </w:r>
            <w:r>
              <w:t xml:space="preserve"> (average 2000 – 2006) </w:t>
            </w:r>
            <w:r w:rsidRPr="002D2C94">
              <w:t>to 1 ha by 2020</w:t>
            </w:r>
            <w:r w:rsidR="00677B0A">
              <w:t>,</w:t>
            </w:r>
            <w:r>
              <w:t xml:space="preserve"> and 0 ha by 2050</w:t>
            </w:r>
            <w:r w:rsidR="00A12711">
              <w:t>.</w:t>
            </w:r>
          </w:p>
        </w:tc>
        <w:tc>
          <w:tcPr>
            <w:tcW w:w="2835" w:type="dxa"/>
          </w:tcPr>
          <w:p w14:paraId="03B33B87" w14:textId="77FE9492" w:rsidR="00E44384" w:rsidRDefault="00E44384" w:rsidP="00776F43">
            <w:pPr>
              <w:pStyle w:val="EEAtableleft"/>
            </w:pPr>
            <w:r>
              <w:t>average annual land take measured in hectare</w:t>
            </w:r>
            <w:r w:rsidR="00DA2886">
              <w:t>s</w:t>
            </w:r>
            <w:r>
              <w:t xml:space="preserve"> per day</w:t>
            </w:r>
          </w:p>
        </w:tc>
        <w:tc>
          <w:tcPr>
            <w:tcW w:w="2155" w:type="dxa"/>
          </w:tcPr>
          <w:p w14:paraId="0DFF6BAF" w14:textId="77777777" w:rsidR="00E44384" w:rsidRDefault="00E44384" w:rsidP="00776F43">
            <w:pPr>
              <w:pStyle w:val="EEAtableleft"/>
            </w:pPr>
            <w:r>
              <w:t>Luxembourg</w:t>
            </w:r>
            <w:r>
              <w:rPr>
                <w:rStyle w:val="Funotenzeichen"/>
              </w:rPr>
              <w:footnoteReference w:id="62"/>
            </w:r>
          </w:p>
        </w:tc>
      </w:tr>
      <w:tr w:rsidR="00E44384" w14:paraId="24589A74" w14:textId="77777777" w:rsidTr="00DA2886">
        <w:tc>
          <w:tcPr>
            <w:tcW w:w="4536" w:type="dxa"/>
          </w:tcPr>
          <w:p w14:paraId="249758A3" w14:textId="77777777" w:rsidR="00E44384" w:rsidRDefault="00E44384" w:rsidP="00776F43">
            <w:pPr>
              <w:pStyle w:val="EEAtableleft"/>
            </w:pPr>
            <w:r>
              <w:t>To halve l</w:t>
            </w:r>
            <w:r w:rsidRPr="002D2C94">
              <w:t xml:space="preserve">and take at the expense of agricultural land until 2020 and </w:t>
            </w:r>
            <w:r>
              <w:t xml:space="preserve">reduce </w:t>
            </w:r>
            <w:r w:rsidRPr="002D2C94">
              <w:t>urban sprawl</w:t>
            </w:r>
          </w:p>
        </w:tc>
        <w:tc>
          <w:tcPr>
            <w:tcW w:w="2835" w:type="dxa"/>
          </w:tcPr>
          <w:p w14:paraId="5D302D85" w14:textId="7C968BD6" w:rsidR="00E44384" w:rsidRDefault="00E44384" w:rsidP="00776F43">
            <w:pPr>
              <w:pStyle w:val="EEAtableleft"/>
            </w:pPr>
            <w:r>
              <w:t>average annual land take measured in thousand hectare</w:t>
            </w:r>
            <w:r w:rsidR="00DA2886">
              <w:t>s</w:t>
            </w:r>
            <w:r>
              <w:t xml:space="preserve"> per year in metropolitan areas</w:t>
            </w:r>
          </w:p>
        </w:tc>
        <w:tc>
          <w:tcPr>
            <w:tcW w:w="2155" w:type="dxa"/>
          </w:tcPr>
          <w:p w14:paraId="1C4F2C06" w14:textId="77777777" w:rsidR="00E44384" w:rsidRDefault="00E44384" w:rsidP="00776F43">
            <w:pPr>
              <w:pStyle w:val="EEAtableleft"/>
            </w:pPr>
            <w:r>
              <w:t>France</w:t>
            </w:r>
            <w:r>
              <w:rPr>
                <w:rStyle w:val="Funotenzeichen"/>
              </w:rPr>
              <w:footnoteReference w:id="63"/>
            </w:r>
          </w:p>
        </w:tc>
      </w:tr>
    </w:tbl>
    <w:p w14:paraId="55A685DD" w14:textId="1327CC3C" w:rsidR="00E44384" w:rsidRDefault="00E44384" w:rsidP="00F13CAE">
      <w:pPr>
        <w:suppressAutoHyphens w:val="0"/>
        <w:jc w:val="left"/>
      </w:pPr>
    </w:p>
    <w:p w14:paraId="78D2E0E7" w14:textId="77777777" w:rsidR="00E44384" w:rsidRDefault="00E44384" w:rsidP="00F13CAE">
      <w:pPr>
        <w:suppressAutoHyphens w:val="0"/>
        <w:jc w:val="left"/>
      </w:pPr>
    </w:p>
    <w:p w14:paraId="275E82F6" w14:textId="44CDAD6B" w:rsidR="00F13CAE" w:rsidRDefault="00F13CAE" w:rsidP="00F13CAE">
      <w:pPr>
        <w:suppressAutoHyphens w:val="0"/>
        <w:jc w:val="left"/>
        <w:rPr>
          <w:rFonts w:eastAsia="Calibri"/>
        </w:rPr>
      </w:pPr>
      <w:r>
        <w:rPr>
          <w:rFonts w:eastAsia="Calibri"/>
        </w:rPr>
        <w:t>According to the current state of knowledge thresholds for soil sealing</w:t>
      </w:r>
      <w:r w:rsidR="00677B0A">
        <w:rPr>
          <w:rFonts w:eastAsia="Calibri"/>
        </w:rPr>
        <w:t>,</w:t>
      </w:r>
      <w:r>
        <w:rPr>
          <w:rFonts w:eastAsia="Calibri"/>
        </w:rPr>
        <w:t xml:space="preserve"> for </w:t>
      </w:r>
      <w:r w:rsidR="0074453C">
        <w:rPr>
          <w:rFonts w:eastAsia="Calibri"/>
        </w:rPr>
        <w:t>instance,</w:t>
      </w:r>
      <w:r>
        <w:rPr>
          <w:rFonts w:eastAsia="Calibri"/>
        </w:rPr>
        <w:t xml:space="preserve"> for a defined land use pattern (core-city</w:t>
      </w:r>
      <w:r w:rsidR="00677B0A">
        <w:rPr>
          <w:rFonts w:eastAsia="Calibri"/>
        </w:rPr>
        <w:t>,</w:t>
      </w:r>
      <w:r>
        <w:rPr>
          <w:rFonts w:eastAsia="Calibri"/>
        </w:rPr>
        <w:t xml:space="preserve"> peri-urban area</w:t>
      </w:r>
      <w:r w:rsidR="00677B0A">
        <w:rPr>
          <w:rFonts w:eastAsia="Calibri"/>
        </w:rPr>
        <w:t>,</w:t>
      </w:r>
      <w:r>
        <w:rPr>
          <w:rFonts w:eastAsia="Calibri"/>
        </w:rPr>
        <w:t xml:space="preserve"> rural area)</w:t>
      </w:r>
      <w:r w:rsidR="00677B0A">
        <w:rPr>
          <w:rFonts w:eastAsia="Calibri"/>
        </w:rPr>
        <w:t>,</w:t>
      </w:r>
      <w:r>
        <w:rPr>
          <w:rFonts w:eastAsia="Calibri"/>
        </w:rPr>
        <w:t xml:space="preserve"> have neither been defined nor implemented</w:t>
      </w:r>
      <w:r w:rsidR="00A12711">
        <w:rPr>
          <w:rFonts w:eastAsia="Calibri"/>
        </w:rPr>
        <w:t>.</w:t>
      </w:r>
      <w:r w:rsidR="005B4D78">
        <w:rPr>
          <w:rFonts w:eastAsia="Calibri"/>
        </w:rPr>
        <w:t xml:space="preserve"> In practice </w:t>
      </w:r>
      <w:r w:rsidR="00E44384">
        <w:rPr>
          <w:rFonts w:eastAsia="Calibri"/>
        </w:rPr>
        <w:t>soil sealing is monitored through land take</w:t>
      </w:r>
      <w:r w:rsidR="00677B0A">
        <w:rPr>
          <w:rFonts w:eastAsia="Calibri"/>
        </w:rPr>
        <w:t>,</w:t>
      </w:r>
      <w:r w:rsidR="00E44384">
        <w:rPr>
          <w:rFonts w:eastAsia="Calibri"/>
        </w:rPr>
        <w:t xml:space="preserve"> corresponding indicators are indicated in the second column of </w:t>
      </w:r>
      <w:r w:rsidR="00E44384">
        <w:rPr>
          <w:rFonts w:eastAsia="Calibri"/>
        </w:rPr>
        <w:fldChar w:fldCharType="begin"/>
      </w:r>
      <w:r w:rsidR="00E44384">
        <w:rPr>
          <w:rFonts w:eastAsia="Calibri"/>
        </w:rPr>
        <w:instrText xml:space="preserve"> REF _Ref48567074 \h </w:instrText>
      </w:r>
      <w:r w:rsidR="00E44384">
        <w:rPr>
          <w:rFonts w:eastAsia="Calibri"/>
        </w:rPr>
      </w:r>
      <w:r w:rsidR="00E44384">
        <w:rPr>
          <w:rFonts w:eastAsia="Calibri"/>
        </w:rPr>
        <w:fldChar w:fldCharType="separate"/>
      </w:r>
      <w:r w:rsidR="0067767C">
        <w:t xml:space="preserve">Table </w:t>
      </w:r>
      <w:r w:rsidR="0067767C">
        <w:rPr>
          <w:noProof/>
        </w:rPr>
        <w:t>9</w:t>
      </w:r>
      <w:r w:rsidR="0067767C">
        <w:noBreakHyphen/>
      </w:r>
      <w:r w:rsidR="0067767C">
        <w:rPr>
          <w:noProof/>
        </w:rPr>
        <w:t>4</w:t>
      </w:r>
      <w:r w:rsidR="00E44384">
        <w:rPr>
          <w:rFonts w:eastAsia="Calibri"/>
        </w:rPr>
        <w:fldChar w:fldCharType="end"/>
      </w:r>
      <w:r w:rsidR="00A12711">
        <w:rPr>
          <w:rFonts w:eastAsia="Calibri"/>
        </w:rPr>
        <w:t>.</w:t>
      </w:r>
      <w:r>
        <w:rPr>
          <w:rFonts w:eastAsia="Calibri"/>
        </w:rPr>
        <w:t xml:space="preserve"> </w:t>
      </w:r>
    </w:p>
    <w:p w14:paraId="0B6694F8" w14:textId="7FE59DC6" w:rsidR="00E44384" w:rsidRDefault="00E44384">
      <w:pPr>
        <w:suppressAutoHyphens w:val="0"/>
        <w:jc w:val="left"/>
        <w:rPr>
          <w:rFonts w:eastAsia="Calibri"/>
        </w:rPr>
      </w:pPr>
      <w:r>
        <w:rPr>
          <w:rFonts w:eastAsia="Calibri"/>
        </w:rPr>
        <w:br w:type="page"/>
      </w:r>
    </w:p>
    <w:p w14:paraId="72503B5B" w14:textId="55A50E9C" w:rsidR="00FB506B" w:rsidRPr="00E16990" w:rsidRDefault="007D3876" w:rsidP="00D27B46">
      <w:pPr>
        <w:pStyle w:val="berschrift1"/>
        <w:tabs>
          <w:tab w:val="clear" w:pos="567"/>
        </w:tabs>
        <w:ind w:left="567" w:hanging="567"/>
      </w:pPr>
      <w:bookmarkStart w:id="433" w:name="_Hlk82792813"/>
      <w:bookmarkStart w:id="434" w:name="_Toc83997411"/>
      <w:r w:rsidRPr="00E16990">
        <w:lastRenderedPageBreak/>
        <w:t xml:space="preserve">Multi-domain indicator system </w:t>
      </w:r>
      <w:bookmarkEnd w:id="433"/>
      <w:r w:rsidRPr="00E16990">
        <w:t>for soil observation</w:t>
      </w:r>
      <w:bookmarkEnd w:id="434"/>
    </w:p>
    <w:p w14:paraId="673EB0E0" w14:textId="77777777" w:rsidR="00B43E18" w:rsidRPr="00E16990" w:rsidRDefault="00B43E18" w:rsidP="00B43E18"/>
    <w:tbl>
      <w:tblPr>
        <w:tblW w:w="0" w:type="auto"/>
        <w:shd w:val="clear" w:color="auto" w:fill="D9D9D9" w:themeFill="background1" w:themeFillShade="D9"/>
        <w:tblLook w:val="04A0" w:firstRow="1" w:lastRow="0" w:firstColumn="1" w:lastColumn="0" w:noHBand="0" w:noVBand="1"/>
      </w:tblPr>
      <w:tblGrid>
        <w:gridCol w:w="9406"/>
      </w:tblGrid>
      <w:tr w:rsidR="00B43E18" w:rsidRPr="00E16990" w14:paraId="44194D27" w14:textId="77777777" w:rsidTr="00677B0A">
        <w:tc>
          <w:tcPr>
            <w:tcW w:w="9546" w:type="dxa"/>
            <w:shd w:val="clear" w:color="auto" w:fill="D9D9D9" w:themeFill="background1" w:themeFillShade="D9"/>
          </w:tcPr>
          <w:p w14:paraId="6B1466E7" w14:textId="77777777" w:rsidR="00B43E18" w:rsidRPr="00E16990" w:rsidRDefault="00B43E18" w:rsidP="00677B0A">
            <w:pPr>
              <w:pStyle w:val="EEAspacesm"/>
            </w:pPr>
          </w:p>
          <w:p w14:paraId="08BC8A7B" w14:textId="60A43BDB" w:rsidR="00B43E18" w:rsidRPr="00E16990" w:rsidRDefault="007018F2" w:rsidP="002B3517">
            <w:r w:rsidRPr="00E16990">
              <w:t>This report summarize</w:t>
            </w:r>
            <w:r w:rsidR="005470CD" w:rsidRPr="00E16990">
              <w:t>s</w:t>
            </w:r>
            <w:r w:rsidRPr="00E16990">
              <w:t xml:space="preserve"> the knowledge </w:t>
            </w:r>
            <w:r w:rsidR="005470CD" w:rsidRPr="00E16990">
              <w:t>about</w:t>
            </w:r>
            <w:r w:rsidRPr="00E16990">
              <w:t xml:space="preserve"> </w:t>
            </w:r>
            <w:r w:rsidR="00A82B89" w:rsidRPr="00E16990">
              <w:t xml:space="preserve">key indicators in </w:t>
            </w:r>
            <w:r w:rsidR="005470CD" w:rsidRPr="00E16990">
              <w:t xml:space="preserve">the context of </w:t>
            </w:r>
            <w:r w:rsidR="00DA71A3" w:rsidRPr="00E16990">
              <w:t xml:space="preserve">recent </w:t>
            </w:r>
            <w:r w:rsidR="00A82B89" w:rsidRPr="00E16990">
              <w:t>soil-related policies and reporting</w:t>
            </w:r>
            <w:r w:rsidR="00DA71A3" w:rsidRPr="00E16990">
              <w:t xml:space="preserve"> needs</w:t>
            </w:r>
            <w:r w:rsidR="00A82B89" w:rsidRPr="00E16990">
              <w:t xml:space="preserve">. While the current national and EU-wide </w:t>
            </w:r>
            <w:r w:rsidR="00640753" w:rsidRPr="00E16990">
              <w:t>monitoring instruments are capable in providing some of the needed soil parameters</w:t>
            </w:r>
            <w:r w:rsidR="001E7EC2" w:rsidRPr="00E16990">
              <w:t xml:space="preserve"> in a representative manner</w:t>
            </w:r>
            <w:r w:rsidR="00640753" w:rsidRPr="00E16990">
              <w:t xml:space="preserve">, </w:t>
            </w:r>
            <w:r w:rsidR="00DA71A3" w:rsidRPr="00E16990">
              <w:t xml:space="preserve">for example, about soil carbon, </w:t>
            </w:r>
            <w:r w:rsidR="00640753" w:rsidRPr="00E16990">
              <w:t xml:space="preserve">some others are </w:t>
            </w:r>
            <w:r w:rsidR="00BE225A" w:rsidRPr="00E16990">
              <w:t xml:space="preserve">not </w:t>
            </w:r>
            <w:r w:rsidR="00DA71A3" w:rsidRPr="00E16990">
              <w:t xml:space="preserve">systematically </w:t>
            </w:r>
            <w:r w:rsidR="00BE225A" w:rsidRPr="00E16990">
              <w:t>covered</w:t>
            </w:r>
            <w:r w:rsidR="001E7EC2" w:rsidRPr="00E16990">
              <w:t xml:space="preserve"> (compaction, erosion)</w:t>
            </w:r>
            <w:r w:rsidR="00BE225A" w:rsidRPr="00E16990">
              <w:t xml:space="preserve">. </w:t>
            </w:r>
            <w:r w:rsidR="00DA71A3" w:rsidRPr="00E16990">
              <w:t xml:space="preserve">This </w:t>
            </w:r>
            <w:r w:rsidR="009C6D0D" w:rsidRPr="00E16990">
              <w:t>leaves great</w:t>
            </w:r>
            <w:r w:rsidR="00DA71A3" w:rsidRPr="00E16990">
              <w:t xml:space="preserve"> </w:t>
            </w:r>
            <w:r w:rsidR="00636BCE" w:rsidRPr="00E16990">
              <w:t>kno</w:t>
            </w:r>
            <w:r w:rsidR="009C6D0D" w:rsidRPr="00E16990">
              <w:t>w</w:t>
            </w:r>
            <w:r w:rsidR="00636BCE" w:rsidRPr="00E16990">
              <w:t xml:space="preserve">ledge gaps and </w:t>
            </w:r>
            <w:r w:rsidR="00A043A0" w:rsidRPr="00E16990">
              <w:t>blank</w:t>
            </w:r>
            <w:r w:rsidR="00636BCE" w:rsidRPr="00E16990">
              <w:t xml:space="preserve"> </w:t>
            </w:r>
            <w:r w:rsidR="009C6D0D" w:rsidRPr="00E16990">
              <w:t>spaces</w:t>
            </w:r>
            <w:r w:rsidR="00636BCE" w:rsidRPr="00E16990">
              <w:t xml:space="preserve"> </w:t>
            </w:r>
            <w:r w:rsidR="003D6F87" w:rsidRPr="00E16990">
              <w:t>about the state of the environment</w:t>
            </w:r>
            <w:r w:rsidR="00636BCE" w:rsidRPr="00E16990">
              <w:t xml:space="preserve">, </w:t>
            </w:r>
            <w:r w:rsidR="00A07A51" w:rsidRPr="00E16990">
              <w:t>while</w:t>
            </w:r>
            <w:r w:rsidR="00636BCE" w:rsidRPr="00E16990">
              <w:t xml:space="preserve"> interpretations </w:t>
            </w:r>
            <w:r w:rsidR="00A07A51" w:rsidRPr="00E16990">
              <w:t>often</w:t>
            </w:r>
            <w:r w:rsidR="00636BCE" w:rsidRPr="00E16990">
              <w:t xml:space="preserve"> </w:t>
            </w:r>
            <w:r w:rsidR="00A043A0" w:rsidRPr="00E16990">
              <w:t xml:space="preserve">depend on </w:t>
            </w:r>
            <w:r w:rsidR="00636BCE" w:rsidRPr="00E16990">
              <w:t xml:space="preserve">highly uncertain predictions. </w:t>
            </w:r>
            <w:r w:rsidR="00051946" w:rsidRPr="00E16990">
              <w:t>T</w:t>
            </w:r>
            <w:r w:rsidR="00BE225A" w:rsidRPr="00E16990">
              <w:t>he discussion</w:t>
            </w:r>
            <w:r w:rsidR="00051946" w:rsidRPr="00E16990">
              <w:t>s</w:t>
            </w:r>
            <w:r w:rsidR="00BE225A" w:rsidRPr="00E16990">
              <w:t xml:space="preserve"> </w:t>
            </w:r>
            <w:r w:rsidR="005013AD" w:rsidRPr="00E16990">
              <w:t>about data needs under the various Green Deal environmental policies and the 8</w:t>
            </w:r>
            <w:r w:rsidR="005013AD" w:rsidRPr="00E16990">
              <w:rPr>
                <w:vertAlign w:val="superscript"/>
              </w:rPr>
              <w:t>th</w:t>
            </w:r>
            <w:r w:rsidR="005013AD" w:rsidRPr="00E16990">
              <w:t xml:space="preserve"> Environmental Action </w:t>
            </w:r>
            <w:r w:rsidR="000F4658" w:rsidRPr="00E16990">
              <w:t>P</w:t>
            </w:r>
            <w:r w:rsidR="005013AD" w:rsidRPr="00E16990">
              <w:t xml:space="preserve">lan </w:t>
            </w:r>
            <w:r w:rsidR="00957354" w:rsidRPr="00E16990">
              <w:t xml:space="preserve">emphasize once more the </w:t>
            </w:r>
            <w:r w:rsidR="009263C8" w:rsidRPr="00E16990">
              <w:t xml:space="preserve">crucial </w:t>
            </w:r>
            <w:r w:rsidR="00957354" w:rsidRPr="00E16990">
              <w:t xml:space="preserve">role </w:t>
            </w:r>
            <w:r w:rsidR="009263C8" w:rsidRPr="00E16990">
              <w:t xml:space="preserve">that </w:t>
            </w:r>
            <w:r w:rsidR="005013AD" w:rsidRPr="00E16990">
              <w:t>soil</w:t>
            </w:r>
            <w:r w:rsidR="00E543A5" w:rsidRPr="00E16990">
              <w:t>s</w:t>
            </w:r>
            <w:r w:rsidR="005013AD" w:rsidRPr="00E16990">
              <w:t xml:space="preserve"> </w:t>
            </w:r>
            <w:r w:rsidR="009263C8" w:rsidRPr="00E16990">
              <w:t>play in controlling the</w:t>
            </w:r>
            <w:r w:rsidR="0082368D" w:rsidRPr="00E16990">
              <w:t xml:space="preserve"> fate of substances </w:t>
            </w:r>
            <w:r w:rsidR="00686357" w:rsidRPr="00E16990">
              <w:t>released to air, land and water</w:t>
            </w:r>
            <w:r w:rsidR="00100FF1" w:rsidRPr="00E16990">
              <w:t xml:space="preserve">; soils </w:t>
            </w:r>
            <w:r w:rsidR="00243A6C" w:rsidRPr="00E16990">
              <w:t xml:space="preserve">must be properly </w:t>
            </w:r>
            <w:r w:rsidR="00DF285D" w:rsidRPr="00E16990">
              <w:t xml:space="preserve">recognised as </w:t>
            </w:r>
            <w:r w:rsidR="00B61090" w:rsidRPr="00E16990">
              <w:t xml:space="preserve">a </w:t>
            </w:r>
            <w:r w:rsidR="003D6F87" w:rsidRPr="00E16990">
              <w:t>mediator</w:t>
            </w:r>
            <w:r w:rsidR="000F4658" w:rsidRPr="00E16990">
              <w:t>, bioreactor</w:t>
            </w:r>
            <w:r w:rsidR="00B61090" w:rsidRPr="00E16990">
              <w:t xml:space="preserve"> </w:t>
            </w:r>
            <w:r w:rsidR="003D6F87" w:rsidRPr="00E16990">
              <w:t xml:space="preserve">and buffer </w:t>
            </w:r>
            <w:r w:rsidR="00A07A51" w:rsidRPr="00E16990">
              <w:t>for</w:t>
            </w:r>
            <w:r w:rsidR="003D6F87" w:rsidRPr="00E16990">
              <w:t xml:space="preserve"> many pressures </w:t>
            </w:r>
            <w:r w:rsidR="00654FB4" w:rsidRPr="00E16990">
              <w:t>impact</w:t>
            </w:r>
            <w:r w:rsidR="00FC6022" w:rsidRPr="00E16990">
              <w:t>ing</w:t>
            </w:r>
            <w:r w:rsidR="005470CD" w:rsidRPr="00E16990">
              <w:t xml:space="preserve"> human health and ecosystem</w:t>
            </w:r>
            <w:r w:rsidR="00FC6022" w:rsidRPr="00E16990">
              <w:t xml:space="preserve"> functioning</w:t>
            </w:r>
            <w:r w:rsidR="005470CD" w:rsidRPr="00E16990">
              <w:t>.</w:t>
            </w:r>
            <w:r w:rsidR="0017030E" w:rsidRPr="00E16990">
              <w:t xml:space="preserve"> The require</w:t>
            </w:r>
            <w:r w:rsidR="00E5732D" w:rsidRPr="00E16990">
              <w:t>d</w:t>
            </w:r>
            <w:r w:rsidR="0017030E" w:rsidRPr="00E16990">
              <w:t xml:space="preserve"> information comes only from soil monitoring</w:t>
            </w:r>
            <w:r w:rsidR="00C2062D" w:rsidRPr="00E16990">
              <w:t>,</w:t>
            </w:r>
            <w:r w:rsidR="0065184C" w:rsidRPr="00E16990">
              <w:t xml:space="preserve"> </w:t>
            </w:r>
            <w:r w:rsidR="00B9016B" w:rsidRPr="00E16990">
              <w:t>measuring accurately the inputs and outputs</w:t>
            </w:r>
            <w:r w:rsidR="0099173C" w:rsidRPr="00E16990">
              <w:t xml:space="preserve"> as well as </w:t>
            </w:r>
            <w:r w:rsidR="00B9016B" w:rsidRPr="00E16990">
              <w:t xml:space="preserve">the </w:t>
            </w:r>
            <w:r w:rsidR="00063E06" w:rsidRPr="00E16990">
              <w:t xml:space="preserve">biological, chemical and physical </w:t>
            </w:r>
            <w:r w:rsidR="00B9016B" w:rsidRPr="00E16990">
              <w:t xml:space="preserve">transformation </w:t>
            </w:r>
            <w:r w:rsidR="0099173C" w:rsidRPr="00E16990">
              <w:t xml:space="preserve">and transport </w:t>
            </w:r>
            <w:r w:rsidR="00B9016B" w:rsidRPr="00E16990">
              <w:t>processes</w:t>
            </w:r>
            <w:r w:rsidR="000F4658" w:rsidRPr="00E16990">
              <w:t>.</w:t>
            </w:r>
            <w:r w:rsidR="002B3517" w:rsidRPr="00E16990">
              <w:t xml:space="preserve"> </w:t>
            </w:r>
            <w:r w:rsidR="002B3517" w:rsidRPr="00E16990">
              <w:rPr>
                <w:highlight w:val="yellow"/>
              </w:rPr>
              <w:t xml:space="preserve">This data </w:t>
            </w:r>
            <w:r w:rsidR="0082053B" w:rsidRPr="00E16990">
              <w:rPr>
                <w:highlight w:val="yellow"/>
              </w:rPr>
              <w:t>evolve</w:t>
            </w:r>
            <w:r w:rsidR="002B3517" w:rsidRPr="00E16990">
              <w:rPr>
                <w:highlight w:val="yellow"/>
              </w:rPr>
              <w:t>s</w:t>
            </w:r>
            <w:r w:rsidR="0082053B" w:rsidRPr="00E16990">
              <w:rPr>
                <w:highlight w:val="yellow"/>
              </w:rPr>
              <w:t xml:space="preserve"> into</w:t>
            </w:r>
            <w:r w:rsidR="009D79AF" w:rsidRPr="00E16990">
              <w:rPr>
                <w:highlight w:val="yellow"/>
              </w:rPr>
              <w:t xml:space="preserve"> policy-relevant information through indicators</w:t>
            </w:r>
            <w:r w:rsidR="008774F4" w:rsidRPr="00E16990">
              <w:rPr>
                <w:highlight w:val="yellow"/>
              </w:rPr>
              <w:t xml:space="preserve">, </w:t>
            </w:r>
            <w:r w:rsidR="00B4465B" w:rsidRPr="00E16990">
              <w:rPr>
                <w:highlight w:val="yellow"/>
              </w:rPr>
              <w:t>once</w:t>
            </w:r>
            <w:r w:rsidR="008774F4" w:rsidRPr="00E16990">
              <w:rPr>
                <w:highlight w:val="yellow"/>
              </w:rPr>
              <w:t xml:space="preserve"> they </w:t>
            </w:r>
            <w:r w:rsidR="00B4465B" w:rsidRPr="00E16990">
              <w:rPr>
                <w:highlight w:val="yellow"/>
              </w:rPr>
              <w:t>become</w:t>
            </w:r>
            <w:r w:rsidR="009D79AF" w:rsidRPr="00E16990">
              <w:rPr>
                <w:highlight w:val="yellow"/>
              </w:rPr>
              <w:t xml:space="preserve"> </w:t>
            </w:r>
            <w:r w:rsidR="00E5732D" w:rsidRPr="00E16990">
              <w:rPr>
                <w:highlight w:val="yellow"/>
              </w:rPr>
              <w:t xml:space="preserve">coupled with </w:t>
            </w:r>
            <w:r w:rsidR="008774F4" w:rsidRPr="00E16990">
              <w:rPr>
                <w:highlight w:val="yellow"/>
              </w:rPr>
              <w:t>critical limits about</w:t>
            </w:r>
            <w:r w:rsidR="0026067D" w:rsidRPr="00E16990">
              <w:rPr>
                <w:highlight w:val="yellow"/>
              </w:rPr>
              <w:t xml:space="preserve"> the potential and expected </w:t>
            </w:r>
            <w:r w:rsidR="008774F4" w:rsidRPr="00E16990">
              <w:rPr>
                <w:highlight w:val="yellow"/>
              </w:rPr>
              <w:t xml:space="preserve">harm </w:t>
            </w:r>
            <w:r w:rsidR="00CB4E96" w:rsidRPr="00E16990">
              <w:rPr>
                <w:highlight w:val="yellow"/>
              </w:rPr>
              <w:t xml:space="preserve">to </w:t>
            </w:r>
            <w:r w:rsidR="00B4465B" w:rsidRPr="00E16990">
              <w:rPr>
                <w:highlight w:val="yellow"/>
              </w:rPr>
              <w:t>the living environment.</w:t>
            </w:r>
          </w:p>
        </w:tc>
      </w:tr>
    </w:tbl>
    <w:p w14:paraId="19B19B0D" w14:textId="77777777" w:rsidR="00B43E18" w:rsidRPr="00E16990" w:rsidRDefault="00B43E18" w:rsidP="00B43E18"/>
    <w:p w14:paraId="4D95F8F2" w14:textId="77777777" w:rsidR="00B43E18" w:rsidRPr="00E16990" w:rsidRDefault="00B43E18" w:rsidP="00B32C8F">
      <w:pPr>
        <w:pStyle w:val="berschrift2"/>
        <w:tabs>
          <w:tab w:val="clear" w:pos="567"/>
        </w:tabs>
        <w:ind w:left="709" w:hanging="709"/>
      </w:pPr>
      <w:bookmarkStart w:id="435" w:name="_Toc83997412"/>
      <w:r w:rsidRPr="00E16990">
        <w:t>Indicators and soil monitoring</w:t>
      </w:r>
      <w:bookmarkEnd w:id="435"/>
    </w:p>
    <w:p w14:paraId="7EBF4B7B" w14:textId="77777777" w:rsidR="002A5C04" w:rsidRPr="00E16990" w:rsidRDefault="002A5C04" w:rsidP="00677B0A">
      <w:pPr>
        <w:rPr>
          <w:lang w:eastAsia="en-US"/>
        </w:rPr>
      </w:pPr>
    </w:p>
    <w:p w14:paraId="70666773" w14:textId="40C40760" w:rsidR="00B43E18" w:rsidRPr="00E16990" w:rsidRDefault="00B43E18" w:rsidP="00677B0A">
      <w:pPr>
        <w:rPr>
          <w:lang w:eastAsia="en-US"/>
        </w:rPr>
      </w:pPr>
      <w:r w:rsidRPr="00E16990">
        <w:rPr>
          <w:lang w:eastAsia="en-US"/>
        </w:rPr>
        <w:t xml:space="preserve">In the run up and follow up to the EU’s Soil Thematic Strategy, existing soil monitoring </w:t>
      </w:r>
      <w:r w:rsidR="005C0073" w:rsidRPr="00E16990">
        <w:rPr>
          <w:lang w:eastAsia="en-US"/>
        </w:rPr>
        <w:t>systems</w:t>
      </w:r>
      <w:r w:rsidRPr="00E16990">
        <w:rPr>
          <w:lang w:eastAsia="en-US"/>
        </w:rPr>
        <w:t xml:space="preserve"> were reviewed, and the challenges towards a common European monitoring system compiled (Van Camp et al. 2004; Huber et al. 2008). Van Camp et al. (2004) emphasized the need to develop a common </w:t>
      </w:r>
      <w:r w:rsidR="005C0073" w:rsidRPr="00E16990">
        <w:rPr>
          <w:lang w:eastAsia="en-US"/>
        </w:rPr>
        <w:t>baseline</w:t>
      </w:r>
      <w:r w:rsidRPr="00E16990">
        <w:rPr>
          <w:lang w:eastAsia="en-US"/>
        </w:rPr>
        <w:t xml:space="preserve">, to decide on a minimum parameter set, quality control, reporting and EU coordination. </w:t>
      </w:r>
      <w:r w:rsidR="002A5C04" w:rsidRPr="00E16990">
        <w:rPr>
          <w:lang w:eastAsia="en-US"/>
        </w:rPr>
        <w:t>T</w:t>
      </w:r>
      <w:r w:rsidRPr="00E16990">
        <w:rPr>
          <w:lang w:eastAsia="en-US"/>
        </w:rPr>
        <w:t>he suggested measuring parameters followed a tiered approach, covering all soil threats</w:t>
      </w:r>
      <w:r w:rsidR="002A5C04" w:rsidRPr="00E16990">
        <w:rPr>
          <w:lang w:eastAsia="en-US"/>
        </w:rPr>
        <w:t xml:space="preserve"> (see </w:t>
      </w:r>
      <w:r w:rsidR="002A5C04" w:rsidRPr="00E16990">
        <w:rPr>
          <w:lang w:eastAsia="en-US"/>
        </w:rPr>
        <w:fldChar w:fldCharType="begin"/>
      </w:r>
      <w:r w:rsidR="002A5C04" w:rsidRPr="00E16990">
        <w:rPr>
          <w:lang w:eastAsia="en-US"/>
        </w:rPr>
        <w:instrText xml:space="preserve"> REF _Ref83994778 \h  \* MERGEFORMAT </w:instrText>
      </w:r>
      <w:r w:rsidR="002A5C04" w:rsidRPr="00E16990">
        <w:rPr>
          <w:lang w:eastAsia="en-US"/>
        </w:rPr>
      </w:r>
      <w:r w:rsidR="002A5C04" w:rsidRPr="00E16990">
        <w:rPr>
          <w:lang w:eastAsia="en-US"/>
        </w:rPr>
        <w:fldChar w:fldCharType="separate"/>
      </w:r>
      <w:r w:rsidR="0067767C" w:rsidRPr="00E16990">
        <w:t xml:space="preserve">Table </w:t>
      </w:r>
      <w:r w:rsidR="0067767C">
        <w:rPr>
          <w:noProof/>
        </w:rPr>
        <w:t>10</w:t>
      </w:r>
      <w:r w:rsidR="0067767C" w:rsidRPr="00E16990">
        <w:rPr>
          <w:noProof/>
        </w:rPr>
        <w:noBreakHyphen/>
      </w:r>
      <w:r w:rsidR="0067767C">
        <w:rPr>
          <w:noProof/>
        </w:rPr>
        <w:t>1</w:t>
      </w:r>
      <w:r w:rsidR="002A5C04" w:rsidRPr="00E16990">
        <w:rPr>
          <w:lang w:eastAsia="en-US"/>
        </w:rPr>
        <w:fldChar w:fldCharType="end"/>
      </w:r>
      <w:r w:rsidR="002A5C04" w:rsidRPr="00E16990">
        <w:rPr>
          <w:lang w:eastAsia="en-US"/>
        </w:rPr>
        <w:t>)</w:t>
      </w:r>
      <w:r w:rsidRPr="00E16990">
        <w:rPr>
          <w:lang w:eastAsia="en-US"/>
        </w:rPr>
        <w:t>.</w:t>
      </w:r>
    </w:p>
    <w:p w14:paraId="0E455B74" w14:textId="77777777" w:rsidR="002A5C04" w:rsidRPr="00E16990" w:rsidRDefault="002A5C04" w:rsidP="00677B0A">
      <w:pPr>
        <w:rPr>
          <w:lang w:eastAsia="en-US"/>
        </w:rPr>
      </w:pPr>
    </w:p>
    <w:p w14:paraId="20B312F0" w14:textId="43A83BA9" w:rsidR="00B43E18" w:rsidRPr="00E16990" w:rsidRDefault="00B43E18" w:rsidP="00677B0A">
      <w:pPr>
        <w:rPr>
          <w:lang w:eastAsia="en-US"/>
        </w:rPr>
      </w:pPr>
      <w:r w:rsidRPr="00E16990">
        <w:rPr>
          <w:lang w:eastAsia="en-US"/>
        </w:rPr>
        <w:t xml:space="preserve">Van Camp et al. (2004) distinguish </w:t>
      </w:r>
      <w:r w:rsidR="002A5C04" w:rsidRPr="00E16990">
        <w:rPr>
          <w:lang w:eastAsia="en-US"/>
        </w:rPr>
        <w:t xml:space="preserve">between </w:t>
      </w:r>
      <w:r w:rsidR="00E16990" w:rsidRPr="00E16990">
        <w:rPr>
          <w:b/>
          <w:bCs/>
          <w:lang w:eastAsia="en-US"/>
        </w:rPr>
        <w:t>basic</w:t>
      </w:r>
      <w:r w:rsidRPr="00E16990">
        <w:rPr>
          <w:b/>
          <w:bCs/>
          <w:lang w:eastAsia="en-US"/>
        </w:rPr>
        <w:t xml:space="preserve"> and specific soil parameters</w:t>
      </w:r>
      <w:r w:rsidRPr="00E16990">
        <w:rPr>
          <w:lang w:eastAsia="en-US"/>
        </w:rPr>
        <w:t xml:space="preserve">: </w:t>
      </w:r>
      <w:r w:rsidR="00E16990" w:rsidRPr="00E16990">
        <w:rPr>
          <w:lang w:eastAsia="en-US"/>
        </w:rPr>
        <w:t>basic</w:t>
      </w:r>
      <w:r w:rsidRPr="00E16990">
        <w:rPr>
          <w:lang w:eastAsia="en-US"/>
        </w:rPr>
        <w:t xml:space="preserve"> parameters </w:t>
      </w:r>
      <w:r w:rsidR="002A5C04" w:rsidRPr="00E16990">
        <w:rPr>
          <w:lang w:eastAsia="en-US"/>
        </w:rPr>
        <w:t xml:space="preserve">are prerequisites for the </w:t>
      </w:r>
      <w:r w:rsidRPr="00E16990">
        <w:rPr>
          <w:lang w:eastAsia="en-US"/>
        </w:rPr>
        <w:t xml:space="preserve">soil typological classification (mainly morphological and physical soil parameters), whereas specific soil parameters address specific threats, hot spots, functions (obligatory and facultative parameters). Three </w:t>
      </w:r>
      <w:r w:rsidR="005C0073" w:rsidRPr="00E16990">
        <w:rPr>
          <w:lang w:eastAsia="en-US"/>
        </w:rPr>
        <w:t>sampling</w:t>
      </w:r>
      <w:r w:rsidRPr="00E16990">
        <w:rPr>
          <w:lang w:eastAsia="en-US"/>
        </w:rPr>
        <w:t xml:space="preserve"> </w:t>
      </w:r>
      <w:r w:rsidR="005C0073" w:rsidRPr="00E16990">
        <w:rPr>
          <w:lang w:eastAsia="en-US"/>
        </w:rPr>
        <w:t>intensities</w:t>
      </w:r>
      <w:r w:rsidRPr="00E16990">
        <w:rPr>
          <w:lang w:eastAsia="en-US"/>
        </w:rPr>
        <w:t xml:space="preserve"> are distinguished:</w:t>
      </w:r>
    </w:p>
    <w:p w14:paraId="10EA3A49" w14:textId="77777777" w:rsidR="00B43E18" w:rsidRPr="00E16990" w:rsidRDefault="00B43E18" w:rsidP="00677B0A">
      <w:pPr>
        <w:pStyle w:val="EEAbullet0"/>
        <w:rPr>
          <w:lang w:eastAsia="en-US"/>
        </w:rPr>
      </w:pPr>
      <w:r w:rsidRPr="00E16990">
        <w:rPr>
          <w:b/>
          <w:bCs/>
          <w:lang w:eastAsia="en-US"/>
        </w:rPr>
        <w:t>Level I</w:t>
      </w:r>
      <w:r w:rsidRPr="00E16990">
        <w:rPr>
          <w:lang w:eastAsia="en-US"/>
        </w:rPr>
        <w:t>: sites whether all general parameters are measured</w:t>
      </w:r>
    </w:p>
    <w:p w14:paraId="04CAC5BC" w14:textId="3FDF6066" w:rsidR="00B43E18" w:rsidRPr="00E16990" w:rsidRDefault="00B43E18" w:rsidP="00677B0A">
      <w:pPr>
        <w:pStyle w:val="EEAbullet0"/>
        <w:rPr>
          <w:lang w:eastAsia="en-US"/>
        </w:rPr>
      </w:pPr>
      <w:r w:rsidRPr="00E16990">
        <w:rPr>
          <w:b/>
          <w:bCs/>
          <w:lang w:eastAsia="en-US"/>
        </w:rPr>
        <w:t>Level II</w:t>
      </w:r>
      <w:r w:rsidRPr="00E16990">
        <w:rPr>
          <w:lang w:eastAsia="en-US"/>
        </w:rPr>
        <w:t>: investigations and monitoring of specific parameters and soil threats, e.g. erosion mechanisms or biodiversity</w:t>
      </w:r>
      <w:r w:rsidR="002A5C04" w:rsidRPr="00E16990">
        <w:rPr>
          <w:lang w:eastAsia="en-US"/>
        </w:rPr>
        <w:t xml:space="preserve">, </w:t>
      </w:r>
      <w:r w:rsidRPr="00E16990">
        <w:rPr>
          <w:lang w:eastAsia="en-US"/>
        </w:rPr>
        <w:t xml:space="preserve">likely linked with research </w:t>
      </w:r>
    </w:p>
    <w:p w14:paraId="72106E26" w14:textId="77777777" w:rsidR="00B43E18" w:rsidRPr="00E16990" w:rsidRDefault="00B43E18" w:rsidP="00677B0A">
      <w:pPr>
        <w:pStyle w:val="EEAbullet0"/>
        <w:rPr>
          <w:lang w:eastAsia="en-US"/>
        </w:rPr>
      </w:pPr>
      <w:r w:rsidRPr="00E16990">
        <w:rPr>
          <w:b/>
          <w:bCs/>
          <w:lang w:eastAsia="en-US"/>
        </w:rPr>
        <w:t>Level III</w:t>
      </w:r>
      <w:r w:rsidRPr="00E16990">
        <w:rPr>
          <w:lang w:eastAsia="en-US"/>
        </w:rPr>
        <w:t>: related to very specific problems, e.g. radio-nuclides, military sites, decontamination of specific industrial residues, ‘hot-spots’ of anthropogenic or natural processes</w:t>
      </w:r>
    </w:p>
    <w:p w14:paraId="7B5E9220" w14:textId="77777777" w:rsidR="00B43E18" w:rsidRPr="00E16990" w:rsidRDefault="00B43E18" w:rsidP="00A416C4">
      <w:pPr>
        <w:spacing w:before="120"/>
        <w:rPr>
          <w:rFonts w:asciiTheme="majorHAnsi" w:hAnsiTheme="majorHAnsi" w:cstheme="majorHAnsi"/>
          <w:color w:val="000000"/>
          <w:szCs w:val="22"/>
          <w:lang w:eastAsia="en-US"/>
        </w:rPr>
      </w:pPr>
    </w:p>
    <w:p w14:paraId="233A97CA" w14:textId="4A3A5C2F" w:rsidR="002A5C04" w:rsidRPr="00E16990" w:rsidRDefault="00B43E18" w:rsidP="002A5C04">
      <w:pPr>
        <w:pStyle w:val="EEALabel"/>
        <w:rPr>
          <w:lang w:eastAsia="en-US"/>
        </w:rPr>
      </w:pPr>
      <w:bookmarkStart w:id="436" w:name="_Ref83994778"/>
      <w:bookmarkStart w:id="437" w:name="_Toc83997541"/>
      <w:r w:rsidRPr="00E16990">
        <w:t xml:space="preserve">Table </w:t>
      </w:r>
      <w:r w:rsidRPr="00E16990">
        <w:fldChar w:fldCharType="begin"/>
      </w:r>
      <w:r w:rsidRPr="00E16990">
        <w:instrText xml:space="preserve"> STYLEREF 1 \s </w:instrText>
      </w:r>
      <w:r w:rsidRPr="00E16990">
        <w:fldChar w:fldCharType="separate"/>
      </w:r>
      <w:r w:rsidR="0067767C">
        <w:rPr>
          <w:noProof/>
        </w:rPr>
        <w:t>10</w:t>
      </w:r>
      <w:r w:rsidRPr="00E16990">
        <w:fldChar w:fldCharType="end"/>
      </w:r>
      <w:r w:rsidRPr="00E16990">
        <w:noBreakHyphen/>
      </w:r>
      <w:r w:rsidRPr="00E16990">
        <w:fldChar w:fldCharType="begin"/>
      </w:r>
      <w:r w:rsidRPr="00E16990">
        <w:instrText xml:space="preserve"> SEQ Table \* ARABIC \s 1 </w:instrText>
      </w:r>
      <w:r w:rsidRPr="00E16990">
        <w:fldChar w:fldCharType="separate"/>
      </w:r>
      <w:r w:rsidR="0067767C">
        <w:rPr>
          <w:noProof/>
        </w:rPr>
        <w:t>1</w:t>
      </w:r>
      <w:r w:rsidRPr="00E16990">
        <w:fldChar w:fldCharType="end"/>
      </w:r>
      <w:bookmarkEnd w:id="436"/>
      <w:r w:rsidRPr="00E16990">
        <w:t>:</w:t>
      </w:r>
      <w:r w:rsidRPr="00E16990">
        <w:tab/>
      </w:r>
      <w:r w:rsidRPr="00E16990">
        <w:rPr>
          <w:lang w:eastAsia="en-US"/>
        </w:rPr>
        <w:t>Parameters for soil monitoring at different measurement levels SOC, erosion, contamination (for other soil threats, salinization, floods, landslides, soil sealing</w:t>
      </w:r>
      <w:r w:rsidR="002A5C04" w:rsidRPr="00E16990">
        <w:rPr>
          <w:lang w:eastAsia="en-US"/>
        </w:rPr>
        <w:t>.</w:t>
      </w:r>
      <w:bookmarkEnd w:id="437"/>
    </w:p>
    <w:p w14:paraId="3C40DC18" w14:textId="77777777" w:rsidR="001C6C1E" w:rsidRDefault="001C6C1E"/>
    <w:tbl>
      <w:tblPr>
        <w:tblStyle w:val="Tabellenraster"/>
        <w:tblW w:w="9830" w:type="dxa"/>
        <w:tblBorders>
          <w:left w:val="none" w:sz="0" w:space="0" w:color="auto"/>
          <w:right w:val="none" w:sz="0" w:space="0" w:color="auto"/>
          <w:insideV w:val="none" w:sz="0" w:space="0" w:color="auto"/>
        </w:tblBorders>
        <w:tblLook w:val="04A0" w:firstRow="1" w:lastRow="0" w:firstColumn="1" w:lastColumn="0" w:noHBand="0" w:noVBand="1"/>
      </w:tblPr>
      <w:tblGrid>
        <w:gridCol w:w="1557"/>
        <w:gridCol w:w="2124"/>
        <w:gridCol w:w="2268"/>
        <w:gridCol w:w="1993"/>
        <w:gridCol w:w="1888"/>
      </w:tblGrid>
      <w:tr w:rsidR="00B43E18" w:rsidRPr="00E16990" w14:paraId="0A540FBD" w14:textId="77777777" w:rsidTr="001C6C1E">
        <w:tc>
          <w:tcPr>
            <w:tcW w:w="1557" w:type="dxa"/>
            <w:tcMar>
              <w:left w:w="28" w:type="dxa"/>
              <w:right w:w="28" w:type="dxa"/>
            </w:tcMar>
          </w:tcPr>
          <w:p w14:paraId="30600851" w14:textId="77777777" w:rsidR="00B43E18" w:rsidRPr="00E16990" w:rsidRDefault="00B43E18" w:rsidP="00677B0A">
            <w:pPr>
              <w:jc w:val="right"/>
              <w:rPr>
                <w:rFonts w:asciiTheme="majorHAnsi" w:hAnsiTheme="majorHAnsi" w:cstheme="majorHAnsi"/>
                <w:i/>
                <w:iCs/>
                <w:color w:val="000000"/>
                <w:sz w:val="18"/>
                <w:szCs w:val="18"/>
                <w:lang w:eastAsia="en-US"/>
              </w:rPr>
            </w:pPr>
            <w:r w:rsidRPr="00E16990">
              <w:rPr>
                <w:rFonts w:asciiTheme="majorHAnsi" w:hAnsiTheme="majorHAnsi" w:cstheme="majorHAnsi"/>
                <w:i/>
                <w:iCs/>
                <w:color w:val="000000"/>
                <w:sz w:val="18"/>
                <w:szCs w:val="18"/>
                <w:lang w:eastAsia="en-US"/>
              </w:rPr>
              <w:t>Monitoring</w:t>
            </w:r>
            <w:r w:rsidRPr="00E16990">
              <w:rPr>
                <w:rFonts w:asciiTheme="majorHAnsi" w:hAnsiTheme="majorHAnsi" w:cstheme="majorHAnsi"/>
                <w:i/>
                <w:iCs/>
                <w:color w:val="000000"/>
                <w:sz w:val="18"/>
                <w:szCs w:val="18"/>
                <w:lang w:eastAsia="en-US"/>
              </w:rPr>
              <w:br/>
              <w:t>levels</w:t>
            </w:r>
          </w:p>
        </w:tc>
        <w:tc>
          <w:tcPr>
            <w:tcW w:w="2124" w:type="dxa"/>
            <w:vMerge w:val="restart"/>
            <w:shd w:val="pct5" w:color="auto" w:fill="auto"/>
            <w:tcMar>
              <w:left w:w="28" w:type="dxa"/>
              <w:right w:w="28" w:type="dxa"/>
            </w:tcMar>
            <w:vAlign w:val="center"/>
          </w:tcPr>
          <w:p w14:paraId="6F2BE244" w14:textId="77777777" w:rsidR="00B43E18" w:rsidRPr="00E16990" w:rsidRDefault="00B43E18" w:rsidP="002A5C04">
            <w:pPr>
              <w:pStyle w:val="EEATabcenterbold"/>
            </w:pPr>
            <w:r w:rsidRPr="00E16990">
              <w:t>Level I</w:t>
            </w:r>
          </w:p>
        </w:tc>
        <w:tc>
          <w:tcPr>
            <w:tcW w:w="2268" w:type="dxa"/>
            <w:vMerge w:val="restart"/>
            <w:shd w:val="pct5" w:color="auto" w:fill="auto"/>
            <w:tcMar>
              <w:left w:w="28" w:type="dxa"/>
              <w:right w:w="28" w:type="dxa"/>
            </w:tcMar>
            <w:vAlign w:val="center"/>
          </w:tcPr>
          <w:p w14:paraId="0194388D" w14:textId="77777777" w:rsidR="00B43E18" w:rsidRPr="00E16990" w:rsidRDefault="00B43E18" w:rsidP="002A5C04">
            <w:pPr>
              <w:pStyle w:val="EEATabcenterbold"/>
            </w:pPr>
            <w:r w:rsidRPr="00E16990">
              <w:t>Level II</w:t>
            </w:r>
          </w:p>
        </w:tc>
        <w:tc>
          <w:tcPr>
            <w:tcW w:w="1993" w:type="dxa"/>
            <w:vMerge w:val="restart"/>
            <w:shd w:val="pct5" w:color="auto" w:fill="auto"/>
            <w:tcMar>
              <w:left w:w="28" w:type="dxa"/>
              <w:right w:w="28" w:type="dxa"/>
            </w:tcMar>
            <w:vAlign w:val="center"/>
          </w:tcPr>
          <w:p w14:paraId="2E4A37CA" w14:textId="77777777" w:rsidR="00B43E18" w:rsidRPr="00E16990" w:rsidRDefault="00B43E18" w:rsidP="002A5C04">
            <w:pPr>
              <w:pStyle w:val="EEATabcenterbold"/>
            </w:pPr>
            <w:r w:rsidRPr="00E16990">
              <w:t>Level III</w:t>
            </w:r>
          </w:p>
        </w:tc>
        <w:tc>
          <w:tcPr>
            <w:tcW w:w="1888" w:type="dxa"/>
            <w:vMerge w:val="restart"/>
            <w:shd w:val="pct5" w:color="auto" w:fill="auto"/>
            <w:tcMar>
              <w:left w:w="28" w:type="dxa"/>
              <w:right w:w="28" w:type="dxa"/>
            </w:tcMar>
            <w:vAlign w:val="center"/>
          </w:tcPr>
          <w:p w14:paraId="704B0D8F" w14:textId="77777777" w:rsidR="00B43E18" w:rsidRPr="00E16990" w:rsidRDefault="00B43E18" w:rsidP="002A5C04">
            <w:pPr>
              <w:pStyle w:val="EEATabcenterbold"/>
            </w:pPr>
            <w:r w:rsidRPr="00E16990">
              <w:t>Indicators (Huber et al. 2008)</w:t>
            </w:r>
          </w:p>
        </w:tc>
      </w:tr>
      <w:tr w:rsidR="00B43E18" w:rsidRPr="00E16990" w14:paraId="1528C90A" w14:textId="77777777" w:rsidTr="001C6C1E">
        <w:tc>
          <w:tcPr>
            <w:tcW w:w="1557" w:type="dxa"/>
            <w:tcMar>
              <w:left w:w="28" w:type="dxa"/>
              <w:right w:w="28" w:type="dxa"/>
            </w:tcMar>
          </w:tcPr>
          <w:p w14:paraId="55EC8D5E" w14:textId="77777777" w:rsidR="00B43E18" w:rsidRPr="00E16990" w:rsidRDefault="00B43E18" w:rsidP="00677B0A">
            <w:pPr>
              <w:jc w:val="left"/>
              <w:rPr>
                <w:rFonts w:asciiTheme="majorHAnsi" w:hAnsiTheme="majorHAnsi" w:cstheme="majorHAnsi"/>
                <w:i/>
                <w:iCs/>
                <w:color w:val="000000"/>
                <w:sz w:val="18"/>
                <w:szCs w:val="18"/>
                <w:lang w:eastAsia="en-US"/>
              </w:rPr>
            </w:pPr>
            <w:r w:rsidRPr="00E16990">
              <w:rPr>
                <w:rFonts w:asciiTheme="majorHAnsi" w:hAnsiTheme="majorHAnsi" w:cstheme="majorHAnsi"/>
                <w:i/>
                <w:iCs/>
                <w:color w:val="000000"/>
                <w:sz w:val="18"/>
                <w:szCs w:val="18"/>
                <w:lang w:eastAsia="en-US"/>
              </w:rPr>
              <w:t>Soil threat</w:t>
            </w:r>
          </w:p>
        </w:tc>
        <w:tc>
          <w:tcPr>
            <w:tcW w:w="2124" w:type="dxa"/>
            <w:vMerge/>
            <w:shd w:val="pct5" w:color="auto" w:fill="auto"/>
            <w:tcMar>
              <w:left w:w="28" w:type="dxa"/>
              <w:right w:w="28" w:type="dxa"/>
            </w:tcMar>
          </w:tcPr>
          <w:p w14:paraId="6EF82277" w14:textId="77777777" w:rsidR="00B43E18" w:rsidRPr="00E16990" w:rsidRDefault="00B43E18" w:rsidP="00677B0A">
            <w:pPr>
              <w:ind w:left="175" w:hanging="175"/>
              <w:jc w:val="left"/>
              <w:rPr>
                <w:rFonts w:asciiTheme="majorHAnsi" w:hAnsiTheme="majorHAnsi" w:cstheme="majorHAnsi"/>
                <w:color w:val="000000"/>
                <w:sz w:val="18"/>
                <w:szCs w:val="18"/>
                <w:lang w:eastAsia="en-US"/>
              </w:rPr>
            </w:pPr>
          </w:p>
        </w:tc>
        <w:tc>
          <w:tcPr>
            <w:tcW w:w="2268" w:type="dxa"/>
            <w:vMerge/>
            <w:shd w:val="pct5" w:color="auto" w:fill="auto"/>
            <w:tcMar>
              <w:left w:w="28" w:type="dxa"/>
              <w:right w:w="28" w:type="dxa"/>
            </w:tcMar>
          </w:tcPr>
          <w:p w14:paraId="404F2ED5" w14:textId="77777777" w:rsidR="00B43E18" w:rsidRPr="00E16990" w:rsidRDefault="00B43E18" w:rsidP="00677B0A">
            <w:pPr>
              <w:ind w:left="248" w:hanging="248"/>
              <w:jc w:val="left"/>
              <w:rPr>
                <w:rFonts w:asciiTheme="majorHAnsi" w:hAnsiTheme="majorHAnsi" w:cstheme="majorHAnsi"/>
                <w:color w:val="000000"/>
                <w:sz w:val="18"/>
                <w:szCs w:val="18"/>
                <w:lang w:eastAsia="en-US"/>
              </w:rPr>
            </w:pPr>
          </w:p>
        </w:tc>
        <w:tc>
          <w:tcPr>
            <w:tcW w:w="1993" w:type="dxa"/>
            <w:vMerge/>
            <w:shd w:val="pct5" w:color="auto" w:fill="auto"/>
            <w:tcMar>
              <w:left w:w="28" w:type="dxa"/>
              <w:right w:w="28" w:type="dxa"/>
            </w:tcMar>
          </w:tcPr>
          <w:p w14:paraId="38C4881B" w14:textId="77777777" w:rsidR="00B43E18" w:rsidRPr="00E16990" w:rsidRDefault="00B43E18" w:rsidP="00677B0A">
            <w:pPr>
              <w:ind w:left="214" w:hanging="214"/>
              <w:jc w:val="left"/>
              <w:rPr>
                <w:rFonts w:asciiTheme="majorHAnsi" w:hAnsiTheme="majorHAnsi" w:cstheme="majorHAnsi"/>
                <w:color w:val="000000"/>
                <w:sz w:val="18"/>
                <w:szCs w:val="18"/>
                <w:lang w:eastAsia="en-US"/>
              </w:rPr>
            </w:pPr>
          </w:p>
        </w:tc>
        <w:tc>
          <w:tcPr>
            <w:tcW w:w="1888" w:type="dxa"/>
            <w:vMerge/>
            <w:shd w:val="pct5" w:color="auto" w:fill="auto"/>
            <w:tcMar>
              <w:left w:w="28" w:type="dxa"/>
              <w:right w:w="28" w:type="dxa"/>
            </w:tcMar>
          </w:tcPr>
          <w:p w14:paraId="66A64EC5" w14:textId="77777777" w:rsidR="00B43E18" w:rsidRPr="00E16990" w:rsidRDefault="00B43E18" w:rsidP="00677B0A">
            <w:pPr>
              <w:ind w:left="214" w:hanging="214"/>
              <w:jc w:val="left"/>
              <w:rPr>
                <w:rFonts w:asciiTheme="majorHAnsi" w:hAnsiTheme="majorHAnsi" w:cstheme="majorHAnsi"/>
                <w:color w:val="000000"/>
                <w:sz w:val="18"/>
                <w:szCs w:val="18"/>
                <w:lang w:eastAsia="en-US"/>
              </w:rPr>
            </w:pPr>
          </w:p>
        </w:tc>
      </w:tr>
      <w:tr w:rsidR="00B43E18" w:rsidRPr="00E16990" w14:paraId="6CEEA370" w14:textId="77777777" w:rsidTr="001C6C1E">
        <w:tc>
          <w:tcPr>
            <w:tcW w:w="1557" w:type="dxa"/>
            <w:shd w:val="pct5" w:color="auto" w:fill="auto"/>
            <w:tcMar>
              <w:left w:w="28" w:type="dxa"/>
              <w:right w:w="28" w:type="dxa"/>
            </w:tcMar>
            <w:vAlign w:val="center"/>
          </w:tcPr>
          <w:p w14:paraId="58B54692" w14:textId="77777777" w:rsidR="00B43E18" w:rsidRPr="00E16990" w:rsidRDefault="00B43E18" w:rsidP="002A5C04">
            <w:pPr>
              <w:pStyle w:val="EEAtableleft"/>
              <w:rPr>
                <w:b/>
                <w:bCs/>
                <w:lang w:eastAsia="en-US"/>
              </w:rPr>
            </w:pPr>
            <w:r w:rsidRPr="00E16990">
              <w:rPr>
                <w:b/>
                <w:bCs/>
                <w:lang w:eastAsia="en-US"/>
              </w:rPr>
              <w:t>Soil organic matter and biodiversity</w:t>
            </w:r>
          </w:p>
        </w:tc>
        <w:tc>
          <w:tcPr>
            <w:tcW w:w="2124" w:type="dxa"/>
            <w:tcMar>
              <w:left w:w="28" w:type="dxa"/>
              <w:right w:w="28" w:type="dxa"/>
            </w:tcMar>
          </w:tcPr>
          <w:p w14:paraId="3D6122E2" w14:textId="77777777" w:rsidR="00B43E18" w:rsidRPr="00E16990" w:rsidRDefault="00B43E18" w:rsidP="002A5C04">
            <w:pPr>
              <w:pStyle w:val="EEAtabbull"/>
              <w:rPr>
                <w:lang w:eastAsia="en-US"/>
              </w:rPr>
            </w:pPr>
            <w:r w:rsidRPr="00E16990">
              <w:rPr>
                <w:lang w:eastAsia="en-US"/>
              </w:rPr>
              <w:t>Total organic carbon</w:t>
            </w:r>
          </w:p>
          <w:p w14:paraId="52841BC1" w14:textId="77777777" w:rsidR="00B43E18" w:rsidRPr="00E16990" w:rsidRDefault="00B43E18" w:rsidP="002A5C04">
            <w:pPr>
              <w:pStyle w:val="EEAtabbull"/>
              <w:rPr>
                <w:lang w:eastAsia="en-US"/>
              </w:rPr>
            </w:pPr>
            <w:r w:rsidRPr="00E16990">
              <w:rPr>
                <w:lang w:eastAsia="en-US"/>
              </w:rPr>
              <w:t>Total (organic) nitrogen</w:t>
            </w:r>
          </w:p>
          <w:p w14:paraId="3129AB48" w14:textId="77777777" w:rsidR="00B43E18" w:rsidRPr="00E16990" w:rsidRDefault="00B43E18" w:rsidP="002A5C04">
            <w:pPr>
              <w:pStyle w:val="EEAtabbull"/>
              <w:rPr>
                <w:lang w:eastAsia="en-US"/>
              </w:rPr>
            </w:pPr>
            <w:r w:rsidRPr="00E16990">
              <w:rPr>
                <w:lang w:eastAsia="en-US"/>
              </w:rPr>
              <w:t>C:N ratio</w:t>
            </w:r>
          </w:p>
          <w:p w14:paraId="269CBFC6" w14:textId="77777777" w:rsidR="00B43E18" w:rsidRPr="00E16990" w:rsidRDefault="00B43E18" w:rsidP="002A5C04">
            <w:pPr>
              <w:pStyle w:val="EEAtabbull"/>
              <w:rPr>
                <w:lang w:eastAsia="en-US"/>
              </w:rPr>
            </w:pPr>
            <w:r w:rsidRPr="00E16990">
              <w:rPr>
                <w:lang w:eastAsia="en-US"/>
              </w:rPr>
              <w:t>Bulk density</w:t>
            </w:r>
          </w:p>
        </w:tc>
        <w:tc>
          <w:tcPr>
            <w:tcW w:w="2268" w:type="dxa"/>
            <w:tcMar>
              <w:left w:w="28" w:type="dxa"/>
              <w:right w:w="28" w:type="dxa"/>
            </w:tcMar>
          </w:tcPr>
          <w:p w14:paraId="6675E7DE" w14:textId="77777777" w:rsidR="00B43E18" w:rsidRPr="00E16990" w:rsidRDefault="00B43E18" w:rsidP="002A5C04">
            <w:pPr>
              <w:pStyle w:val="EEAtabbull"/>
              <w:rPr>
                <w:lang w:eastAsia="en-US"/>
              </w:rPr>
            </w:pPr>
            <w:r w:rsidRPr="00E16990">
              <w:rPr>
                <w:lang w:eastAsia="en-US"/>
              </w:rPr>
              <w:t>SOM compartments and pools</w:t>
            </w:r>
          </w:p>
          <w:p w14:paraId="544D20CA" w14:textId="53E71F08" w:rsidR="00B43E18" w:rsidRPr="00E16990" w:rsidRDefault="00DD6FB1" w:rsidP="002A5C04">
            <w:pPr>
              <w:pStyle w:val="EEAtabbull"/>
              <w:rPr>
                <w:lang w:eastAsia="en-US"/>
              </w:rPr>
            </w:pPr>
            <w:r w:rsidRPr="00E16990">
              <w:rPr>
                <w:lang w:eastAsia="en-US"/>
              </w:rPr>
              <w:t>Bioavailability</w:t>
            </w:r>
            <w:r w:rsidR="00B43E18" w:rsidRPr="00E16990">
              <w:rPr>
                <w:lang w:eastAsia="en-US"/>
              </w:rPr>
              <w:t xml:space="preserve"> of nutrients and pollutants</w:t>
            </w:r>
          </w:p>
          <w:p w14:paraId="2DEFC9DD" w14:textId="77777777" w:rsidR="00B43E18" w:rsidRPr="00E16990" w:rsidRDefault="00B43E18" w:rsidP="002A5C04">
            <w:pPr>
              <w:pStyle w:val="EEAtabbull"/>
              <w:rPr>
                <w:lang w:eastAsia="en-US"/>
              </w:rPr>
            </w:pPr>
            <w:r w:rsidRPr="00E16990">
              <w:rPr>
                <w:lang w:eastAsia="en-US"/>
              </w:rPr>
              <w:t>GHG emissions</w:t>
            </w:r>
          </w:p>
          <w:p w14:paraId="631FED03" w14:textId="77777777" w:rsidR="00B43E18" w:rsidRPr="00E16990" w:rsidRDefault="00B43E18" w:rsidP="002A5C04">
            <w:pPr>
              <w:pStyle w:val="EEAtabbull"/>
              <w:rPr>
                <w:lang w:eastAsia="en-US"/>
              </w:rPr>
            </w:pPr>
            <w:r w:rsidRPr="00E16990">
              <w:rPr>
                <w:lang w:eastAsia="en-US"/>
              </w:rPr>
              <w:t>Exogenous organic matter input</w:t>
            </w:r>
          </w:p>
          <w:p w14:paraId="5AD4821A" w14:textId="77777777" w:rsidR="00B43E18" w:rsidRPr="00E16990" w:rsidRDefault="00B43E18" w:rsidP="002A5C04">
            <w:pPr>
              <w:pStyle w:val="EEAtabbull"/>
              <w:rPr>
                <w:lang w:eastAsia="en-US"/>
              </w:rPr>
            </w:pPr>
            <w:r w:rsidRPr="00E16990">
              <w:rPr>
                <w:lang w:eastAsia="en-US"/>
              </w:rPr>
              <w:t xml:space="preserve">Carbon hot spot monitoring: SOC-rich soils </w:t>
            </w:r>
          </w:p>
        </w:tc>
        <w:tc>
          <w:tcPr>
            <w:tcW w:w="1993" w:type="dxa"/>
            <w:tcMar>
              <w:left w:w="28" w:type="dxa"/>
              <w:right w:w="28" w:type="dxa"/>
            </w:tcMar>
          </w:tcPr>
          <w:p w14:paraId="258FFC82" w14:textId="77777777" w:rsidR="00B43E18" w:rsidRPr="00E16990" w:rsidRDefault="00B43E18" w:rsidP="002A5C04">
            <w:pPr>
              <w:pStyle w:val="EEAtabbull"/>
              <w:rPr>
                <w:lang w:eastAsia="en-US"/>
              </w:rPr>
            </w:pPr>
            <w:r w:rsidRPr="00E16990">
              <w:rPr>
                <w:lang w:eastAsia="en-US"/>
              </w:rPr>
              <w:t>Microflora; microbial biomass</w:t>
            </w:r>
          </w:p>
          <w:p w14:paraId="1FD6D1A2" w14:textId="58BDB6B3" w:rsidR="00B43E18" w:rsidRPr="00E16990" w:rsidRDefault="00E45392" w:rsidP="002A5C04">
            <w:pPr>
              <w:pStyle w:val="EEAtabbull"/>
              <w:rPr>
                <w:lang w:eastAsia="en-US"/>
              </w:rPr>
            </w:pPr>
            <w:r w:rsidRPr="00E16990">
              <w:rPr>
                <w:lang w:eastAsia="en-US"/>
              </w:rPr>
              <w:t>B</w:t>
            </w:r>
            <w:r w:rsidR="00B43E18" w:rsidRPr="00E16990">
              <w:rPr>
                <w:lang w:eastAsia="en-US"/>
              </w:rPr>
              <w:t>iological functions (e.g. respiration, N and C mineralization)</w:t>
            </w:r>
          </w:p>
          <w:p w14:paraId="0F34F57E" w14:textId="632C4FEA" w:rsidR="00B43E18" w:rsidRPr="00E16990" w:rsidRDefault="00E45392" w:rsidP="002A5C04">
            <w:pPr>
              <w:pStyle w:val="EEAtabbull"/>
              <w:rPr>
                <w:lang w:eastAsia="en-US"/>
              </w:rPr>
            </w:pPr>
            <w:r w:rsidRPr="00E16990">
              <w:rPr>
                <w:lang w:eastAsia="en-US"/>
              </w:rPr>
              <w:t>S</w:t>
            </w:r>
            <w:r w:rsidR="00B43E18" w:rsidRPr="00E16990">
              <w:rPr>
                <w:lang w:eastAsia="en-US"/>
              </w:rPr>
              <w:t>oil b</w:t>
            </w:r>
            <w:r w:rsidR="00DD6FB1" w:rsidRPr="00E16990">
              <w:rPr>
                <w:lang w:eastAsia="en-US"/>
              </w:rPr>
              <w:t>io</w:t>
            </w:r>
            <w:r w:rsidR="00B43E18" w:rsidRPr="00E16990">
              <w:rPr>
                <w:lang w:eastAsia="en-US"/>
              </w:rPr>
              <w:t>diversity (molecular signature</w:t>
            </w:r>
          </w:p>
          <w:p w14:paraId="7DBA9ABE" w14:textId="77777777" w:rsidR="00B43E18" w:rsidRPr="00E16990" w:rsidRDefault="00B43E18" w:rsidP="002A5C04">
            <w:pPr>
              <w:pStyle w:val="EEAtabbull"/>
              <w:rPr>
                <w:lang w:eastAsia="en-US"/>
              </w:rPr>
            </w:pPr>
            <w:r w:rsidRPr="00E16990">
              <w:rPr>
                <w:lang w:eastAsia="en-US"/>
              </w:rPr>
              <w:lastRenderedPageBreak/>
              <w:t>Diversity: Nematodes, Earthworms)</w:t>
            </w:r>
          </w:p>
        </w:tc>
        <w:tc>
          <w:tcPr>
            <w:tcW w:w="1888" w:type="dxa"/>
            <w:tcMar>
              <w:left w:w="28" w:type="dxa"/>
              <w:right w:w="28" w:type="dxa"/>
            </w:tcMar>
          </w:tcPr>
          <w:p w14:paraId="7ACF5F29" w14:textId="77777777" w:rsidR="00B43E18" w:rsidRPr="00E16990" w:rsidRDefault="00B43E18" w:rsidP="002A5C04">
            <w:pPr>
              <w:pStyle w:val="EEAtabbull"/>
              <w:rPr>
                <w:lang w:eastAsia="en-US"/>
              </w:rPr>
            </w:pPr>
            <w:r w:rsidRPr="00E16990">
              <w:rPr>
                <w:lang w:eastAsia="en-US"/>
              </w:rPr>
              <w:lastRenderedPageBreak/>
              <w:t>Topsoil organic carbon content (measured)</w:t>
            </w:r>
          </w:p>
          <w:p w14:paraId="008296B8" w14:textId="77777777" w:rsidR="00B43E18" w:rsidRPr="00E16990" w:rsidRDefault="00B43E18" w:rsidP="002A5C04">
            <w:pPr>
              <w:pStyle w:val="EEAtabbull"/>
              <w:rPr>
                <w:lang w:eastAsia="en-US"/>
              </w:rPr>
            </w:pPr>
            <w:r w:rsidRPr="00E16990">
              <w:rPr>
                <w:lang w:eastAsia="en-US"/>
              </w:rPr>
              <w:t>Soil organic carbon stocks (measured)</w:t>
            </w:r>
          </w:p>
          <w:p w14:paraId="2CDCB6D5" w14:textId="77777777" w:rsidR="00B43E18" w:rsidRPr="00E16990" w:rsidRDefault="00B43E18" w:rsidP="002A5C04">
            <w:pPr>
              <w:pStyle w:val="EEAtabbull"/>
              <w:rPr>
                <w:lang w:eastAsia="en-US"/>
              </w:rPr>
            </w:pPr>
          </w:p>
          <w:p w14:paraId="2A5EE6BE" w14:textId="77777777" w:rsidR="00B43E18" w:rsidRPr="00E16990" w:rsidRDefault="00B43E18" w:rsidP="002A5C04">
            <w:pPr>
              <w:pStyle w:val="EEAtabbull"/>
              <w:rPr>
                <w:lang w:eastAsia="en-US"/>
              </w:rPr>
            </w:pPr>
            <w:r w:rsidRPr="00E16990">
              <w:rPr>
                <w:lang w:eastAsia="en-US"/>
              </w:rPr>
              <w:t>Earthworm diversity and biomass</w:t>
            </w:r>
          </w:p>
          <w:p w14:paraId="15C6D271" w14:textId="77777777" w:rsidR="00B43E18" w:rsidRPr="00E16990" w:rsidRDefault="00B43E18" w:rsidP="002A5C04">
            <w:pPr>
              <w:pStyle w:val="EEAtabbull"/>
              <w:rPr>
                <w:lang w:eastAsia="en-US"/>
              </w:rPr>
            </w:pPr>
            <w:r w:rsidRPr="00E16990">
              <w:rPr>
                <w:lang w:eastAsia="en-US"/>
              </w:rPr>
              <w:t>Collembola diversity</w:t>
            </w:r>
          </w:p>
          <w:p w14:paraId="0783F8DB" w14:textId="77777777" w:rsidR="00B43E18" w:rsidRPr="00E16990" w:rsidRDefault="00B43E18" w:rsidP="002A5C04">
            <w:pPr>
              <w:pStyle w:val="EEAtabbull"/>
              <w:rPr>
                <w:lang w:eastAsia="en-US"/>
              </w:rPr>
            </w:pPr>
            <w:r w:rsidRPr="00E16990">
              <w:rPr>
                <w:lang w:eastAsia="en-US"/>
              </w:rPr>
              <w:lastRenderedPageBreak/>
              <w:t xml:space="preserve">Soil microbial respiration </w:t>
            </w:r>
          </w:p>
        </w:tc>
      </w:tr>
      <w:tr w:rsidR="00B43E18" w:rsidRPr="00E16990" w14:paraId="51CB54BC" w14:textId="77777777" w:rsidTr="001C6C1E">
        <w:tc>
          <w:tcPr>
            <w:tcW w:w="1557" w:type="dxa"/>
            <w:shd w:val="pct5" w:color="auto" w:fill="auto"/>
            <w:tcMar>
              <w:left w:w="28" w:type="dxa"/>
              <w:right w:w="28" w:type="dxa"/>
            </w:tcMar>
            <w:vAlign w:val="center"/>
          </w:tcPr>
          <w:p w14:paraId="1A00F8E3" w14:textId="77777777" w:rsidR="00B43E18" w:rsidRPr="00E16990" w:rsidRDefault="00B43E18" w:rsidP="002A5C04">
            <w:pPr>
              <w:pStyle w:val="EEAtableleft"/>
              <w:rPr>
                <w:b/>
                <w:bCs/>
                <w:lang w:eastAsia="en-US"/>
              </w:rPr>
            </w:pPr>
            <w:r w:rsidRPr="00E16990">
              <w:rPr>
                <w:b/>
                <w:bCs/>
                <w:lang w:eastAsia="en-US"/>
              </w:rPr>
              <w:lastRenderedPageBreak/>
              <w:t>Soil erosion</w:t>
            </w:r>
          </w:p>
        </w:tc>
        <w:tc>
          <w:tcPr>
            <w:tcW w:w="2124" w:type="dxa"/>
            <w:tcMar>
              <w:left w:w="28" w:type="dxa"/>
              <w:right w:w="28" w:type="dxa"/>
            </w:tcMar>
          </w:tcPr>
          <w:p w14:paraId="3258DBA1" w14:textId="77777777" w:rsidR="00B43E18" w:rsidRPr="00E16990" w:rsidRDefault="00B43E18" w:rsidP="002A5C04">
            <w:pPr>
              <w:pStyle w:val="EEAtabbull"/>
              <w:rPr>
                <w:lang w:eastAsia="en-US"/>
              </w:rPr>
            </w:pPr>
            <w:r w:rsidRPr="00E16990">
              <w:rPr>
                <w:lang w:eastAsia="en-US"/>
              </w:rPr>
              <w:t xml:space="preserve">Modelling </w:t>
            </w:r>
          </w:p>
          <w:p w14:paraId="15EE8E0D" w14:textId="1FAA5241" w:rsidR="00B43E18" w:rsidRPr="00E16990" w:rsidRDefault="00B43E18" w:rsidP="002A5C04">
            <w:pPr>
              <w:pStyle w:val="EEAtabbull"/>
              <w:rPr>
                <w:lang w:eastAsia="en-US"/>
              </w:rPr>
            </w:pPr>
            <w:r w:rsidRPr="00E16990">
              <w:rPr>
                <w:lang w:eastAsia="en-US"/>
              </w:rPr>
              <w:t>(</w:t>
            </w:r>
            <w:r w:rsidR="003F393C" w:rsidRPr="00E16990">
              <w:rPr>
                <w:lang w:eastAsia="en-US"/>
              </w:rPr>
              <w:t xml:space="preserve">using </w:t>
            </w:r>
            <w:r w:rsidRPr="00E16990">
              <w:rPr>
                <w:lang w:eastAsia="en-US"/>
              </w:rPr>
              <w:t xml:space="preserve">data on land cover/land use, geomorphological data, existing national soil data, rainfall data </w:t>
            </w:r>
          </w:p>
        </w:tc>
        <w:tc>
          <w:tcPr>
            <w:tcW w:w="2268" w:type="dxa"/>
            <w:tcMar>
              <w:left w:w="28" w:type="dxa"/>
              <w:right w:w="28" w:type="dxa"/>
            </w:tcMar>
          </w:tcPr>
          <w:p w14:paraId="7BCC4509" w14:textId="77777777" w:rsidR="00B43E18" w:rsidRPr="00E16990" w:rsidRDefault="00B43E18" w:rsidP="002A5C04">
            <w:pPr>
              <w:pStyle w:val="EEAtabbull"/>
              <w:rPr>
                <w:lang w:eastAsia="en-US"/>
              </w:rPr>
            </w:pPr>
            <w:r w:rsidRPr="00E16990">
              <w:rPr>
                <w:b/>
                <w:bCs/>
                <w:lang w:eastAsia="en-US"/>
              </w:rPr>
              <w:t>Mandatory physical</w:t>
            </w:r>
            <w:r w:rsidRPr="00E16990">
              <w:rPr>
                <w:lang w:eastAsia="en-US"/>
              </w:rPr>
              <w:t xml:space="preserve"> parameters: all basic parameters</w:t>
            </w:r>
          </w:p>
          <w:p w14:paraId="668172F0" w14:textId="77777777" w:rsidR="00B43E18" w:rsidRPr="00E16990" w:rsidRDefault="00B43E18" w:rsidP="002A5C04">
            <w:pPr>
              <w:pStyle w:val="EEAtabbull"/>
              <w:rPr>
                <w:lang w:eastAsia="en-US"/>
              </w:rPr>
            </w:pPr>
            <w:r w:rsidRPr="00E16990">
              <w:rPr>
                <w:b/>
                <w:bCs/>
                <w:lang w:eastAsia="en-US"/>
              </w:rPr>
              <w:t>Optional physical</w:t>
            </w:r>
            <w:r w:rsidRPr="00E16990">
              <w:rPr>
                <w:lang w:eastAsia="en-US"/>
              </w:rPr>
              <w:t xml:space="preserve"> parameters: </w:t>
            </w:r>
          </w:p>
          <w:p w14:paraId="0F234705" w14:textId="77777777" w:rsidR="00B43E18" w:rsidRPr="00E16990" w:rsidRDefault="00B43E18" w:rsidP="002A5C04">
            <w:pPr>
              <w:pStyle w:val="EEAtabbull"/>
              <w:rPr>
                <w:lang w:eastAsia="en-US"/>
              </w:rPr>
            </w:pPr>
            <w:r w:rsidRPr="00E16990">
              <w:rPr>
                <w:lang w:eastAsia="en-US"/>
              </w:rPr>
              <w:t xml:space="preserve">Unsaturated hydraulic conductivity (laboratory) </w:t>
            </w:r>
          </w:p>
          <w:p w14:paraId="57683886" w14:textId="24D20A68" w:rsidR="00B43E18" w:rsidRPr="00E16990" w:rsidRDefault="00B43E18" w:rsidP="002A5C04">
            <w:pPr>
              <w:pStyle w:val="EEAtabbull"/>
              <w:rPr>
                <w:lang w:eastAsia="en-US"/>
              </w:rPr>
            </w:pPr>
            <w:r w:rsidRPr="00E16990">
              <w:rPr>
                <w:lang w:eastAsia="en-US"/>
              </w:rPr>
              <w:t>Hydraulic conductivity (field)</w:t>
            </w:r>
          </w:p>
          <w:p w14:paraId="544D3EE0" w14:textId="77777777" w:rsidR="00B43E18" w:rsidRPr="00E16990" w:rsidRDefault="00B43E18" w:rsidP="002A5C04">
            <w:pPr>
              <w:pStyle w:val="EEAtabbull"/>
              <w:rPr>
                <w:lang w:eastAsia="en-US"/>
              </w:rPr>
            </w:pPr>
            <w:r w:rsidRPr="00E16990">
              <w:rPr>
                <w:lang w:eastAsia="en-US"/>
              </w:rPr>
              <w:t>Penetrometric resistance</w:t>
            </w:r>
          </w:p>
          <w:p w14:paraId="3271FB2E" w14:textId="77777777" w:rsidR="00B43E18" w:rsidRPr="00E16990" w:rsidRDefault="00B43E18" w:rsidP="002A5C04">
            <w:pPr>
              <w:pStyle w:val="EEAtabbull"/>
              <w:rPr>
                <w:lang w:eastAsia="en-US"/>
              </w:rPr>
            </w:pPr>
            <w:r w:rsidRPr="00E16990">
              <w:rPr>
                <w:lang w:eastAsia="en-US"/>
              </w:rPr>
              <w:t>Aggregate stability</w:t>
            </w:r>
          </w:p>
          <w:p w14:paraId="59BDEB73" w14:textId="77777777" w:rsidR="00B43E18" w:rsidRPr="00E16990" w:rsidRDefault="00B43E18" w:rsidP="002A5C04">
            <w:pPr>
              <w:pStyle w:val="EEAtabbull"/>
              <w:rPr>
                <w:lang w:eastAsia="en-US"/>
              </w:rPr>
            </w:pPr>
            <w:r w:rsidRPr="00E16990">
              <w:rPr>
                <w:lang w:eastAsia="en-US"/>
              </w:rPr>
              <w:t>Soil-water content, volumetric</w:t>
            </w:r>
          </w:p>
          <w:p w14:paraId="65FE8F83" w14:textId="77777777" w:rsidR="00B43E18" w:rsidRPr="00E16990" w:rsidRDefault="00B43E18" w:rsidP="002A5C04">
            <w:pPr>
              <w:pStyle w:val="EEAtabbull"/>
              <w:rPr>
                <w:lang w:eastAsia="en-US"/>
              </w:rPr>
            </w:pPr>
            <w:r w:rsidRPr="00E16990">
              <w:rPr>
                <w:lang w:eastAsia="en-US"/>
              </w:rPr>
              <w:t>Soil-water tension</w:t>
            </w:r>
          </w:p>
          <w:p w14:paraId="71D494A4" w14:textId="77777777" w:rsidR="00B43E18" w:rsidRPr="00E16990" w:rsidRDefault="00B43E18" w:rsidP="002A5C04">
            <w:pPr>
              <w:pStyle w:val="EEAtabbull"/>
              <w:rPr>
                <w:lang w:eastAsia="en-US"/>
              </w:rPr>
            </w:pPr>
            <w:r w:rsidRPr="00E16990">
              <w:rPr>
                <w:b/>
                <w:bCs/>
                <w:lang w:eastAsia="en-US"/>
              </w:rPr>
              <w:t>Mandatory chemical</w:t>
            </w:r>
            <w:r w:rsidRPr="00E16990">
              <w:rPr>
                <w:lang w:eastAsia="en-US"/>
              </w:rPr>
              <w:t xml:space="preserve"> parameter: SOC</w:t>
            </w:r>
          </w:p>
        </w:tc>
        <w:tc>
          <w:tcPr>
            <w:tcW w:w="1993" w:type="dxa"/>
            <w:tcMar>
              <w:left w:w="28" w:type="dxa"/>
              <w:right w:w="28" w:type="dxa"/>
            </w:tcMar>
          </w:tcPr>
          <w:p w14:paraId="035741AE" w14:textId="77777777" w:rsidR="00B43E18" w:rsidRPr="00E16990" w:rsidRDefault="00B43E18" w:rsidP="002A5C04">
            <w:pPr>
              <w:pStyle w:val="EEAtabbull"/>
              <w:rPr>
                <w:lang w:eastAsia="en-US"/>
              </w:rPr>
            </w:pPr>
            <w:r w:rsidRPr="00E16990">
              <w:rPr>
                <w:lang w:eastAsia="en-US"/>
              </w:rPr>
              <w:t>Monitoring (measurements) of soil erosion</w:t>
            </w:r>
          </w:p>
          <w:p w14:paraId="457F6B7B" w14:textId="77777777" w:rsidR="00B43E18" w:rsidRPr="00E16990" w:rsidRDefault="00B43E18" w:rsidP="002A5C04">
            <w:pPr>
              <w:pStyle w:val="EEAtabbull"/>
              <w:rPr>
                <w:lang w:eastAsia="en-US"/>
              </w:rPr>
            </w:pPr>
            <w:r w:rsidRPr="00E16990">
              <w:rPr>
                <w:lang w:eastAsia="en-US"/>
              </w:rPr>
              <w:t>at the plot scale</w:t>
            </w:r>
          </w:p>
          <w:p w14:paraId="444B1B29" w14:textId="77777777" w:rsidR="00B43E18" w:rsidRPr="00E16990" w:rsidRDefault="00B43E18" w:rsidP="002A5C04">
            <w:pPr>
              <w:pStyle w:val="EEAtabbull"/>
              <w:rPr>
                <w:lang w:eastAsia="en-US"/>
              </w:rPr>
            </w:pPr>
            <w:r w:rsidRPr="00E16990">
              <w:rPr>
                <w:lang w:eastAsia="en-US"/>
              </w:rPr>
              <w:t>at the catchment scale</w:t>
            </w:r>
          </w:p>
          <w:p w14:paraId="789C431F" w14:textId="77777777" w:rsidR="00B43E18" w:rsidRPr="00E16990" w:rsidRDefault="00B43E18" w:rsidP="002A5C04">
            <w:pPr>
              <w:pStyle w:val="EEAtabbull"/>
              <w:rPr>
                <w:rFonts w:eastAsiaTheme="minorEastAsia"/>
                <w:lang w:eastAsia="en-US"/>
              </w:rPr>
            </w:pPr>
            <w:r w:rsidRPr="00E16990">
              <w:rPr>
                <w:rFonts w:eastAsiaTheme="minorEastAsia"/>
                <w:lang w:eastAsia="en-US"/>
              </w:rPr>
              <w:t>Mapping visible soil erosion features</w:t>
            </w:r>
          </w:p>
          <w:p w14:paraId="1DC7FFC3" w14:textId="77777777" w:rsidR="00B43E18" w:rsidRPr="00E16990" w:rsidRDefault="00B43E18" w:rsidP="002A5C04">
            <w:pPr>
              <w:pStyle w:val="EEAtabbull"/>
              <w:rPr>
                <w:rFonts w:eastAsiaTheme="minorEastAsia"/>
                <w:lang w:eastAsia="en-US"/>
              </w:rPr>
            </w:pPr>
            <w:r w:rsidRPr="00E16990">
              <w:rPr>
                <w:rFonts w:eastAsiaTheme="minorEastAsia"/>
                <w:lang w:eastAsia="en-US"/>
              </w:rPr>
              <w:t>Continuous measurement of sediment loads at the outlet of small catchments</w:t>
            </w:r>
          </w:p>
          <w:p w14:paraId="1CABAD4A" w14:textId="77777777" w:rsidR="00B43E18" w:rsidRPr="00E16990" w:rsidRDefault="00B43E18" w:rsidP="002A5C04">
            <w:pPr>
              <w:pStyle w:val="EEAtabbull"/>
              <w:rPr>
                <w:lang w:eastAsia="en-US"/>
              </w:rPr>
            </w:pPr>
            <w:r w:rsidRPr="00E16990">
              <w:rPr>
                <w:rFonts w:eastAsiaTheme="minorEastAsia"/>
                <w:lang w:eastAsia="en-US"/>
              </w:rPr>
              <w:t>Measurement of sediment deposition in ponds, lakes or reservoirs</w:t>
            </w:r>
          </w:p>
        </w:tc>
        <w:tc>
          <w:tcPr>
            <w:tcW w:w="1888" w:type="dxa"/>
            <w:tcMar>
              <w:left w:w="28" w:type="dxa"/>
              <w:right w:w="28" w:type="dxa"/>
            </w:tcMar>
          </w:tcPr>
          <w:p w14:paraId="0123B45F" w14:textId="77777777" w:rsidR="00B43E18" w:rsidRPr="00E16990" w:rsidRDefault="00B43E18" w:rsidP="002A5C04">
            <w:pPr>
              <w:pStyle w:val="EEAtabbull"/>
              <w:rPr>
                <w:lang w:eastAsia="en-US"/>
              </w:rPr>
            </w:pPr>
            <w:r w:rsidRPr="00E16990">
              <w:rPr>
                <w:lang w:eastAsia="en-US"/>
              </w:rPr>
              <w:t>Estimated soil loss by rill, inter-rill, and sheet erosion</w:t>
            </w:r>
          </w:p>
        </w:tc>
      </w:tr>
      <w:tr w:rsidR="00B43E18" w:rsidRPr="00E16990" w14:paraId="5D6FE45D" w14:textId="77777777" w:rsidTr="001C6C1E">
        <w:tc>
          <w:tcPr>
            <w:tcW w:w="1557" w:type="dxa"/>
            <w:shd w:val="pct5" w:color="auto" w:fill="auto"/>
            <w:tcMar>
              <w:left w:w="28" w:type="dxa"/>
              <w:right w:w="28" w:type="dxa"/>
            </w:tcMar>
            <w:vAlign w:val="center"/>
          </w:tcPr>
          <w:p w14:paraId="007EA14B" w14:textId="77777777" w:rsidR="00B43E18" w:rsidRPr="00E16990" w:rsidRDefault="00B43E18" w:rsidP="002A5C04">
            <w:pPr>
              <w:pStyle w:val="EEAtableleft"/>
              <w:rPr>
                <w:b/>
                <w:bCs/>
                <w:lang w:eastAsia="en-US"/>
              </w:rPr>
            </w:pPr>
            <w:r w:rsidRPr="00E16990">
              <w:rPr>
                <w:b/>
                <w:bCs/>
                <w:lang w:eastAsia="en-US"/>
              </w:rPr>
              <w:t>Soil contamination</w:t>
            </w:r>
          </w:p>
        </w:tc>
        <w:tc>
          <w:tcPr>
            <w:tcW w:w="2124" w:type="dxa"/>
            <w:tcMar>
              <w:left w:w="28" w:type="dxa"/>
              <w:right w:w="28" w:type="dxa"/>
            </w:tcMar>
          </w:tcPr>
          <w:p w14:paraId="14FE75E4" w14:textId="65DB15C5" w:rsidR="00B43E18" w:rsidRPr="00E16990" w:rsidRDefault="00B43E18" w:rsidP="002A5C04">
            <w:pPr>
              <w:pStyle w:val="EEAtabbull"/>
              <w:rPr>
                <w:lang w:eastAsia="en-US"/>
              </w:rPr>
            </w:pPr>
            <w:r w:rsidRPr="00E16990">
              <w:rPr>
                <w:lang w:eastAsia="en-US"/>
              </w:rPr>
              <w:t>Total element concentrations (aqua regia</w:t>
            </w:r>
            <w:r w:rsidR="00DF6308" w:rsidRPr="00E16990">
              <w:rPr>
                <w:lang w:eastAsia="en-US"/>
              </w:rPr>
              <w:t xml:space="preserve"> </w:t>
            </w:r>
            <w:r w:rsidRPr="00E16990">
              <w:rPr>
                <w:lang w:eastAsia="en-US"/>
              </w:rPr>
              <w:t>extractable fraction of heavy metals)</w:t>
            </w:r>
          </w:p>
          <w:p w14:paraId="00FD75CA" w14:textId="77777777" w:rsidR="00B43E18" w:rsidRPr="00E16990" w:rsidRDefault="00B43E18" w:rsidP="002A5C04">
            <w:pPr>
              <w:pStyle w:val="EEAtabbull"/>
              <w:rPr>
                <w:lang w:eastAsia="en-US"/>
              </w:rPr>
            </w:pPr>
            <w:r w:rsidRPr="00E16990">
              <w:rPr>
                <w:lang w:eastAsia="en-US"/>
              </w:rPr>
              <w:t>Natural background (at least at a subset of sampling points)</w:t>
            </w:r>
          </w:p>
          <w:p w14:paraId="169C69B7" w14:textId="77777777" w:rsidR="00B43E18" w:rsidRPr="00E16990" w:rsidRDefault="00B43E18" w:rsidP="002A5C04">
            <w:pPr>
              <w:pStyle w:val="EEAtabbull"/>
              <w:rPr>
                <w:lang w:eastAsia="en-US"/>
              </w:rPr>
            </w:pPr>
            <w:r w:rsidRPr="00E16990">
              <w:rPr>
                <w:lang w:eastAsia="en-US"/>
              </w:rPr>
              <w:t>Organic compounds, such as persistent organic pollutants (POPs)</w:t>
            </w:r>
          </w:p>
        </w:tc>
        <w:tc>
          <w:tcPr>
            <w:tcW w:w="2268" w:type="dxa"/>
            <w:tcMar>
              <w:left w:w="28" w:type="dxa"/>
              <w:right w:w="28" w:type="dxa"/>
            </w:tcMar>
          </w:tcPr>
          <w:p w14:paraId="09904A78" w14:textId="77777777" w:rsidR="00B43E18" w:rsidRPr="00E16990" w:rsidRDefault="00B43E18" w:rsidP="002A5C04">
            <w:pPr>
              <w:pStyle w:val="EEAtabbull"/>
              <w:rPr>
                <w:lang w:eastAsia="en-US"/>
              </w:rPr>
            </w:pPr>
            <w:r w:rsidRPr="00E16990">
              <w:rPr>
                <w:lang w:eastAsia="en-US"/>
              </w:rPr>
              <w:t>Progress in contaminated site management (per site class)</w:t>
            </w:r>
          </w:p>
        </w:tc>
        <w:tc>
          <w:tcPr>
            <w:tcW w:w="1993" w:type="dxa"/>
            <w:tcMar>
              <w:left w:w="28" w:type="dxa"/>
              <w:right w:w="28" w:type="dxa"/>
            </w:tcMar>
          </w:tcPr>
          <w:p w14:paraId="7F858EAB" w14:textId="77777777" w:rsidR="00B43E18" w:rsidRPr="00E16990" w:rsidRDefault="00B43E18" w:rsidP="002A5C04">
            <w:pPr>
              <w:pStyle w:val="EEAtabbull"/>
              <w:rPr>
                <w:lang w:eastAsia="en-US"/>
              </w:rPr>
            </w:pPr>
            <w:r w:rsidRPr="00E16990">
              <w:rPr>
                <w:lang w:eastAsia="en-US"/>
              </w:rPr>
              <w:t>very specific contamination problems, e.g. radio-nuclides, military contamination, major chemical facilities</w:t>
            </w:r>
          </w:p>
        </w:tc>
        <w:tc>
          <w:tcPr>
            <w:tcW w:w="1888" w:type="dxa"/>
            <w:tcMar>
              <w:left w:w="28" w:type="dxa"/>
              <w:right w:w="28" w:type="dxa"/>
            </w:tcMar>
          </w:tcPr>
          <w:p w14:paraId="41BF3559" w14:textId="77777777" w:rsidR="00B43E18" w:rsidRPr="00E16990" w:rsidRDefault="00B43E18" w:rsidP="002A5C04">
            <w:pPr>
              <w:pStyle w:val="EEAtabbull"/>
              <w:rPr>
                <w:lang w:eastAsia="en-US"/>
              </w:rPr>
            </w:pPr>
            <w:r w:rsidRPr="00E16990">
              <w:rPr>
                <w:lang w:eastAsia="en-US"/>
              </w:rPr>
              <w:t>Heavy metal contents in soils</w:t>
            </w:r>
          </w:p>
          <w:p w14:paraId="5F6E81A7" w14:textId="77777777" w:rsidR="00B43E18" w:rsidRPr="00E16990" w:rsidRDefault="00B43E18" w:rsidP="002A5C04">
            <w:pPr>
              <w:pStyle w:val="EEAtabbull"/>
              <w:rPr>
                <w:lang w:eastAsia="en-US"/>
              </w:rPr>
            </w:pPr>
            <w:r w:rsidRPr="00E16990">
              <w:rPr>
                <w:lang w:eastAsia="en-US"/>
              </w:rPr>
              <w:t>Critical load exceedance by S and N</w:t>
            </w:r>
          </w:p>
          <w:p w14:paraId="2D70DA35" w14:textId="77777777" w:rsidR="00B43E18" w:rsidRPr="00E16990" w:rsidRDefault="00B43E18" w:rsidP="002A5C04">
            <w:pPr>
              <w:pStyle w:val="EEAtabbull"/>
              <w:rPr>
                <w:b/>
                <w:bCs/>
                <w:lang w:eastAsia="en-US"/>
              </w:rPr>
            </w:pPr>
            <w:r w:rsidRPr="00E16990">
              <w:rPr>
                <w:lang w:eastAsia="en-US"/>
              </w:rPr>
              <w:t>Progress in management of contaminated sites</w:t>
            </w:r>
          </w:p>
        </w:tc>
      </w:tr>
    </w:tbl>
    <w:p w14:paraId="4069A940" w14:textId="77777777" w:rsidR="002A5C04" w:rsidRPr="001C6C1E" w:rsidRDefault="002A5C04" w:rsidP="001C6C1E">
      <w:pPr>
        <w:pStyle w:val="EEASource"/>
      </w:pPr>
      <w:r w:rsidRPr="001C6C1E">
        <w:t xml:space="preserve">Source: </w:t>
      </w:r>
      <w:r w:rsidRPr="001C6C1E">
        <w:tab/>
        <w:t>Van Camp et al. 2004</w:t>
      </w:r>
    </w:p>
    <w:p w14:paraId="58CE3448" w14:textId="77777777" w:rsidR="002A5C04" w:rsidRPr="00E16990" w:rsidRDefault="002A5C04" w:rsidP="00B43E18">
      <w:pPr>
        <w:rPr>
          <w:rFonts w:asciiTheme="majorHAnsi" w:hAnsiTheme="majorHAnsi" w:cstheme="majorHAnsi"/>
          <w:color w:val="000000"/>
          <w:szCs w:val="22"/>
          <w:lang w:eastAsia="en-US"/>
        </w:rPr>
      </w:pPr>
    </w:p>
    <w:p w14:paraId="06C07CCD" w14:textId="419107AB" w:rsidR="00B43E18" w:rsidRPr="00E16990" w:rsidRDefault="00B43E18" w:rsidP="00677B0A">
      <w:pPr>
        <w:rPr>
          <w:lang w:eastAsia="en-US"/>
        </w:rPr>
      </w:pPr>
      <w:r w:rsidRPr="00E16990">
        <w:rPr>
          <w:lang w:eastAsia="en-US"/>
        </w:rPr>
        <w:t>Huber et al. (2008) then presented an overview of 290 indicators, condensed to 60 selected priority indicators for all soil threats as identified by the Soil Thematic Strategy. 27 of these indicators were tested against existing soil monitoring, with 20 being qualified for entering the envisioned European monitoring system (</w:t>
      </w:r>
      <w:r w:rsidR="002A5C04" w:rsidRPr="00E16990">
        <w:rPr>
          <w:lang w:eastAsia="en-US"/>
        </w:rPr>
        <w:fldChar w:fldCharType="begin"/>
      </w:r>
      <w:r w:rsidR="002A5C04" w:rsidRPr="00E16990">
        <w:rPr>
          <w:lang w:eastAsia="en-US"/>
        </w:rPr>
        <w:instrText xml:space="preserve"> REF _Ref83994778 \h  \* MERGEFORMAT </w:instrText>
      </w:r>
      <w:r w:rsidR="002A5C04" w:rsidRPr="00E16990">
        <w:rPr>
          <w:lang w:eastAsia="en-US"/>
        </w:rPr>
      </w:r>
      <w:r w:rsidR="002A5C04" w:rsidRPr="00E16990">
        <w:rPr>
          <w:lang w:eastAsia="en-US"/>
        </w:rPr>
        <w:fldChar w:fldCharType="separate"/>
      </w:r>
      <w:r w:rsidR="0067767C" w:rsidRPr="00E16990">
        <w:t xml:space="preserve">Table </w:t>
      </w:r>
      <w:r w:rsidR="0067767C">
        <w:rPr>
          <w:noProof/>
        </w:rPr>
        <w:t>10</w:t>
      </w:r>
      <w:r w:rsidR="0067767C" w:rsidRPr="00E16990">
        <w:rPr>
          <w:noProof/>
        </w:rPr>
        <w:noBreakHyphen/>
      </w:r>
      <w:r w:rsidR="0067767C">
        <w:rPr>
          <w:noProof/>
        </w:rPr>
        <w:t>1</w:t>
      </w:r>
      <w:r w:rsidR="002A5C04" w:rsidRPr="00E16990">
        <w:rPr>
          <w:lang w:eastAsia="en-US"/>
        </w:rPr>
        <w:fldChar w:fldCharType="end"/>
      </w:r>
      <w:r w:rsidRPr="00E16990">
        <w:rPr>
          <w:lang w:eastAsia="en-US"/>
        </w:rPr>
        <w:t>). Correspondingly, performance criteria were provide</w:t>
      </w:r>
      <w:r w:rsidR="00CA734B" w:rsidRPr="00E16990">
        <w:rPr>
          <w:lang w:eastAsia="en-US"/>
        </w:rPr>
        <w:t>d</w:t>
      </w:r>
      <w:r w:rsidRPr="00E16990">
        <w:rPr>
          <w:lang w:eastAsia="en-US"/>
        </w:rPr>
        <w:t xml:space="preserve"> by Arrouays et al. (2008), including minimum detectable change, background values and indicator thresholds</w:t>
      </w:r>
      <w:r w:rsidR="00E16990" w:rsidRPr="00E16990">
        <w:rPr>
          <w:lang w:eastAsia="en-US"/>
        </w:rPr>
        <w:t>,</w:t>
      </w:r>
      <w:r w:rsidRPr="00E16990">
        <w:rPr>
          <w:lang w:eastAsia="en-US"/>
        </w:rPr>
        <w:t xml:space="preserve"> where available. </w:t>
      </w:r>
    </w:p>
    <w:p w14:paraId="21808A28" w14:textId="77777777" w:rsidR="00B43E18" w:rsidRPr="00E16990" w:rsidRDefault="00B43E18" w:rsidP="00677B0A">
      <w:pPr>
        <w:rPr>
          <w:lang w:eastAsia="en-US"/>
        </w:rPr>
      </w:pPr>
    </w:p>
    <w:p w14:paraId="5B40F786" w14:textId="159CDCC2" w:rsidR="00B43E18" w:rsidRPr="00E16990" w:rsidRDefault="00B43E18" w:rsidP="00677B0A">
      <w:pPr>
        <w:rPr>
          <w:lang w:eastAsia="en-US"/>
        </w:rPr>
      </w:pPr>
      <w:r w:rsidRPr="00E16990">
        <w:rPr>
          <w:lang w:eastAsia="en-US"/>
        </w:rPr>
        <w:t>More recent evaluations of existing monitoring systems were conducted by Stolte et al. (2016), Van Leeuwen et al. (2017) and Creamer et al. 2019). The research work of the latter two (Landmark project) focused on soil functions in agricultural soils across Europe in support of the LUCAS Soil survey. A set of soil parameters were identified for the application of pedo-transfer rules</w:t>
      </w:r>
      <w:r w:rsidR="00CA734B" w:rsidRPr="00E16990">
        <w:rPr>
          <w:lang w:eastAsia="en-US"/>
        </w:rPr>
        <w:t>,</w:t>
      </w:r>
      <w:r w:rsidRPr="00E16990">
        <w:rPr>
          <w:lang w:eastAsia="en-US"/>
        </w:rPr>
        <w:t xml:space="preserve"> by soil function. “Indicator” in the Landmark project was used to indicate a change in the status of soil functions from one sampling period to another. Main methodical focus was then the determination of optimal sampling densities to improve the representativ</w:t>
      </w:r>
      <w:r w:rsidR="00E16990" w:rsidRPr="00E16990">
        <w:rPr>
          <w:lang w:eastAsia="en-US"/>
        </w:rPr>
        <w:t>eness</w:t>
      </w:r>
      <w:r w:rsidRPr="00E16990">
        <w:rPr>
          <w:lang w:eastAsia="en-US"/>
        </w:rPr>
        <w:t xml:space="preserve"> of LUCAS.</w:t>
      </w:r>
    </w:p>
    <w:p w14:paraId="6664A519" w14:textId="77777777" w:rsidR="00B43E18" w:rsidRPr="00E16990" w:rsidRDefault="00B43E18" w:rsidP="00677B0A">
      <w:pPr>
        <w:rPr>
          <w:lang w:eastAsia="en-US"/>
        </w:rPr>
      </w:pPr>
    </w:p>
    <w:p w14:paraId="6795E130" w14:textId="5AE41061" w:rsidR="00C134C3" w:rsidRPr="00E16990" w:rsidRDefault="00B43E18" w:rsidP="00677B0A">
      <w:pPr>
        <w:rPr>
          <w:lang w:eastAsia="en-US"/>
        </w:rPr>
      </w:pPr>
      <w:r w:rsidRPr="00E16990">
        <w:rPr>
          <w:lang w:eastAsia="en-US"/>
        </w:rPr>
        <w:t xml:space="preserve">The concept of sampling levels (Tiers) in soil monitoring was also discussed by the EIONET </w:t>
      </w:r>
      <w:r w:rsidR="00E61CFC" w:rsidRPr="00E16990">
        <w:rPr>
          <w:lang w:eastAsia="en-US"/>
        </w:rPr>
        <w:t>T</w:t>
      </w:r>
      <w:r w:rsidRPr="00E16990">
        <w:rPr>
          <w:lang w:eastAsia="en-US"/>
        </w:rPr>
        <w:t xml:space="preserve">ask </w:t>
      </w:r>
      <w:r w:rsidR="00E61CFC" w:rsidRPr="00E16990">
        <w:rPr>
          <w:lang w:eastAsia="en-US"/>
        </w:rPr>
        <w:t>F</w:t>
      </w:r>
      <w:r w:rsidRPr="00E16990">
        <w:rPr>
          <w:lang w:eastAsia="en-US"/>
        </w:rPr>
        <w:t xml:space="preserve">orce </w:t>
      </w:r>
      <w:r w:rsidR="00E61CFC" w:rsidRPr="00E16990">
        <w:rPr>
          <w:lang w:eastAsia="en-US"/>
        </w:rPr>
        <w:t>S</w:t>
      </w:r>
      <w:r w:rsidRPr="00E16990">
        <w:rPr>
          <w:lang w:eastAsia="en-US"/>
        </w:rPr>
        <w:t xml:space="preserve">oil </w:t>
      </w:r>
      <w:r w:rsidR="00E61CFC" w:rsidRPr="00E16990">
        <w:rPr>
          <w:lang w:eastAsia="en-US"/>
        </w:rPr>
        <w:t>M</w:t>
      </w:r>
      <w:r w:rsidRPr="00E16990">
        <w:rPr>
          <w:lang w:eastAsia="en-US"/>
        </w:rPr>
        <w:t>onitoring</w:t>
      </w:r>
      <w:r w:rsidR="00F315DC" w:rsidRPr="00E16990">
        <w:rPr>
          <w:lang w:eastAsia="en-US"/>
        </w:rPr>
        <w:t xml:space="preserve">, summarized </w:t>
      </w:r>
      <w:r w:rsidR="002F2192" w:rsidRPr="00E16990">
        <w:rPr>
          <w:lang w:eastAsia="en-US"/>
        </w:rPr>
        <w:t xml:space="preserve">here </w:t>
      </w:r>
      <w:r w:rsidR="00F315DC" w:rsidRPr="00E16990">
        <w:rPr>
          <w:lang w:eastAsia="en-US"/>
        </w:rPr>
        <w:t>as follows</w:t>
      </w:r>
      <w:r w:rsidR="00BE4B13" w:rsidRPr="00E16990">
        <w:rPr>
          <w:lang w:eastAsia="en-US"/>
        </w:rPr>
        <w:t>:</w:t>
      </w:r>
      <w:r w:rsidRPr="00E16990">
        <w:rPr>
          <w:lang w:eastAsia="en-US"/>
        </w:rPr>
        <w:t xml:space="preserve"> </w:t>
      </w:r>
    </w:p>
    <w:p w14:paraId="46E2F0EC" w14:textId="3B66F373" w:rsidR="00C134C3" w:rsidRPr="00E16990" w:rsidRDefault="00B43E18" w:rsidP="00677B0A">
      <w:pPr>
        <w:pStyle w:val="EEAbullet0"/>
        <w:rPr>
          <w:lang w:eastAsia="en-US"/>
        </w:rPr>
      </w:pPr>
      <w:r w:rsidRPr="00E16990">
        <w:rPr>
          <w:b/>
          <w:bCs/>
          <w:lang w:eastAsia="en-US"/>
        </w:rPr>
        <w:t>Level I</w:t>
      </w:r>
      <w:r w:rsidRPr="00E16990">
        <w:rPr>
          <w:lang w:eastAsia="en-US"/>
        </w:rPr>
        <w:t xml:space="preserve"> could correspond to the Europe-wide sampling networks, such as LUCAS Soil and ICP Forests Level I. </w:t>
      </w:r>
      <w:r w:rsidR="00E16990" w:rsidRPr="00E16990">
        <w:rPr>
          <w:lang w:eastAsia="en-US"/>
        </w:rPr>
        <w:t>Representativeness</w:t>
      </w:r>
      <w:r w:rsidRPr="00E16990">
        <w:rPr>
          <w:lang w:eastAsia="en-US"/>
        </w:rPr>
        <w:t xml:space="preserve"> gaps could be filled by densifying the existing sampling grids. </w:t>
      </w:r>
      <w:r w:rsidR="006C584B" w:rsidRPr="00E16990">
        <w:rPr>
          <w:lang w:eastAsia="en-US"/>
        </w:rPr>
        <w:t>Sampling</w:t>
      </w:r>
      <w:r w:rsidR="008B03E0" w:rsidRPr="00E16990">
        <w:rPr>
          <w:lang w:eastAsia="en-US"/>
        </w:rPr>
        <w:t xml:space="preserve"> </w:t>
      </w:r>
      <w:r w:rsidR="00A211F0" w:rsidRPr="00E16990">
        <w:rPr>
          <w:lang w:eastAsia="en-US"/>
        </w:rPr>
        <w:t xml:space="preserve">is limited to the </w:t>
      </w:r>
      <w:r w:rsidR="006F7391" w:rsidRPr="00E16990">
        <w:rPr>
          <w:b/>
          <w:bCs/>
          <w:lang w:eastAsia="en-US"/>
        </w:rPr>
        <w:t>topsoil</w:t>
      </w:r>
      <w:r w:rsidR="006F7391" w:rsidRPr="00E16990">
        <w:rPr>
          <w:lang w:eastAsia="en-US"/>
        </w:rPr>
        <w:t xml:space="preserve"> and</w:t>
      </w:r>
      <w:r w:rsidR="00A211F0" w:rsidRPr="00E16990">
        <w:rPr>
          <w:lang w:eastAsia="en-US"/>
        </w:rPr>
        <w:t xml:space="preserve"> includes </w:t>
      </w:r>
      <w:r w:rsidR="00A211F0" w:rsidRPr="00E16990">
        <w:rPr>
          <w:b/>
          <w:bCs/>
          <w:lang w:eastAsia="en-US"/>
        </w:rPr>
        <w:t>basic parameters</w:t>
      </w:r>
      <w:r w:rsidR="00A211F0" w:rsidRPr="00E16990">
        <w:rPr>
          <w:lang w:eastAsia="en-US"/>
        </w:rPr>
        <w:t xml:space="preserve"> but also </w:t>
      </w:r>
      <w:r w:rsidR="00FF13A7" w:rsidRPr="00E16990">
        <w:rPr>
          <w:lang w:eastAsia="en-US"/>
        </w:rPr>
        <w:t xml:space="preserve">key nutrients and metals; sampling </w:t>
      </w:r>
      <w:r w:rsidR="00FF13A7" w:rsidRPr="00E16990">
        <w:rPr>
          <w:lang w:eastAsia="en-US"/>
        </w:rPr>
        <w:lastRenderedPageBreak/>
        <w:t xml:space="preserve">density </w:t>
      </w:r>
      <w:r w:rsidR="006C584B" w:rsidRPr="00E16990">
        <w:rPr>
          <w:lang w:eastAsia="en-US"/>
        </w:rPr>
        <w:t xml:space="preserve">would be representative </w:t>
      </w:r>
      <w:r w:rsidR="00FF13A7" w:rsidRPr="00E16990">
        <w:rPr>
          <w:lang w:eastAsia="en-US"/>
        </w:rPr>
        <w:t>for all land use</w:t>
      </w:r>
      <w:r w:rsidR="00587F38" w:rsidRPr="00E16990">
        <w:rPr>
          <w:lang w:eastAsia="en-US"/>
        </w:rPr>
        <w:t xml:space="preserve">-soil (1:1Mio) combinations </w:t>
      </w:r>
      <w:r w:rsidR="006C584B" w:rsidRPr="00E16990">
        <w:rPr>
          <w:lang w:eastAsia="en-US"/>
        </w:rPr>
        <w:t>across Europe</w:t>
      </w:r>
      <w:r w:rsidR="008B03E0" w:rsidRPr="00E16990">
        <w:rPr>
          <w:lang w:eastAsia="en-US"/>
        </w:rPr>
        <w:t>, based on international standards (CEN/ISO)</w:t>
      </w:r>
      <w:r w:rsidR="001630B0" w:rsidRPr="00E16990">
        <w:rPr>
          <w:lang w:eastAsia="en-US"/>
        </w:rPr>
        <w:t xml:space="preserve">. Some countries could improve their national morning with LUCAS Soil </w:t>
      </w:r>
      <w:r w:rsidR="00C905DA" w:rsidRPr="00E16990">
        <w:rPr>
          <w:lang w:eastAsia="en-US"/>
        </w:rPr>
        <w:t xml:space="preserve">thus </w:t>
      </w:r>
      <w:r w:rsidR="00587F38" w:rsidRPr="00E16990">
        <w:rPr>
          <w:lang w:eastAsia="en-US"/>
        </w:rPr>
        <w:t xml:space="preserve">benefit from </w:t>
      </w:r>
      <w:r w:rsidR="00C905DA" w:rsidRPr="00E16990">
        <w:rPr>
          <w:lang w:eastAsia="en-US"/>
        </w:rPr>
        <w:t>this Level I, others</w:t>
      </w:r>
      <w:r w:rsidR="003839C7" w:rsidRPr="00E16990">
        <w:rPr>
          <w:lang w:eastAsia="en-US"/>
        </w:rPr>
        <w:t xml:space="preserve"> could </w:t>
      </w:r>
      <w:r w:rsidR="00C905DA" w:rsidRPr="00E16990">
        <w:rPr>
          <w:lang w:eastAsia="en-US"/>
        </w:rPr>
        <w:t xml:space="preserve">at least improve the </w:t>
      </w:r>
      <w:r w:rsidR="00E16990" w:rsidRPr="00E16990">
        <w:rPr>
          <w:lang w:eastAsia="en-US"/>
        </w:rPr>
        <w:t>representativeness</w:t>
      </w:r>
      <w:r w:rsidR="00C905DA" w:rsidRPr="00E16990">
        <w:rPr>
          <w:lang w:eastAsia="en-US"/>
        </w:rPr>
        <w:t xml:space="preserve"> of their existing system provided comparable sampling </w:t>
      </w:r>
      <w:r w:rsidR="00BB1151" w:rsidRPr="00E16990">
        <w:rPr>
          <w:lang w:eastAsia="en-US"/>
        </w:rPr>
        <w:t xml:space="preserve">and analysis </w:t>
      </w:r>
      <w:r w:rsidR="00C905DA" w:rsidRPr="00E16990">
        <w:rPr>
          <w:lang w:eastAsia="en-US"/>
        </w:rPr>
        <w:t>protocols</w:t>
      </w:r>
      <w:r w:rsidR="00BB1151" w:rsidRPr="00E16990">
        <w:rPr>
          <w:lang w:eastAsia="en-US"/>
        </w:rPr>
        <w:t xml:space="preserve"> (or conversion factors)</w:t>
      </w:r>
      <w:r w:rsidR="003839C7" w:rsidRPr="00E16990">
        <w:rPr>
          <w:lang w:eastAsia="en-US"/>
        </w:rPr>
        <w:t>.</w:t>
      </w:r>
    </w:p>
    <w:p w14:paraId="73C1D453" w14:textId="1749B2C1" w:rsidR="000E6EE9" w:rsidRPr="00E16990" w:rsidRDefault="00B43E18" w:rsidP="00677B0A">
      <w:pPr>
        <w:pStyle w:val="EEAbullet0"/>
        <w:rPr>
          <w:lang w:eastAsia="en-US"/>
        </w:rPr>
      </w:pPr>
      <w:r w:rsidRPr="00E16990">
        <w:rPr>
          <w:b/>
          <w:bCs/>
          <w:lang w:eastAsia="en-US"/>
        </w:rPr>
        <w:t>Level II</w:t>
      </w:r>
      <w:r w:rsidRPr="00E16990">
        <w:rPr>
          <w:lang w:eastAsia="en-US"/>
        </w:rPr>
        <w:t xml:space="preserve"> could then correspond to national monitoring networks, </w:t>
      </w:r>
      <w:r w:rsidR="00CF730D" w:rsidRPr="00E16990">
        <w:rPr>
          <w:lang w:eastAsia="en-US"/>
        </w:rPr>
        <w:t xml:space="preserve">where there is high </w:t>
      </w:r>
      <w:r w:rsidR="00BB1151" w:rsidRPr="00E16990">
        <w:rPr>
          <w:lang w:eastAsia="en-US"/>
        </w:rPr>
        <w:t xml:space="preserve">sampling </w:t>
      </w:r>
      <w:r w:rsidR="00CF730D" w:rsidRPr="00E16990">
        <w:rPr>
          <w:lang w:eastAsia="en-US"/>
        </w:rPr>
        <w:t xml:space="preserve">density </w:t>
      </w:r>
      <w:r w:rsidR="00BB1151" w:rsidRPr="00E16990">
        <w:rPr>
          <w:lang w:eastAsia="en-US"/>
        </w:rPr>
        <w:t>thus improved</w:t>
      </w:r>
      <w:r w:rsidR="00CF730D" w:rsidRPr="00E16990">
        <w:rPr>
          <w:lang w:eastAsia="en-US"/>
        </w:rPr>
        <w:t xml:space="preserve"> </w:t>
      </w:r>
      <w:r w:rsidR="00E16990" w:rsidRPr="00E16990">
        <w:rPr>
          <w:lang w:eastAsia="en-US"/>
        </w:rPr>
        <w:t>representativeness</w:t>
      </w:r>
      <w:r w:rsidR="00CF730D" w:rsidRPr="00E16990">
        <w:rPr>
          <w:lang w:eastAsia="en-US"/>
        </w:rPr>
        <w:t xml:space="preserve"> (e.g. </w:t>
      </w:r>
      <w:r w:rsidR="00CF730D" w:rsidRPr="00E16990">
        <w:rPr>
          <w:b/>
          <w:bCs/>
          <w:lang w:eastAsia="en-US"/>
        </w:rPr>
        <w:t>hot spots</w:t>
      </w:r>
      <w:r w:rsidR="00CF730D" w:rsidRPr="00E16990">
        <w:rPr>
          <w:lang w:eastAsia="en-US"/>
        </w:rPr>
        <w:t xml:space="preserve"> s</w:t>
      </w:r>
      <w:r w:rsidR="004A6276" w:rsidRPr="00E16990">
        <w:rPr>
          <w:lang w:eastAsia="en-US"/>
        </w:rPr>
        <w:t>u</w:t>
      </w:r>
      <w:r w:rsidR="00CF730D" w:rsidRPr="00E16990">
        <w:rPr>
          <w:lang w:eastAsia="en-US"/>
        </w:rPr>
        <w:t xml:space="preserve">ch as organic soils), </w:t>
      </w:r>
      <w:r w:rsidR="00CF730D" w:rsidRPr="00E16990">
        <w:rPr>
          <w:b/>
          <w:bCs/>
          <w:lang w:eastAsia="en-US"/>
        </w:rPr>
        <w:t>lower depth</w:t>
      </w:r>
      <w:r w:rsidR="00CF730D" w:rsidRPr="00E16990">
        <w:rPr>
          <w:lang w:eastAsia="en-US"/>
        </w:rPr>
        <w:t xml:space="preserve">, and </w:t>
      </w:r>
      <w:r w:rsidR="00CF730D" w:rsidRPr="00E16990">
        <w:rPr>
          <w:b/>
          <w:bCs/>
          <w:lang w:eastAsia="en-US"/>
        </w:rPr>
        <w:t>more parameters</w:t>
      </w:r>
      <w:r w:rsidR="00CF730D" w:rsidRPr="00E16990">
        <w:rPr>
          <w:lang w:eastAsia="en-US"/>
        </w:rPr>
        <w:t xml:space="preserve"> (including organic contam</w:t>
      </w:r>
      <w:r w:rsidR="006F1627" w:rsidRPr="00E16990">
        <w:rPr>
          <w:lang w:eastAsia="en-US"/>
        </w:rPr>
        <w:t>inants, emerging contaminants, soil biological parameters</w:t>
      </w:r>
      <w:r w:rsidR="00342DB9" w:rsidRPr="00E16990">
        <w:rPr>
          <w:lang w:eastAsia="en-US"/>
        </w:rPr>
        <w:t>)</w:t>
      </w:r>
      <w:r w:rsidR="006F1627" w:rsidRPr="00E16990">
        <w:rPr>
          <w:lang w:eastAsia="en-US"/>
        </w:rPr>
        <w:t xml:space="preserve">. </w:t>
      </w:r>
      <w:r w:rsidR="00011EC8" w:rsidRPr="00E16990">
        <w:rPr>
          <w:lang w:eastAsia="en-US"/>
        </w:rPr>
        <w:t>Ideally, Level I</w:t>
      </w:r>
      <w:r w:rsidR="00BB1151" w:rsidRPr="00E16990">
        <w:rPr>
          <w:lang w:eastAsia="en-US"/>
        </w:rPr>
        <w:t>I</w:t>
      </w:r>
      <w:r w:rsidR="00011EC8" w:rsidRPr="00E16990">
        <w:rPr>
          <w:lang w:eastAsia="en-US"/>
        </w:rPr>
        <w:t xml:space="preserve"> </w:t>
      </w:r>
      <w:r w:rsidR="00342DB9" w:rsidRPr="00E16990">
        <w:rPr>
          <w:lang w:eastAsia="en-US"/>
        </w:rPr>
        <w:t>offers</w:t>
      </w:r>
      <w:r w:rsidR="00011EC8" w:rsidRPr="00E16990">
        <w:rPr>
          <w:lang w:eastAsia="en-US"/>
        </w:rPr>
        <w:t xml:space="preserve"> a </w:t>
      </w:r>
      <w:r w:rsidR="00342DB9" w:rsidRPr="00E16990">
        <w:rPr>
          <w:lang w:eastAsia="en-US"/>
        </w:rPr>
        <w:t xml:space="preserve">representative </w:t>
      </w:r>
      <w:r w:rsidR="00011EC8" w:rsidRPr="00E16990">
        <w:rPr>
          <w:lang w:eastAsia="en-US"/>
        </w:rPr>
        <w:t xml:space="preserve">subset of points sampled and </w:t>
      </w:r>
      <w:r w:rsidR="000346C1" w:rsidRPr="00E16990">
        <w:rPr>
          <w:lang w:eastAsia="en-US"/>
        </w:rPr>
        <w:t>analyzed</w:t>
      </w:r>
      <w:r w:rsidR="00011EC8" w:rsidRPr="00E16990">
        <w:rPr>
          <w:lang w:eastAsia="en-US"/>
        </w:rPr>
        <w:t xml:space="preserve"> similar</w:t>
      </w:r>
      <w:r w:rsidR="00342DB9" w:rsidRPr="00E16990">
        <w:rPr>
          <w:lang w:eastAsia="en-US"/>
        </w:rPr>
        <w:t>ly</w:t>
      </w:r>
      <w:r w:rsidR="00011EC8" w:rsidRPr="00E16990">
        <w:rPr>
          <w:lang w:eastAsia="en-US"/>
        </w:rPr>
        <w:t xml:space="preserve"> to Level I</w:t>
      </w:r>
      <w:r w:rsidR="00C12EDC" w:rsidRPr="00E16990">
        <w:rPr>
          <w:lang w:eastAsia="en-US"/>
        </w:rPr>
        <w:t>, based on</w:t>
      </w:r>
      <w:r w:rsidRPr="00E16990">
        <w:rPr>
          <w:lang w:eastAsia="en-US"/>
        </w:rPr>
        <w:t xml:space="preserve"> </w:t>
      </w:r>
      <w:r w:rsidR="00C12EDC" w:rsidRPr="00E16990">
        <w:rPr>
          <w:lang w:eastAsia="en-US"/>
        </w:rPr>
        <w:t xml:space="preserve">agreed </w:t>
      </w:r>
      <w:r w:rsidRPr="00E16990">
        <w:rPr>
          <w:lang w:eastAsia="en-US"/>
        </w:rPr>
        <w:t xml:space="preserve">European </w:t>
      </w:r>
      <w:r w:rsidR="00C12EDC" w:rsidRPr="00E16990">
        <w:rPr>
          <w:lang w:eastAsia="en-US"/>
        </w:rPr>
        <w:t xml:space="preserve">protocols </w:t>
      </w:r>
      <w:r w:rsidRPr="00E16990">
        <w:rPr>
          <w:lang w:eastAsia="en-US"/>
        </w:rPr>
        <w:t xml:space="preserve">for sampling and analysis. </w:t>
      </w:r>
      <w:r w:rsidR="000E6EE9" w:rsidRPr="00E16990">
        <w:rPr>
          <w:lang w:eastAsia="en-US"/>
        </w:rPr>
        <w:t>Experiences which a combined scheme for sampling and analysis (EU-standards/national standards) w</w:t>
      </w:r>
      <w:r w:rsidR="00841D7C" w:rsidRPr="00E16990">
        <w:rPr>
          <w:lang w:eastAsia="en-US"/>
        </w:rPr>
        <w:t>ere collected during the repetition of the ICP Forests Level I survey (Biosoil project under the Forest Focus Regulation</w:t>
      </w:r>
      <w:r w:rsidR="009103A8" w:rsidRPr="00E16990">
        <w:rPr>
          <w:lang w:eastAsia="en-US"/>
        </w:rPr>
        <w:t xml:space="preserve"> (EC No 2152/2003).</w:t>
      </w:r>
    </w:p>
    <w:p w14:paraId="17889DEF" w14:textId="2E241CEB" w:rsidR="00BB1151" w:rsidRPr="00E16990" w:rsidRDefault="00BB1151" w:rsidP="00677B0A">
      <w:pPr>
        <w:pStyle w:val="EEAbullet0"/>
        <w:rPr>
          <w:lang w:eastAsia="en-US"/>
        </w:rPr>
      </w:pPr>
      <w:r w:rsidRPr="00E16990">
        <w:rPr>
          <w:lang w:eastAsia="en-US"/>
        </w:rPr>
        <w:t xml:space="preserve">In reality, </w:t>
      </w:r>
      <w:r w:rsidR="00117375" w:rsidRPr="00E16990">
        <w:rPr>
          <w:lang w:eastAsia="en-US"/>
        </w:rPr>
        <w:t xml:space="preserve">the </w:t>
      </w:r>
      <w:r w:rsidR="00E16990" w:rsidRPr="00E16990">
        <w:rPr>
          <w:lang w:eastAsia="en-US"/>
        </w:rPr>
        <w:t>representativeness</w:t>
      </w:r>
      <w:r w:rsidR="00117375" w:rsidRPr="00E16990">
        <w:rPr>
          <w:lang w:eastAsia="en-US"/>
        </w:rPr>
        <w:t xml:space="preserve"> of LUCAS Soil may be continuously improved, while national experts and extension are needed to cover hotspots, deeper soil layers and other integrated aspects (</w:t>
      </w:r>
      <w:r w:rsidR="00776E94" w:rsidRPr="00E16990">
        <w:rPr>
          <w:lang w:eastAsia="en-US"/>
        </w:rPr>
        <w:t>e.g.,</w:t>
      </w:r>
      <w:r w:rsidR="00117375" w:rsidRPr="00E16990">
        <w:rPr>
          <w:lang w:eastAsia="en-US"/>
        </w:rPr>
        <w:t xml:space="preserve"> crop quality, </w:t>
      </w:r>
      <w:r w:rsidR="00A645B1" w:rsidRPr="00E16990">
        <w:rPr>
          <w:lang w:eastAsia="en-US"/>
        </w:rPr>
        <w:t>ground</w:t>
      </w:r>
      <w:r w:rsidR="00117375" w:rsidRPr="00E16990">
        <w:rPr>
          <w:lang w:eastAsia="en-US"/>
        </w:rPr>
        <w:t>water</w:t>
      </w:r>
      <w:r w:rsidR="00256DA8" w:rsidRPr="00E16990">
        <w:rPr>
          <w:lang w:eastAsia="en-US"/>
        </w:rPr>
        <w:t xml:space="preserve"> </w:t>
      </w:r>
      <w:r w:rsidR="00A645B1" w:rsidRPr="00E16990">
        <w:rPr>
          <w:lang w:eastAsia="en-US"/>
        </w:rPr>
        <w:t>reproduction</w:t>
      </w:r>
      <w:r w:rsidR="00117375" w:rsidRPr="00E16990">
        <w:rPr>
          <w:lang w:eastAsia="en-US"/>
        </w:rPr>
        <w:t xml:space="preserve">, vegetation composition, </w:t>
      </w:r>
      <w:proofErr w:type="gramStart"/>
      <w:r w:rsidR="00117375" w:rsidRPr="00E16990">
        <w:rPr>
          <w:lang w:eastAsia="en-US"/>
        </w:rPr>
        <w:t>soil</w:t>
      </w:r>
      <w:proofErr w:type="gramEnd"/>
      <w:r w:rsidR="00117375" w:rsidRPr="00E16990">
        <w:rPr>
          <w:lang w:eastAsia="en-US"/>
        </w:rPr>
        <w:t xml:space="preserve"> </w:t>
      </w:r>
      <w:r w:rsidR="00256DA8" w:rsidRPr="00E16990">
        <w:rPr>
          <w:lang w:eastAsia="en-US"/>
        </w:rPr>
        <w:t>fauna</w:t>
      </w:r>
      <w:r w:rsidR="00117375" w:rsidRPr="00E16990">
        <w:rPr>
          <w:lang w:eastAsia="en-US"/>
        </w:rPr>
        <w:t>).</w:t>
      </w:r>
      <w:r w:rsidR="00A20017" w:rsidRPr="00E16990">
        <w:rPr>
          <w:lang w:eastAsia="en-US"/>
        </w:rPr>
        <w:t xml:space="preserve"> </w:t>
      </w:r>
    </w:p>
    <w:p w14:paraId="30B79186" w14:textId="77777777" w:rsidR="00677B0A" w:rsidRPr="00E16990" w:rsidRDefault="00677B0A" w:rsidP="00677B0A">
      <w:pPr>
        <w:rPr>
          <w:lang w:eastAsia="en-US"/>
        </w:rPr>
      </w:pPr>
    </w:p>
    <w:p w14:paraId="30AFC0A6" w14:textId="51F571A9" w:rsidR="004A6276" w:rsidRPr="00E16990" w:rsidRDefault="004A6276" w:rsidP="00677B0A">
      <w:pPr>
        <w:rPr>
          <w:lang w:eastAsia="en-US"/>
        </w:rPr>
      </w:pPr>
      <w:r w:rsidRPr="00E16990">
        <w:rPr>
          <w:lang w:eastAsia="en-US"/>
        </w:rPr>
        <w:t>The</w:t>
      </w:r>
      <w:r w:rsidR="00A20017" w:rsidRPr="00E16990">
        <w:rPr>
          <w:lang w:eastAsia="en-US"/>
        </w:rPr>
        <w:t xml:space="preserve"> monitoring </w:t>
      </w:r>
      <w:r w:rsidRPr="00E16990">
        <w:rPr>
          <w:lang w:eastAsia="en-US"/>
        </w:rPr>
        <w:t xml:space="preserve">levels </w:t>
      </w:r>
      <w:r w:rsidR="00A20017" w:rsidRPr="00E16990">
        <w:rPr>
          <w:lang w:eastAsia="en-US"/>
        </w:rPr>
        <w:t xml:space="preserve">suggested above </w:t>
      </w:r>
      <w:r w:rsidRPr="00E16990">
        <w:rPr>
          <w:lang w:eastAsia="en-US"/>
        </w:rPr>
        <w:t xml:space="preserve">do not </w:t>
      </w:r>
      <w:r w:rsidR="00695E5B" w:rsidRPr="00E16990">
        <w:rPr>
          <w:lang w:eastAsia="en-US"/>
        </w:rPr>
        <w:t xml:space="preserve">fully </w:t>
      </w:r>
      <w:r w:rsidRPr="00E16990">
        <w:rPr>
          <w:lang w:eastAsia="en-US"/>
        </w:rPr>
        <w:t xml:space="preserve">correspond </w:t>
      </w:r>
      <w:r w:rsidR="00695E5B" w:rsidRPr="00E16990">
        <w:rPr>
          <w:lang w:eastAsia="en-US"/>
        </w:rPr>
        <w:t>to</w:t>
      </w:r>
      <w:r w:rsidR="00BE36B9" w:rsidRPr="00E16990">
        <w:rPr>
          <w:lang w:eastAsia="en-US"/>
        </w:rPr>
        <w:t xml:space="preserve"> the ICP Forests Level I and II; while </w:t>
      </w:r>
      <w:r w:rsidR="00695E5B" w:rsidRPr="00E16990">
        <w:rPr>
          <w:lang w:eastAsia="en-US"/>
        </w:rPr>
        <w:t xml:space="preserve">ICP Forests </w:t>
      </w:r>
      <w:r w:rsidR="00BE36B9" w:rsidRPr="00E16990">
        <w:rPr>
          <w:lang w:eastAsia="en-US"/>
        </w:rPr>
        <w:t xml:space="preserve">Level I would resemble the above-mentioned approach </w:t>
      </w:r>
      <w:r w:rsidR="00A11C0E" w:rsidRPr="00E16990">
        <w:rPr>
          <w:lang w:eastAsia="en-US"/>
        </w:rPr>
        <w:t xml:space="preserve">oriented towards LUCAS Soil, Level II for forest soils </w:t>
      </w:r>
      <w:r w:rsidR="00BE4B13" w:rsidRPr="00E16990">
        <w:rPr>
          <w:lang w:eastAsia="en-US"/>
        </w:rPr>
        <w:t>involves</w:t>
      </w:r>
      <w:r w:rsidR="00A84F1C" w:rsidRPr="00E16990">
        <w:rPr>
          <w:lang w:eastAsia="en-US"/>
        </w:rPr>
        <w:t xml:space="preserve"> intensive monitoring of forest sites</w:t>
      </w:r>
      <w:r w:rsidR="00BE4B13" w:rsidRPr="00E16990">
        <w:rPr>
          <w:lang w:eastAsia="en-US"/>
        </w:rPr>
        <w:t>/forest stands</w:t>
      </w:r>
      <w:r w:rsidR="00A84F1C" w:rsidRPr="00E16990">
        <w:rPr>
          <w:lang w:eastAsia="en-US"/>
        </w:rPr>
        <w:t xml:space="preserve"> with representative local sampling regimes (ecosystem monitoring) which are able to develop site-related element balances</w:t>
      </w:r>
      <w:r w:rsidR="00695E5B" w:rsidRPr="00E16990">
        <w:rPr>
          <w:lang w:eastAsia="en-US"/>
        </w:rPr>
        <w:t>.</w:t>
      </w:r>
      <w:r w:rsidR="00BE36B9" w:rsidRPr="00E16990">
        <w:rPr>
          <w:lang w:eastAsia="en-US"/>
        </w:rPr>
        <w:t xml:space="preserve"> </w:t>
      </w:r>
    </w:p>
    <w:p w14:paraId="501644B9" w14:textId="77777777" w:rsidR="00677B0A" w:rsidRPr="00E16990" w:rsidRDefault="00677B0A" w:rsidP="00677B0A">
      <w:pPr>
        <w:rPr>
          <w:lang w:eastAsia="en-US"/>
        </w:rPr>
      </w:pPr>
    </w:p>
    <w:p w14:paraId="3E1E8C9E" w14:textId="01C6D110" w:rsidR="00B43E18" w:rsidRPr="00E16990" w:rsidRDefault="007641DB" w:rsidP="00677B0A">
      <w:pPr>
        <w:rPr>
          <w:lang w:eastAsia="en-US"/>
        </w:rPr>
      </w:pPr>
      <w:r w:rsidRPr="00E16990">
        <w:rPr>
          <w:lang w:eastAsia="en-US"/>
        </w:rPr>
        <w:t xml:space="preserve">Some soil threats such as compaction and erosion, involve </w:t>
      </w:r>
      <w:r w:rsidRPr="00E16990">
        <w:rPr>
          <w:b/>
          <w:bCs/>
          <w:lang w:eastAsia="en-US"/>
        </w:rPr>
        <w:t>modelling</w:t>
      </w:r>
      <w:r w:rsidRPr="00E16990">
        <w:rPr>
          <w:lang w:eastAsia="en-US"/>
        </w:rPr>
        <w:t xml:space="preserve">, </w:t>
      </w:r>
      <w:r w:rsidR="00A20017" w:rsidRPr="00E16990">
        <w:rPr>
          <w:lang w:eastAsia="en-US"/>
        </w:rPr>
        <w:t xml:space="preserve">as well as other monitoring techniques such as </w:t>
      </w:r>
      <w:r w:rsidR="00A20017" w:rsidRPr="00E16990">
        <w:rPr>
          <w:b/>
          <w:bCs/>
          <w:lang w:eastAsia="en-US"/>
        </w:rPr>
        <w:t>remote sensing</w:t>
      </w:r>
      <w:r w:rsidR="00A20017" w:rsidRPr="00E16990">
        <w:rPr>
          <w:lang w:eastAsia="en-US"/>
        </w:rPr>
        <w:t>, but</w:t>
      </w:r>
      <w:r w:rsidRPr="00E16990">
        <w:rPr>
          <w:lang w:eastAsia="en-US"/>
        </w:rPr>
        <w:t xml:space="preserve"> also more intensive sampling schemes to calibrate and validate </w:t>
      </w:r>
      <w:r w:rsidR="00CE2B04" w:rsidRPr="00E16990">
        <w:rPr>
          <w:lang w:eastAsia="en-US"/>
        </w:rPr>
        <w:t xml:space="preserve">the models </w:t>
      </w:r>
      <w:r w:rsidR="00A20017" w:rsidRPr="00E16990">
        <w:rPr>
          <w:lang w:eastAsia="en-US"/>
        </w:rPr>
        <w:t xml:space="preserve">while considering </w:t>
      </w:r>
      <w:r w:rsidR="00CE2B04" w:rsidRPr="00E16990">
        <w:rPr>
          <w:lang w:eastAsia="en-US"/>
        </w:rPr>
        <w:t>current land use and climate</w:t>
      </w:r>
      <w:r w:rsidR="006F697C" w:rsidRPr="00E16990">
        <w:rPr>
          <w:lang w:eastAsia="en-US"/>
        </w:rPr>
        <w:t xml:space="preserve"> (for </w:t>
      </w:r>
      <w:r w:rsidR="006F697C" w:rsidRPr="00C410A7">
        <w:rPr>
          <w:lang w:eastAsia="en-US"/>
        </w:rPr>
        <w:t xml:space="preserve">erosion, see </w:t>
      </w:r>
      <w:r w:rsidR="00C410A7" w:rsidRPr="00C410A7">
        <w:rPr>
          <w:lang w:eastAsia="en-US"/>
        </w:rPr>
        <w:fldChar w:fldCharType="begin"/>
      </w:r>
      <w:r w:rsidR="00C410A7" w:rsidRPr="00C410A7">
        <w:rPr>
          <w:lang w:eastAsia="en-US"/>
        </w:rPr>
        <w:instrText xml:space="preserve"> REF _Ref64641708 \h </w:instrText>
      </w:r>
      <w:r w:rsidR="00C410A7">
        <w:rPr>
          <w:lang w:eastAsia="en-US"/>
        </w:rPr>
        <w:instrText xml:space="preserve"> \* MERGEFORMAT </w:instrText>
      </w:r>
      <w:r w:rsidR="00C410A7" w:rsidRPr="00C410A7">
        <w:rPr>
          <w:lang w:eastAsia="en-US"/>
        </w:rPr>
      </w:r>
      <w:r w:rsidR="00C410A7" w:rsidRPr="00C410A7">
        <w:rPr>
          <w:lang w:eastAsia="en-US"/>
        </w:rPr>
        <w:fldChar w:fldCharType="separate"/>
      </w:r>
      <w:r w:rsidR="0067767C">
        <w:t xml:space="preserve">Table </w:t>
      </w:r>
      <w:r w:rsidR="0067767C">
        <w:rPr>
          <w:noProof/>
        </w:rPr>
        <w:t>7</w:t>
      </w:r>
      <w:r w:rsidR="0067767C">
        <w:rPr>
          <w:noProof/>
        </w:rPr>
        <w:noBreakHyphen/>
        <w:t>5</w:t>
      </w:r>
      <w:r w:rsidR="00C410A7" w:rsidRPr="00C410A7">
        <w:rPr>
          <w:lang w:eastAsia="en-US"/>
        </w:rPr>
        <w:fldChar w:fldCharType="end"/>
      </w:r>
      <w:r w:rsidR="006F697C" w:rsidRPr="00E16990">
        <w:rPr>
          <w:lang w:eastAsia="en-US"/>
        </w:rPr>
        <w:t>, for compact</w:t>
      </w:r>
      <w:r w:rsidR="001C2335" w:rsidRPr="00E16990">
        <w:rPr>
          <w:lang w:eastAsia="en-US"/>
        </w:rPr>
        <w:t>io</w:t>
      </w:r>
      <w:r w:rsidR="006F697C" w:rsidRPr="00E16990">
        <w:rPr>
          <w:lang w:eastAsia="en-US"/>
        </w:rPr>
        <w:t xml:space="preserve">n </w:t>
      </w:r>
      <w:r w:rsidR="001C2335" w:rsidRPr="00E16990">
        <w:rPr>
          <w:lang w:eastAsia="en-US"/>
        </w:rPr>
        <w:t xml:space="preserve">see </w:t>
      </w:r>
      <w:r w:rsidR="00C410A7">
        <w:rPr>
          <w:highlight w:val="yellow"/>
          <w:lang w:eastAsia="en-US"/>
        </w:rPr>
        <w:fldChar w:fldCharType="begin"/>
      </w:r>
      <w:r w:rsidR="00C410A7">
        <w:rPr>
          <w:lang w:eastAsia="en-US"/>
        </w:rPr>
        <w:instrText xml:space="preserve"> REF _Ref64648639 \h </w:instrText>
      </w:r>
      <w:r w:rsidR="00C410A7">
        <w:rPr>
          <w:highlight w:val="yellow"/>
          <w:lang w:eastAsia="en-US"/>
        </w:rPr>
      </w:r>
      <w:r w:rsidR="00C410A7">
        <w:rPr>
          <w:highlight w:val="yellow"/>
          <w:lang w:eastAsia="en-US"/>
        </w:rPr>
        <w:fldChar w:fldCharType="separate"/>
      </w:r>
      <w:r w:rsidR="0067767C">
        <w:t xml:space="preserve">Table </w:t>
      </w:r>
      <w:r w:rsidR="0067767C">
        <w:rPr>
          <w:noProof/>
        </w:rPr>
        <w:t>8</w:t>
      </w:r>
      <w:r w:rsidR="0067767C">
        <w:noBreakHyphen/>
      </w:r>
      <w:r w:rsidR="0067767C">
        <w:rPr>
          <w:noProof/>
        </w:rPr>
        <w:t>3</w:t>
      </w:r>
      <w:r w:rsidR="00C410A7">
        <w:rPr>
          <w:highlight w:val="yellow"/>
          <w:lang w:eastAsia="en-US"/>
        </w:rPr>
        <w:fldChar w:fldCharType="end"/>
      </w:r>
      <w:r w:rsidR="001F112A" w:rsidRPr="00E16990">
        <w:rPr>
          <w:lang w:eastAsia="en-US"/>
        </w:rPr>
        <w:t>)</w:t>
      </w:r>
      <w:r w:rsidR="00CE2B04" w:rsidRPr="00E16990">
        <w:rPr>
          <w:lang w:eastAsia="en-US"/>
        </w:rPr>
        <w:t xml:space="preserve">. Also, </w:t>
      </w:r>
      <w:r w:rsidR="00CE2B04" w:rsidRPr="00E16990">
        <w:rPr>
          <w:b/>
          <w:bCs/>
          <w:lang w:eastAsia="en-US"/>
        </w:rPr>
        <w:t>soil biodiversity monitoring and organic pollutant monitoring</w:t>
      </w:r>
      <w:r w:rsidR="00CE2B04" w:rsidRPr="00E16990">
        <w:rPr>
          <w:lang w:eastAsia="en-US"/>
        </w:rPr>
        <w:t xml:space="preserve"> have higher requirements to sampling</w:t>
      </w:r>
      <w:r w:rsidR="00A20017" w:rsidRPr="00E16990">
        <w:rPr>
          <w:lang w:eastAsia="en-US"/>
        </w:rPr>
        <w:t>, transport</w:t>
      </w:r>
      <w:r w:rsidR="00CC259E" w:rsidRPr="00E16990">
        <w:rPr>
          <w:lang w:eastAsia="en-US"/>
        </w:rPr>
        <w:t>, storage</w:t>
      </w:r>
      <w:r w:rsidR="00CE2B04" w:rsidRPr="00E16990">
        <w:rPr>
          <w:lang w:eastAsia="en-US"/>
        </w:rPr>
        <w:t xml:space="preserve"> and analysis – difficult to apply at </w:t>
      </w:r>
      <w:r w:rsidR="00CC259E" w:rsidRPr="00E16990">
        <w:rPr>
          <w:lang w:eastAsia="en-US"/>
        </w:rPr>
        <w:t xml:space="preserve">high </w:t>
      </w:r>
      <w:r w:rsidR="00CE2B04" w:rsidRPr="00E16990">
        <w:rPr>
          <w:lang w:eastAsia="en-US"/>
        </w:rPr>
        <w:t>sampling densities</w:t>
      </w:r>
      <w:r w:rsidR="00CC259E" w:rsidRPr="00E16990">
        <w:rPr>
          <w:lang w:eastAsia="en-US"/>
        </w:rPr>
        <w:t xml:space="preserve"> such as with Level I</w:t>
      </w:r>
      <w:r w:rsidR="001F112A" w:rsidRPr="00E16990">
        <w:rPr>
          <w:lang w:eastAsia="en-US"/>
        </w:rPr>
        <w:t xml:space="preserve"> (reference towards monitoring levels for soil </w:t>
      </w:r>
      <w:r w:rsidR="001F112A" w:rsidRPr="00C410A7">
        <w:rPr>
          <w:lang w:eastAsia="en-US"/>
        </w:rPr>
        <w:t xml:space="preserve">biodiversity, see section </w:t>
      </w:r>
      <w:r w:rsidR="00C410A7" w:rsidRPr="00C410A7">
        <w:rPr>
          <w:lang w:eastAsia="en-US"/>
        </w:rPr>
        <w:fldChar w:fldCharType="begin"/>
      </w:r>
      <w:r w:rsidR="00C410A7" w:rsidRPr="00C410A7">
        <w:rPr>
          <w:lang w:eastAsia="en-US"/>
        </w:rPr>
        <w:instrText xml:space="preserve"> REF _Ref83995666 \r \h  \* MERGEFORMAT </w:instrText>
      </w:r>
      <w:r w:rsidR="00C410A7" w:rsidRPr="00C410A7">
        <w:rPr>
          <w:lang w:eastAsia="en-US"/>
        </w:rPr>
      </w:r>
      <w:r w:rsidR="00C410A7" w:rsidRPr="00C410A7">
        <w:rPr>
          <w:lang w:eastAsia="en-US"/>
        </w:rPr>
        <w:fldChar w:fldCharType="separate"/>
      </w:r>
      <w:r w:rsidR="0067767C">
        <w:rPr>
          <w:lang w:eastAsia="en-US"/>
        </w:rPr>
        <w:t>6.2</w:t>
      </w:r>
      <w:r w:rsidR="00C410A7" w:rsidRPr="00C410A7">
        <w:rPr>
          <w:lang w:eastAsia="en-US"/>
        </w:rPr>
        <w:fldChar w:fldCharType="end"/>
      </w:r>
      <w:r w:rsidR="001F112A" w:rsidRPr="00C410A7">
        <w:rPr>
          <w:lang w:eastAsia="en-US"/>
        </w:rPr>
        <w:t>)</w:t>
      </w:r>
      <w:r w:rsidR="00E977EF" w:rsidRPr="00C410A7">
        <w:rPr>
          <w:lang w:eastAsia="en-US"/>
        </w:rPr>
        <w:t xml:space="preserve">. </w:t>
      </w:r>
      <w:r w:rsidR="001630B0" w:rsidRPr="00C410A7">
        <w:rPr>
          <w:lang w:eastAsia="en-US"/>
        </w:rPr>
        <w:t>Thus</w:t>
      </w:r>
      <w:r w:rsidR="00E977EF" w:rsidRPr="00E16990">
        <w:rPr>
          <w:lang w:eastAsia="en-US"/>
        </w:rPr>
        <w:t xml:space="preserve">, different intensity levels </w:t>
      </w:r>
      <w:r w:rsidR="00CC259E" w:rsidRPr="00E16990">
        <w:rPr>
          <w:lang w:eastAsia="en-US"/>
        </w:rPr>
        <w:t>of</w:t>
      </w:r>
      <w:r w:rsidR="00E977EF" w:rsidRPr="00E16990">
        <w:rPr>
          <w:lang w:eastAsia="en-US"/>
        </w:rPr>
        <w:t xml:space="preserve"> monitoring need to be possible – designed </w:t>
      </w:r>
      <w:r w:rsidR="00E16990" w:rsidRPr="00E16990">
        <w:rPr>
          <w:lang w:eastAsia="en-US"/>
        </w:rPr>
        <w:t>in a way</w:t>
      </w:r>
      <w:r w:rsidR="00E977EF" w:rsidRPr="00E16990">
        <w:rPr>
          <w:lang w:eastAsia="en-US"/>
        </w:rPr>
        <w:t xml:space="preserve"> that </w:t>
      </w:r>
      <w:r w:rsidR="005125E1" w:rsidRPr="00E16990">
        <w:rPr>
          <w:lang w:eastAsia="en-US"/>
        </w:rPr>
        <w:t xml:space="preserve">data integration </w:t>
      </w:r>
      <w:r w:rsidR="000346C1" w:rsidRPr="00E16990">
        <w:rPr>
          <w:lang w:eastAsia="en-US"/>
        </w:rPr>
        <w:t>like</w:t>
      </w:r>
      <w:r w:rsidR="005125E1" w:rsidRPr="00E16990">
        <w:rPr>
          <w:lang w:eastAsia="en-US"/>
        </w:rPr>
        <w:t xml:space="preserve"> a </w:t>
      </w:r>
      <w:r w:rsidR="00B43E18" w:rsidRPr="00E16990">
        <w:rPr>
          <w:b/>
          <w:bCs/>
          <w:lang w:eastAsia="en-US"/>
        </w:rPr>
        <w:t>“nested” system</w:t>
      </w:r>
      <w:r w:rsidR="00B43E18" w:rsidRPr="00E16990">
        <w:rPr>
          <w:lang w:eastAsia="en-US"/>
        </w:rPr>
        <w:t xml:space="preserve"> </w:t>
      </w:r>
      <w:r w:rsidR="005125E1" w:rsidRPr="00E16990">
        <w:rPr>
          <w:lang w:eastAsia="en-US"/>
        </w:rPr>
        <w:t>approach becomes possible</w:t>
      </w:r>
      <w:r w:rsidR="00B43E18" w:rsidRPr="00E16990">
        <w:rPr>
          <w:lang w:eastAsia="en-US"/>
        </w:rPr>
        <w:t>. In this report, the monitoring parameters for monitoring Tiers are elaborated for the soil threats compaction and erosion.</w:t>
      </w:r>
    </w:p>
    <w:p w14:paraId="274F2D46" w14:textId="77777777" w:rsidR="00677B0A" w:rsidRPr="00E16990" w:rsidRDefault="00677B0A" w:rsidP="00677B0A">
      <w:pPr>
        <w:rPr>
          <w:lang w:eastAsia="en-US"/>
        </w:rPr>
      </w:pPr>
    </w:p>
    <w:p w14:paraId="5E26A796" w14:textId="49AD4B40" w:rsidR="003E4B5B" w:rsidRPr="00E16990" w:rsidRDefault="003E4B5B" w:rsidP="00677B0A">
      <w:pPr>
        <w:rPr>
          <w:lang w:eastAsia="en-US"/>
        </w:rPr>
      </w:pPr>
      <w:r w:rsidRPr="00E16990">
        <w:rPr>
          <w:lang w:eastAsia="en-US"/>
        </w:rPr>
        <w:t xml:space="preserve">Once the necessary indicators </w:t>
      </w:r>
      <w:r w:rsidR="00E414A0" w:rsidRPr="00E16990">
        <w:rPr>
          <w:lang w:eastAsia="en-US"/>
        </w:rPr>
        <w:t>as well as</w:t>
      </w:r>
      <w:r w:rsidRPr="00E16990">
        <w:rPr>
          <w:lang w:eastAsia="en-US"/>
        </w:rPr>
        <w:t xml:space="preserve"> the corresponding data needs</w:t>
      </w:r>
      <w:r w:rsidR="00E414A0" w:rsidRPr="00E16990">
        <w:rPr>
          <w:lang w:eastAsia="en-US"/>
        </w:rPr>
        <w:t xml:space="preserve"> are </w:t>
      </w:r>
      <w:r w:rsidR="006F7391" w:rsidRPr="00E16990">
        <w:rPr>
          <w:lang w:eastAsia="en-US"/>
        </w:rPr>
        <w:t xml:space="preserve">agreed and </w:t>
      </w:r>
      <w:r w:rsidR="00E414A0" w:rsidRPr="00E16990">
        <w:rPr>
          <w:lang w:eastAsia="en-US"/>
        </w:rPr>
        <w:t>defined</w:t>
      </w:r>
      <w:r w:rsidR="00D61935" w:rsidRPr="00E16990">
        <w:rPr>
          <w:lang w:eastAsia="en-US"/>
        </w:rPr>
        <w:t xml:space="preserve"> (this report offers proposals)</w:t>
      </w:r>
      <w:r w:rsidRPr="00E16990">
        <w:rPr>
          <w:lang w:eastAsia="en-US"/>
        </w:rPr>
        <w:t xml:space="preserve">, </w:t>
      </w:r>
      <w:r w:rsidR="008037BD" w:rsidRPr="00E16990">
        <w:rPr>
          <w:lang w:eastAsia="en-US"/>
        </w:rPr>
        <w:t>an integrated monitoring can be designed</w:t>
      </w:r>
      <w:r w:rsidR="00E414A0" w:rsidRPr="00E16990">
        <w:rPr>
          <w:lang w:eastAsia="en-US"/>
        </w:rPr>
        <w:t xml:space="preserve"> for the EU and </w:t>
      </w:r>
      <w:proofErr w:type="gramStart"/>
      <w:r w:rsidR="00E414A0" w:rsidRPr="00E16990">
        <w:rPr>
          <w:lang w:eastAsia="en-US"/>
        </w:rPr>
        <w:t>its</w:t>
      </w:r>
      <w:proofErr w:type="gramEnd"/>
      <w:r w:rsidR="00E414A0" w:rsidRPr="00E16990">
        <w:rPr>
          <w:lang w:eastAsia="en-US"/>
        </w:rPr>
        <w:t xml:space="preserve"> </w:t>
      </w:r>
      <w:r w:rsidR="00E16990" w:rsidRPr="00E16990">
        <w:rPr>
          <w:lang w:eastAsia="en-US"/>
        </w:rPr>
        <w:t>M</w:t>
      </w:r>
      <w:r w:rsidR="00E414A0" w:rsidRPr="00E16990">
        <w:rPr>
          <w:lang w:eastAsia="en-US"/>
        </w:rPr>
        <w:t xml:space="preserve">ember </w:t>
      </w:r>
      <w:r w:rsidR="00E16990" w:rsidRPr="00E16990">
        <w:rPr>
          <w:lang w:eastAsia="en-US"/>
        </w:rPr>
        <w:t>S</w:t>
      </w:r>
      <w:r w:rsidR="00E414A0" w:rsidRPr="00E16990">
        <w:rPr>
          <w:lang w:eastAsia="en-US"/>
        </w:rPr>
        <w:t xml:space="preserve">tates (and </w:t>
      </w:r>
      <w:r w:rsidR="00E16990" w:rsidRPr="00E16990">
        <w:rPr>
          <w:lang w:eastAsia="en-US"/>
        </w:rPr>
        <w:t>neighbours</w:t>
      </w:r>
      <w:r w:rsidR="00E414A0" w:rsidRPr="00E16990">
        <w:rPr>
          <w:lang w:eastAsia="en-US"/>
        </w:rPr>
        <w:t>)</w:t>
      </w:r>
      <w:r w:rsidR="008037BD" w:rsidRPr="00E16990">
        <w:rPr>
          <w:lang w:eastAsia="en-US"/>
        </w:rPr>
        <w:t xml:space="preserve">, considering the conditions of LUCAS Soil combined with each national monitoring system. </w:t>
      </w:r>
      <w:r w:rsidR="00E820C3" w:rsidRPr="00E16990">
        <w:rPr>
          <w:lang w:eastAsia="en-US"/>
        </w:rPr>
        <w:t xml:space="preserve">Methodical guidelines are needed for sampling and analysis, as well as for the </w:t>
      </w:r>
      <w:r w:rsidR="00E414A0" w:rsidRPr="00E16990">
        <w:rPr>
          <w:lang w:eastAsia="en-US"/>
        </w:rPr>
        <w:t>necessary data integration steps</w:t>
      </w:r>
      <w:r w:rsidR="00343314" w:rsidRPr="00E16990">
        <w:rPr>
          <w:lang w:eastAsia="en-US"/>
        </w:rPr>
        <w:t xml:space="preserve"> (to be decided: at indicator or parameter level, or both)</w:t>
      </w:r>
      <w:r w:rsidR="00B51F05" w:rsidRPr="00E16990">
        <w:rPr>
          <w:lang w:eastAsia="en-US"/>
        </w:rPr>
        <w:t xml:space="preserve">. While there will be a mosaic of solutions, the resulting </w:t>
      </w:r>
      <w:r w:rsidR="00343314" w:rsidRPr="00E16990">
        <w:rPr>
          <w:lang w:eastAsia="en-US"/>
        </w:rPr>
        <w:t xml:space="preserve">EU-wide </w:t>
      </w:r>
      <w:r w:rsidR="00B51F05" w:rsidRPr="00E16990">
        <w:rPr>
          <w:lang w:eastAsia="en-US"/>
        </w:rPr>
        <w:t xml:space="preserve">data base for indicators must be homogenous enough so that the national and EU-wide </w:t>
      </w:r>
      <w:r w:rsidR="00343314" w:rsidRPr="00E16990">
        <w:rPr>
          <w:lang w:eastAsia="en-US"/>
        </w:rPr>
        <w:t>results supplement each other</w:t>
      </w:r>
      <w:r w:rsidR="00D25A1F" w:rsidRPr="00E16990">
        <w:rPr>
          <w:lang w:eastAsia="en-US"/>
        </w:rPr>
        <w:t>, are</w:t>
      </w:r>
      <w:r w:rsidR="00B51F05" w:rsidRPr="00E16990">
        <w:rPr>
          <w:lang w:eastAsia="en-US"/>
        </w:rPr>
        <w:t xml:space="preserve"> </w:t>
      </w:r>
      <w:r w:rsidR="00D25A1F" w:rsidRPr="00E16990">
        <w:rPr>
          <w:lang w:eastAsia="en-US"/>
        </w:rPr>
        <w:t xml:space="preserve">quality assured, </w:t>
      </w:r>
      <w:r w:rsidR="00B51F05" w:rsidRPr="00E16990">
        <w:rPr>
          <w:lang w:eastAsia="en-US"/>
        </w:rPr>
        <w:t>comparable</w:t>
      </w:r>
      <w:r w:rsidR="00D25A1F" w:rsidRPr="00E16990">
        <w:rPr>
          <w:lang w:eastAsia="en-US"/>
        </w:rPr>
        <w:t>, and uncertainties determined</w:t>
      </w:r>
      <w:r w:rsidR="00B51F05" w:rsidRPr="00E16990">
        <w:rPr>
          <w:lang w:eastAsia="en-US"/>
        </w:rPr>
        <w:t>.</w:t>
      </w:r>
    </w:p>
    <w:p w14:paraId="447B4C82" w14:textId="77777777" w:rsidR="003E4B5B" w:rsidRPr="00E16990" w:rsidRDefault="003E4B5B" w:rsidP="00677B0A">
      <w:pPr>
        <w:rPr>
          <w:lang w:eastAsia="en-US"/>
        </w:rPr>
      </w:pPr>
    </w:p>
    <w:p w14:paraId="2C9CF73C" w14:textId="77777777" w:rsidR="00B43E18" w:rsidRPr="00E16990" w:rsidRDefault="00B43E18" w:rsidP="00B32C8F">
      <w:pPr>
        <w:pStyle w:val="berschrift2"/>
        <w:tabs>
          <w:tab w:val="clear" w:pos="567"/>
        </w:tabs>
        <w:ind w:left="709" w:hanging="709"/>
      </w:pPr>
      <w:bookmarkStart w:id="438" w:name="_Toc83997413"/>
      <w:r w:rsidRPr="00E16990">
        <w:t>Overview of indicators and thresholds</w:t>
      </w:r>
      <w:bookmarkEnd w:id="438"/>
    </w:p>
    <w:p w14:paraId="5248ED3E" w14:textId="01D02AE7" w:rsidR="00E16990" w:rsidRDefault="00C410A7" w:rsidP="0026149D">
      <w:pPr>
        <w:spacing w:before="120"/>
        <w:rPr>
          <w:rFonts w:asciiTheme="majorHAnsi" w:hAnsiTheme="majorHAnsi" w:cstheme="majorHAnsi"/>
          <w:color w:val="000000"/>
          <w:szCs w:val="22"/>
          <w:lang w:eastAsia="en-US"/>
        </w:rPr>
      </w:pPr>
      <w:r>
        <w:rPr>
          <w:rFonts w:asciiTheme="majorHAnsi" w:hAnsiTheme="majorHAnsi" w:cstheme="majorHAnsi"/>
          <w:color w:val="000000"/>
          <w:szCs w:val="22"/>
          <w:highlight w:val="yellow"/>
          <w:lang w:eastAsia="en-US"/>
        </w:rPr>
        <w:fldChar w:fldCharType="begin"/>
      </w:r>
      <w:r>
        <w:rPr>
          <w:rFonts w:asciiTheme="majorHAnsi" w:hAnsiTheme="majorHAnsi" w:cstheme="majorHAnsi"/>
          <w:color w:val="000000"/>
          <w:szCs w:val="22"/>
          <w:lang w:eastAsia="en-US"/>
        </w:rPr>
        <w:instrText xml:space="preserve"> REF _Ref83995694 \h </w:instrText>
      </w:r>
      <w:r>
        <w:rPr>
          <w:rFonts w:asciiTheme="majorHAnsi" w:hAnsiTheme="majorHAnsi" w:cstheme="majorHAnsi"/>
          <w:color w:val="000000"/>
          <w:szCs w:val="22"/>
          <w:highlight w:val="yellow"/>
          <w:lang w:eastAsia="en-US"/>
        </w:rPr>
      </w:r>
      <w:r>
        <w:rPr>
          <w:rFonts w:asciiTheme="majorHAnsi" w:hAnsiTheme="majorHAnsi" w:cstheme="majorHAnsi"/>
          <w:color w:val="000000"/>
          <w:szCs w:val="22"/>
          <w:highlight w:val="yellow"/>
          <w:lang w:eastAsia="en-US"/>
        </w:rPr>
        <w:fldChar w:fldCharType="separate"/>
      </w:r>
      <w:r w:rsidR="0067767C">
        <w:t xml:space="preserve">Table </w:t>
      </w:r>
      <w:r w:rsidR="0067767C">
        <w:rPr>
          <w:noProof/>
        </w:rPr>
        <w:t>10</w:t>
      </w:r>
      <w:r w:rsidR="0067767C">
        <w:noBreakHyphen/>
      </w:r>
      <w:r w:rsidR="0067767C">
        <w:rPr>
          <w:noProof/>
        </w:rPr>
        <w:t>2</w:t>
      </w:r>
      <w:r>
        <w:rPr>
          <w:rFonts w:asciiTheme="majorHAnsi" w:hAnsiTheme="majorHAnsi" w:cstheme="majorHAnsi"/>
          <w:color w:val="000000"/>
          <w:szCs w:val="22"/>
          <w:highlight w:val="yellow"/>
          <w:lang w:eastAsia="en-US"/>
        </w:rPr>
        <w:fldChar w:fldCharType="end"/>
      </w:r>
      <w:r>
        <w:rPr>
          <w:rFonts w:asciiTheme="majorHAnsi" w:hAnsiTheme="majorHAnsi" w:cstheme="majorHAnsi"/>
          <w:color w:val="000000"/>
          <w:szCs w:val="22"/>
          <w:lang w:eastAsia="en-US"/>
        </w:rPr>
        <w:t xml:space="preserve"> </w:t>
      </w:r>
      <w:r w:rsidR="00B43E18" w:rsidRPr="00E16990">
        <w:rPr>
          <w:rFonts w:asciiTheme="majorHAnsi" w:hAnsiTheme="majorHAnsi" w:cstheme="majorHAnsi"/>
          <w:color w:val="000000"/>
          <w:szCs w:val="22"/>
          <w:lang w:eastAsia="en-US"/>
        </w:rPr>
        <w:t xml:space="preserve">provides an overview of </w:t>
      </w:r>
      <w:r w:rsidR="00B43E18" w:rsidRPr="00C410A7">
        <w:rPr>
          <w:rFonts w:asciiTheme="majorHAnsi" w:hAnsiTheme="majorHAnsi" w:cstheme="majorHAnsi"/>
          <w:color w:val="000000"/>
          <w:szCs w:val="22"/>
          <w:lang w:eastAsia="en-US"/>
        </w:rPr>
        <w:t xml:space="preserve">the findings of this report. </w:t>
      </w:r>
      <w:r w:rsidR="009F7FC0" w:rsidRPr="00C410A7">
        <w:rPr>
          <w:rFonts w:asciiTheme="majorHAnsi" w:hAnsiTheme="majorHAnsi" w:cstheme="majorHAnsi"/>
          <w:color w:val="000000"/>
          <w:szCs w:val="22"/>
          <w:lang w:eastAsia="en-US"/>
        </w:rPr>
        <w:t xml:space="preserve">All </w:t>
      </w:r>
      <w:r w:rsidR="00673374" w:rsidRPr="00C410A7">
        <w:rPr>
          <w:rFonts w:asciiTheme="majorHAnsi" w:hAnsiTheme="majorHAnsi" w:cstheme="majorHAnsi"/>
          <w:color w:val="000000"/>
          <w:szCs w:val="22"/>
          <w:lang w:eastAsia="en-US"/>
        </w:rPr>
        <w:t xml:space="preserve">selected </w:t>
      </w:r>
      <w:r w:rsidR="009F7FC0" w:rsidRPr="00C410A7">
        <w:rPr>
          <w:rFonts w:asciiTheme="majorHAnsi" w:hAnsiTheme="majorHAnsi" w:cstheme="majorHAnsi"/>
          <w:color w:val="000000"/>
          <w:szCs w:val="22"/>
          <w:lang w:eastAsia="en-US"/>
        </w:rPr>
        <w:t xml:space="preserve">indicators </w:t>
      </w:r>
      <w:r w:rsidR="00673374" w:rsidRPr="00C410A7">
        <w:rPr>
          <w:rFonts w:asciiTheme="majorHAnsi" w:hAnsiTheme="majorHAnsi" w:cstheme="majorHAnsi"/>
          <w:color w:val="000000"/>
          <w:szCs w:val="22"/>
          <w:lang w:eastAsia="en-US"/>
        </w:rPr>
        <w:t>respond to the policy needs as described in this report</w:t>
      </w:r>
      <w:r w:rsidR="00E16990" w:rsidRPr="00C410A7">
        <w:rPr>
          <w:rFonts w:asciiTheme="majorHAnsi" w:hAnsiTheme="majorHAnsi" w:cstheme="majorHAnsi"/>
          <w:color w:val="000000"/>
          <w:szCs w:val="22"/>
          <w:lang w:eastAsia="en-US"/>
        </w:rPr>
        <w:t xml:space="preserve"> (see also </w:t>
      </w:r>
      <w:r w:rsidRPr="00C410A7">
        <w:rPr>
          <w:rFonts w:asciiTheme="majorHAnsi" w:hAnsiTheme="majorHAnsi" w:cstheme="majorHAnsi"/>
          <w:color w:val="000000"/>
          <w:szCs w:val="22"/>
          <w:lang w:eastAsia="en-US"/>
        </w:rPr>
        <w:fldChar w:fldCharType="begin"/>
      </w:r>
      <w:r w:rsidRPr="00C410A7">
        <w:rPr>
          <w:rFonts w:asciiTheme="majorHAnsi" w:hAnsiTheme="majorHAnsi" w:cstheme="majorHAnsi"/>
          <w:color w:val="000000"/>
          <w:szCs w:val="22"/>
          <w:lang w:eastAsia="en-US"/>
        </w:rPr>
        <w:instrText xml:space="preserve"> REF _Ref82785138 \h </w:instrText>
      </w:r>
      <w:r>
        <w:rPr>
          <w:rFonts w:asciiTheme="majorHAnsi" w:hAnsiTheme="majorHAnsi" w:cstheme="majorHAnsi"/>
          <w:color w:val="000000"/>
          <w:szCs w:val="22"/>
          <w:lang w:eastAsia="en-US"/>
        </w:rPr>
        <w:instrText xml:space="preserve"> \* MERGEFORMAT </w:instrText>
      </w:r>
      <w:r w:rsidRPr="00C410A7">
        <w:rPr>
          <w:rFonts w:asciiTheme="majorHAnsi" w:hAnsiTheme="majorHAnsi" w:cstheme="majorHAnsi"/>
          <w:color w:val="000000"/>
          <w:szCs w:val="22"/>
          <w:lang w:eastAsia="en-US"/>
        </w:rPr>
      </w:r>
      <w:r w:rsidRPr="00C410A7">
        <w:rPr>
          <w:rFonts w:asciiTheme="majorHAnsi" w:hAnsiTheme="majorHAnsi" w:cstheme="majorHAnsi"/>
          <w:color w:val="000000"/>
          <w:szCs w:val="22"/>
          <w:lang w:eastAsia="en-US"/>
        </w:rPr>
        <w:fldChar w:fldCharType="separate"/>
      </w:r>
      <w:r w:rsidR="0067767C" w:rsidRPr="006445E9">
        <w:t xml:space="preserve">Table </w:t>
      </w:r>
      <w:r w:rsidR="0067767C">
        <w:rPr>
          <w:noProof/>
        </w:rPr>
        <w:t>1</w:t>
      </w:r>
      <w:r w:rsidR="0067767C">
        <w:rPr>
          <w:noProof/>
        </w:rPr>
        <w:noBreakHyphen/>
        <w:t>6</w:t>
      </w:r>
      <w:r w:rsidRPr="00C410A7">
        <w:rPr>
          <w:rFonts w:asciiTheme="majorHAnsi" w:hAnsiTheme="majorHAnsi" w:cstheme="majorHAnsi"/>
          <w:color w:val="000000"/>
          <w:szCs w:val="22"/>
          <w:lang w:eastAsia="en-US"/>
        </w:rPr>
        <w:fldChar w:fldCharType="end"/>
      </w:r>
      <w:r w:rsidR="00E16990" w:rsidRPr="00C410A7">
        <w:rPr>
          <w:rFonts w:asciiTheme="majorHAnsi" w:hAnsiTheme="majorHAnsi" w:cstheme="majorHAnsi"/>
          <w:color w:val="000000"/>
          <w:szCs w:val="22"/>
          <w:lang w:eastAsia="en-US"/>
        </w:rPr>
        <w:t>)</w:t>
      </w:r>
      <w:r w:rsidR="00673374" w:rsidRPr="00C410A7">
        <w:rPr>
          <w:rFonts w:asciiTheme="majorHAnsi" w:hAnsiTheme="majorHAnsi" w:cstheme="majorHAnsi"/>
          <w:color w:val="000000"/>
          <w:szCs w:val="22"/>
          <w:lang w:eastAsia="en-US"/>
        </w:rPr>
        <w:t xml:space="preserve">. </w:t>
      </w:r>
      <w:r w:rsidR="00E16990" w:rsidRPr="00C410A7">
        <w:rPr>
          <w:rFonts w:asciiTheme="majorHAnsi" w:hAnsiTheme="majorHAnsi" w:cstheme="majorHAnsi"/>
          <w:color w:val="000000"/>
          <w:szCs w:val="22"/>
          <w:lang w:eastAsia="en-US"/>
        </w:rPr>
        <w:t>H</w:t>
      </w:r>
      <w:r w:rsidR="00B43E18" w:rsidRPr="00C410A7">
        <w:rPr>
          <w:rFonts w:asciiTheme="majorHAnsi" w:hAnsiTheme="majorHAnsi" w:cstheme="majorHAnsi"/>
          <w:color w:val="000000"/>
          <w:szCs w:val="22"/>
          <w:lang w:eastAsia="en-US"/>
        </w:rPr>
        <w:t>ealthy soil</w:t>
      </w:r>
      <w:r w:rsidR="00E16990" w:rsidRPr="00C410A7">
        <w:rPr>
          <w:rFonts w:asciiTheme="majorHAnsi" w:hAnsiTheme="majorHAnsi" w:cstheme="majorHAnsi"/>
          <w:color w:val="000000"/>
          <w:szCs w:val="22"/>
          <w:lang w:eastAsia="en-US"/>
        </w:rPr>
        <w:t xml:space="preserve">s are understood to have </w:t>
      </w:r>
      <w:r w:rsidR="00567329" w:rsidRPr="00C410A7">
        <w:rPr>
          <w:rFonts w:asciiTheme="majorHAnsi" w:hAnsiTheme="majorHAnsi" w:cstheme="majorHAnsi"/>
          <w:color w:val="000000"/>
          <w:szCs w:val="22"/>
          <w:lang w:eastAsia="en-US"/>
        </w:rPr>
        <w:t xml:space="preserve">full capacity of </w:t>
      </w:r>
      <w:r w:rsidR="00E16990" w:rsidRPr="00C410A7">
        <w:rPr>
          <w:rFonts w:asciiTheme="majorHAnsi" w:hAnsiTheme="majorHAnsi" w:cstheme="majorHAnsi"/>
          <w:color w:val="000000"/>
          <w:szCs w:val="22"/>
          <w:lang w:eastAsia="en-US"/>
        </w:rPr>
        <w:t>their</w:t>
      </w:r>
      <w:r w:rsidR="00567329" w:rsidRPr="00C410A7">
        <w:rPr>
          <w:rFonts w:asciiTheme="majorHAnsi" w:hAnsiTheme="majorHAnsi" w:cstheme="majorHAnsi"/>
          <w:color w:val="000000"/>
          <w:szCs w:val="22"/>
          <w:lang w:eastAsia="en-US"/>
        </w:rPr>
        <w:t xml:space="preserve"> functions</w:t>
      </w:r>
      <w:r w:rsidR="00E16990">
        <w:rPr>
          <w:rFonts w:asciiTheme="majorHAnsi" w:hAnsiTheme="majorHAnsi" w:cstheme="majorHAnsi"/>
          <w:color w:val="000000"/>
          <w:szCs w:val="22"/>
          <w:lang w:eastAsia="en-US"/>
        </w:rPr>
        <w:t xml:space="preserve"> and do not exceed the recommended </w:t>
      </w:r>
      <w:r w:rsidR="00B43E18" w:rsidRPr="00E16990">
        <w:rPr>
          <w:rFonts w:asciiTheme="majorHAnsi" w:hAnsiTheme="majorHAnsi" w:cstheme="majorHAnsi"/>
          <w:color w:val="000000"/>
          <w:szCs w:val="22"/>
          <w:lang w:eastAsia="en-US"/>
        </w:rPr>
        <w:t xml:space="preserve">thresholds. This approach is essential in order to assess </w:t>
      </w:r>
      <w:r w:rsidR="00CD61DA" w:rsidRPr="00E16990">
        <w:rPr>
          <w:rFonts w:asciiTheme="majorHAnsi" w:hAnsiTheme="majorHAnsi" w:cstheme="majorHAnsi"/>
          <w:color w:val="000000"/>
          <w:szCs w:val="22"/>
          <w:lang w:eastAsia="en-US"/>
        </w:rPr>
        <w:t xml:space="preserve">soil health in the context of </w:t>
      </w:r>
      <w:r w:rsidR="00E851A0" w:rsidRPr="00E16990">
        <w:rPr>
          <w:rFonts w:asciiTheme="majorHAnsi" w:hAnsiTheme="majorHAnsi" w:cstheme="majorHAnsi"/>
          <w:color w:val="000000"/>
          <w:szCs w:val="22"/>
          <w:lang w:eastAsia="en-US"/>
        </w:rPr>
        <w:t xml:space="preserve">policy challenges and societal needs: </w:t>
      </w:r>
    </w:p>
    <w:p w14:paraId="66B4840E" w14:textId="77777777" w:rsidR="00E16990" w:rsidRDefault="00C702D4" w:rsidP="00E16990">
      <w:pPr>
        <w:pStyle w:val="EEAbullet0"/>
        <w:rPr>
          <w:lang w:eastAsia="en-US"/>
        </w:rPr>
      </w:pPr>
      <w:r w:rsidRPr="00E16990">
        <w:rPr>
          <w:lang w:eastAsia="en-US"/>
        </w:rPr>
        <w:t>soil health as an element of the good</w:t>
      </w:r>
      <w:r w:rsidR="00CD61DA" w:rsidRPr="00E16990">
        <w:rPr>
          <w:lang w:eastAsia="en-US"/>
        </w:rPr>
        <w:t xml:space="preserve"> </w:t>
      </w:r>
      <w:r w:rsidR="00B43E18" w:rsidRPr="00E16990">
        <w:rPr>
          <w:lang w:eastAsia="en-US"/>
        </w:rPr>
        <w:t xml:space="preserve">conservation status of ecosystems, </w:t>
      </w:r>
    </w:p>
    <w:p w14:paraId="626249BE" w14:textId="77777777" w:rsidR="00E16990" w:rsidRDefault="00651536" w:rsidP="00E16990">
      <w:pPr>
        <w:pStyle w:val="EEAbullet0"/>
        <w:rPr>
          <w:lang w:eastAsia="en-US"/>
        </w:rPr>
      </w:pPr>
      <w:r w:rsidRPr="00E16990">
        <w:rPr>
          <w:lang w:eastAsia="en-US"/>
        </w:rPr>
        <w:t>degraded soils as</w:t>
      </w:r>
      <w:r w:rsidR="00B43E18" w:rsidRPr="00E16990">
        <w:rPr>
          <w:lang w:eastAsia="en-US"/>
        </w:rPr>
        <w:t xml:space="preserve"> priority areas for soil restauration, and </w:t>
      </w:r>
    </w:p>
    <w:p w14:paraId="62DF25A7" w14:textId="51DF349D" w:rsidR="00B43E18" w:rsidRPr="00E16990" w:rsidRDefault="007C1DC4" w:rsidP="00E16990">
      <w:pPr>
        <w:pStyle w:val="EEAbullet0"/>
        <w:rPr>
          <w:lang w:eastAsia="en-US"/>
        </w:rPr>
      </w:pPr>
      <w:proofErr w:type="gramStart"/>
      <w:r w:rsidRPr="00E16990">
        <w:rPr>
          <w:lang w:eastAsia="en-US"/>
        </w:rPr>
        <w:t>restauration</w:t>
      </w:r>
      <w:proofErr w:type="gramEnd"/>
      <w:r w:rsidRPr="00E16990">
        <w:rPr>
          <w:lang w:eastAsia="en-US"/>
        </w:rPr>
        <w:t xml:space="preserve"> and mitigation action through </w:t>
      </w:r>
      <w:r w:rsidR="0026149D" w:rsidRPr="00E16990">
        <w:rPr>
          <w:lang w:eastAsia="en-US"/>
        </w:rPr>
        <w:t>sustainable land management</w:t>
      </w:r>
      <w:r w:rsidR="00B43E18" w:rsidRPr="00E16990">
        <w:rPr>
          <w:lang w:eastAsia="en-US"/>
        </w:rPr>
        <w:t>. In addition, the reporting under various policies (e.g. NEC, SDG) can be greatly improved.</w:t>
      </w:r>
    </w:p>
    <w:p w14:paraId="136545DB" w14:textId="6637F152" w:rsidR="00B43E18" w:rsidRPr="00E16990" w:rsidRDefault="00B43E18" w:rsidP="0026149D">
      <w:pPr>
        <w:spacing w:before="120"/>
        <w:rPr>
          <w:rFonts w:asciiTheme="majorHAnsi" w:hAnsiTheme="majorHAnsi" w:cstheme="majorHAnsi"/>
          <w:color w:val="000000"/>
          <w:szCs w:val="22"/>
          <w:lang w:eastAsia="en-US"/>
        </w:rPr>
      </w:pPr>
      <w:r w:rsidRPr="00E16990">
        <w:rPr>
          <w:rFonts w:asciiTheme="majorHAnsi" w:hAnsiTheme="majorHAnsi" w:cstheme="majorHAnsi"/>
          <w:color w:val="000000"/>
          <w:szCs w:val="22"/>
          <w:lang w:eastAsia="en-US"/>
        </w:rPr>
        <w:t xml:space="preserve">Some of the thresholds found here, can be applied across larger gradients, </w:t>
      </w:r>
      <w:r w:rsidR="007E035B" w:rsidRPr="00E16990">
        <w:rPr>
          <w:rFonts w:asciiTheme="majorHAnsi" w:hAnsiTheme="majorHAnsi" w:cstheme="majorHAnsi"/>
          <w:color w:val="000000"/>
          <w:szCs w:val="22"/>
          <w:lang w:eastAsia="en-US"/>
        </w:rPr>
        <w:t>countries,</w:t>
      </w:r>
      <w:r w:rsidRPr="00E16990">
        <w:rPr>
          <w:rFonts w:asciiTheme="majorHAnsi" w:hAnsiTheme="majorHAnsi" w:cstheme="majorHAnsi"/>
          <w:color w:val="000000"/>
          <w:szCs w:val="22"/>
          <w:lang w:eastAsia="en-US"/>
        </w:rPr>
        <w:t xml:space="preserve"> and soil types (compaction, erosion, nutrients, acidification). Others such as for optimal SOC and contamination have limited regional validity, due to the diversity of policy schemes, monitoring methods, and site/lan</w:t>
      </w:r>
      <w:r w:rsidR="007E035B" w:rsidRPr="00E16990">
        <w:rPr>
          <w:rFonts w:asciiTheme="majorHAnsi" w:hAnsiTheme="majorHAnsi" w:cstheme="majorHAnsi"/>
          <w:color w:val="000000"/>
          <w:szCs w:val="22"/>
          <w:lang w:eastAsia="en-US"/>
        </w:rPr>
        <w:t>d</w:t>
      </w:r>
      <w:r w:rsidRPr="00E16990">
        <w:rPr>
          <w:rFonts w:asciiTheme="majorHAnsi" w:hAnsiTheme="majorHAnsi" w:cstheme="majorHAnsi"/>
          <w:color w:val="000000"/>
          <w:szCs w:val="22"/>
          <w:lang w:eastAsia="en-US"/>
        </w:rPr>
        <w:t xml:space="preserve">-use </w:t>
      </w:r>
      <w:r w:rsidRPr="00E16990">
        <w:rPr>
          <w:rFonts w:asciiTheme="majorHAnsi" w:hAnsiTheme="majorHAnsi" w:cstheme="majorHAnsi"/>
          <w:color w:val="000000"/>
          <w:szCs w:val="22"/>
          <w:lang w:eastAsia="en-US"/>
        </w:rPr>
        <w:lastRenderedPageBreak/>
        <w:t xml:space="preserve">and climatic conditions. In those cases, due to the lack of harmonization across Europe, </w:t>
      </w:r>
      <w:r w:rsidR="00C82C27" w:rsidRPr="00E16990">
        <w:rPr>
          <w:rFonts w:asciiTheme="majorHAnsi" w:hAnsiTheme="majorHAnsi" w:cstheme="majorHAnsi"/>
          <w:color w:val="000000"/>
          <w:szCs w:val="22"/>
          <w:lang w:eastAsia="en-US"/>
        </w:rPr>
        <w:t xml:space="preserve">current </w:t>
      </w:r>
      <w:r w:rsidRPr="00E16990">
        <w:rPr>
          <w:rFonts w:asciiTheme="majorHAnsi" w:hAnsiTheme="majorHAnsi" w:cstheme="majorHAnsi"/>
          <w:color w:val="000000"/>
          <w:szCs w:val="22"/>
          <w:lang w:eastAsia="en-US"/>
        </w:rPr>
        <w:t>continent-wide assessments are hardly comparable</w:t>
      </w:r>
      <w:r w:rsidR="00C82C27" w:rsidRPr="00E16990">
        <w:rPr>
          <w:rFonts w:asciiTheme="majorHAnsi" w:hAnsiTheme="majorHAnsi" w:cstheme="majorHAnsi"/>
          <w:color w:val="000000"/>
          <w:szCs w:val="22"/>
          <w:lang w:eastAsia="en-US"/>
        </w:rPr>
        <w:t xml:space="preserve"> and need harmonization (e.g. the national SOC maps </w:t>
      </w:r>
      <w:r w:rsidR="004F4EF5" w:rsidRPr="00E16990">
        <w:rPr>
          <w:rFonts w:asciiTheme="majorHAnsi" w:hAnsiTheme="majorHAnsi" w:cstheme="majorHAnsi"/>
          <w:color w:val="000000"/>
          <w:szCs w:val="22"/>
          <w:lang w:eastAsia="en-US"/>
        </w:rPr>
        <w:t>generated under the Global Soil Partnership</w:t>
      </w:r>
      <w:r w:rsidR="00C82C27" w:rsidRPr="00E16990">
        <w:rPr>
          <w:rFonts w:asciiTheme="majorHAnsi" w:hAnsiTheme="majorHAnsi" w:cstheme="majorHAnsi"/>
          <w:color w:val="000000"/>
          <w:szCs w:val="22"/>
          <w:lang w:eastAsia="en-US"/>
        </w:rPr>
        <w:t>)</w:t>
      </w:r>
      <w:r w:rsidRPr="00E16990">
        <w:rPr>
          <w:rFonts w:asciiTheme="majorHAnsi" w:hAnsiTheme="majorHAnsi" w:cstheme="majorHAnsi"/>
          <w:color w:val="000000"/>
          <w:szCs w:val="22"/>
          <w:lang w:eastAsia="en-US"/>
        </w:rPr>
        <w:t xml:space="preserve">. Provided the enhanced policy incentives under the Green Deal, more engagement in international cooperation and </w:t>
      </w:r>
      <w:r w:rsidR="007E035B" w:rsidRPr="00E16990">
        <w:rPr>
          <w:rFonts w:asciiTheme="majorHAnsi" w:hAnsiTheme="majorHAnsi" w:cstheme="majorHAnsi"/>
          <w:color w:val="000000"/>
          <w:szCs w:val="22"/>
          <w:lang w:eastAsia="en-US"/>
        </w:rPr>
        <w:t>harmonization</w:t>
      </w:r>
      <w:r w:rsidRPr="00E16990">
        <w:rPr>
          <w:rFonts w:asciiTheme="majorHAnsi" w:hAnsiTheme="majorHAnsi" w:cstheme="majorHAnsi"/>
          <w:color w:val="000000"/>
          <w:szCs w:val="22"/>
          <w:lang w:eastAsia="en-US"/>
        </w:rPr>
        <w:t xml:space="preserve">, as well as intensified monitoring </w:t>
      </w:r>
      <w:r w:rsidR="007E035B" w:rsidRPr="00E16990">
        <w:rPr>
          <w:rFonts w:asciiTheme="majorHAnsi" w:hAnsiTheme="majorHAnsi" w:cstheme="majorHAnsi"/>
          <w:color w:val="000000"/>
          <w:szCs w:val="22"/>
          <w:lang w:eastAsia="en-US"/>
        </w:rPr>
        <w:t>activities</w:t>
      </w:r>
      <w:r w:rsidRPr="00E16990">
        <w:rPr>
          <w:rFonts w:asciiTheme="majorHAnsi" w:hAnsiTheme="majorHAnsi" w:cstheme="majorHAnsi"/>
          <w:color w:val="000000"/>
          <w:szCs w:val="22"/>
          <w:lang w:eastAsia="en-US"/>
        </w:rPr>
        <w:t xml:space="preserve"> at member state level, </w:t>
      </w:r>
      <w:r w:rsidR="004F4EF5" w:rsidRPr="00E16990">
        <w:rPr>
          <w:rFonts w:asciiTheme="majorHAnsi" w:hAnsiTheme="majorHAnsi" w:cstheme="majorHAnsi"/>
          <w:color w:val="000000"/>
          <w:szCs w:val="22"/>
          <w:lang w:eastAsia="en-US"/>
        </w:rPr>
        <w:t xml:space="preserve">are needed and </w:t>
      </w:r>
      <w:r w:rsidRPr="00E16990">
        <w:rPr>
          <w:rFonts w:asciiTheme="majorHAnsi" w:hAnsiTheme="majorHAnsi" w:cstheme="majorHAnsi"/>
          <w:color w:val="000000"/>
          <w:szCs w:val="22"/>
          <w:lang w:eastAsia="en-US"/>
        </w:rPr>
        <w:t>can be expected.</w:t>
      </w:r>
    </w:p>
    <w:p w14:paraId="2F35A300" w14:textId="13BFCDA3" w:rsidR="00B32C8F" w:rsidRDefault="00B32C8F">
      <w:pPr>
        <w:suppressAutoHyphens w:val="0"/>
        <w:jc w:val="left"/>
        <w:rPr>
          <w:rFonts w:asciiTheme="majorHAnsi" w:hAnsiTheme="majorHAnsi" w:cstheme="majorHAnsi"/>
          <w:color w:val="000000"/>
          <w:szCs w:val="22"/>
          <w:lang w:val="en-US" w:eastAsia="en-US"/>
        </w:rPr>
      </w:pPr>
      <w:r>
        <w:rPr>
          <w:rFonts w:asciiTheme="majorHAnsi" w:hAnsiTheme="majorHAnsi" w:cstheme="majorHAnsi"/>
          <w:color w:val="000000"/>
          <w:szCs w:val="22"/>
          <w:lang w:val="en-US" w:eastAsia="en-US"/>
        </w:rPr>
        <w:br w:type="page"/>
      </w:r>
    </w:p>
    <w:p w14:paraId="4040981E" w14:textId="77777777" w:rsidR="00B43E18" w:rsidRDefault="00B43E18" w:rsidP="00B43E18">
      <w:pPr>
        <w:spacing w:before="120"/>
        <w:rPr>
          <w:rFonts w:asciiTheme="majorHAnsi" w:hAnsiTheme="majorHAnsi" w:cstheme="majorHAnsi"/>
          <w:color w:val="000000"/>
          <w:szCs w:val="22"/>
          <w:lang w:val="en-US" w:eastAsia="en-US"/>
        </w:rPr>
      </w:pPr>
    </w:p>
    <w:p w14:paraId="37BAF292" w14:textId="0AEDC206" w:rsidR="00B43E18" w:rsidRDefault="00B43E18" w:rsidP="00B43E18">
      <w:pPr>
        <w:pStyle w:val="EEALabel"/>
        <w:rPr>
          <w:rFonts w:eastAsia="Calibri"/>
        </w:rPr>
      </w:pPr>
      <w:bookmarkStart w:id="439" w:name="_Ref83995694"/>
      <w:bookmarkStart w:id="440" w:name="_Toc82753427"/>
      <w:bookmarkStart w:id="441" w:name="_Toc83997542"/>
      <w:r>
        <w:t xml:space="preserve">Table </w:t>
      </w:r>
      <w:r>
        <w:fldChar w:fldCharType="begin"/>
      </w:r>
      <w:r>
        <w:instrText xml:space="preserve"> STYLEREF 1 \s </w:instrText>
      </w:r>
      <w:r>
        <w:fldChar w:fldCharType="separate"/>
      </w:r>
      <w:r w:rsidR="0067767C">
        <w:rPr>
          <w:noProof/>
        </w:rPr>
        <w:t>10</w:t>
      </w:r>
      <w:r>
        <w:fldChar w:fldCharType="end"/>
      </w:r>
      <w:r>
        <w:noBreakHyphen/>
      </w:r>
      <w:r>
        <w:fldChar w:fldCharType="begin"/>
      </w:r>
      <w:r>
        <w:instrText xml:space="preserve"> SEQ Table \* ARABIC \s 1 </w:instrText>
      </w:r>
      <w:r>
        <w:fldChar w:fldCharType="separate"/>
      </w:r>
      <w:r w:rsidR="0067767C">
        <w:rPr>
          <w:noProof/>
        </w:rPr>
        <w:t>2</w:t>
      </w:r>
      <w:r>
        <w:fldChar w:fldCharType="end"/>
      </w:r>
      <w:bookmarkEnd w:id="439"/>
      <w:r>
        <w:rPr>
          <w:rFonts w:eastAsia="Calibri"/>
        </w:rPr>
        <w:t>:</w:t>
      </w:r>
      <w:r>
        <w:rPr>
          <w:rFonts w:eastAsia="Calibri"/>
        </w:rPr>
        <w:tab/>
        <w:t>Overview of soil threats and indicators investigated in this report</w:t>
      </w:r>
      <w:bookmarkEnd w:id="440"/>
      <w:bookmarkEnd w:id="441"/>
      <w:r>
        <w:rPr>
          <w:rFonts w:eastAsia="Calibri"/>
        </w:rPr>
        <w:t xml:space="preserve"> </w:t>
      </w:r>
    </w:p>
    <w:p w14:paraId="19F88E07" w14:textId="77777777" w:rsidR="00B43E18" w:rsidRDefault="00B43E18" w:rsidP="00B43E18">
      <w:pPr>
        <w:rPr>
          <w:rFonts w:ascii="Arial" w:hAnsi="Arial" w:cs="Arial"/>
          <w:color w:val="000000"/>
          <w:szCs w:val="22"/>
          <w:lang w:val="en-US" w:eastAsia="en-US"/>
        </w:rPr>
      </w:pPr>
    </w:p>
    <w:tbl>
      <w:tblPr>
        <w:tblStyle w:val="Tabellenraster"/>
        <w:tblW w:w="9500" w:type="dxa"/>
        <w:tblLayout w:type="fixed"/>
        <w:tblLook w:val="04A0" w:firstRow="1" w:lastRow="0" w:firstColumn="1" w:lastColumn="0" w:noHBand="0" w:noVBand="1"/>
      </w:tblPr>
      <w:tblGrid>
        <w:gridCol w:w="1129"/>
        <w:gridCol w:w="2268"/>
        <w:gridCol w:w="2977"/>
        <w:gridCol w:w="7"/>
        <w:gridCol w:w="3112"/>
        <w:gridCol w:w="7"/>
      </w:tblGrid>
      <w:tr w:rsidR="00B43E18" w:rsidRPr="00080CD6" w14:paraId="71BA1ED7" w14:textId="77777777" w:rsidTr="001C6C1E">
        <w:trPr>
          <w:gridAfter w:val="1"/>
          <w:wAfter w:w="7" w:type="dxa"/>
        </w:trPr>
        <w:tc>
          <w:tcPr>
            <w:tcW w:w="1129" w:type="dxa"/>
            <w:tcBorders>
              <w:left w:val="nil"/>
              <w:right w:val="nil"/>
            </w:tcBorders>
          </w:tcPr>
          <w:p w14:paraId="6F6D64DA" w14:textId="77777777" w:rsidR="00B43E18" w:rsidRPr="00080CD6" w:rsidRDefault="00B43E18" w:rsidP="00677B0A">
            <w:pPr>
              <w:rPr>
                <w:sz w:val="20"/>
                <w:lang w:val="en-US"/>
              </w:rPr>
            </w:pPr>
            <w:r w:rsidRPr="00080CD6">
              <w:rPr>
                <w:sz w:val="20"/>
                <w:lang w:val="en-US"/>
              </w:rPr>
              <w:t>Soil threat</w:t>
            </w:r>
          </w:p>
        </w:tc>
        <w:tc>
          <w:tcPr>
            <w:tcW w:w="2268" w:type="dxa"/>
            <w:tcBorders>
              <w:left w:val="nil"/>
              <w:right w:val="nil"/>
            </w:tcBorders>
            <w:shd w:val="pct5" w:color="auto" w:fill="auto"/>
          </w:tcPr>
          <w:p w14:paraId="52C2F5E2" w14:textId="77777777" w:rsidR="00B43E18" w:rsidRPr="00080CD6" w:rsidRDefault="00B43E18" w:rsidP="00677B0A">
            <w:pPr>
              <w:rPr>
                <w:sz w:val="20"/>
                <w:lang w:val="en-US"/>
              </w:rPr>
            </w:pPr>
            <w:r w:rsidRPr="00080CD6">
              <w:rPr>
                <w:sz w:val="20"/>
                <w:lang w:val="en-US"/>
              </w:rPr>
              <w:t>Indicator</w:t>
            </w:r>
          </w:p>
        </w:tc>
        <w:tc>
          <w:tcPr>
            <w:tcW w:w="2977" w:type="dxa"/>
            <w:tcBorders>
              <w:left w:val="nil"/>
              <w:right w:val="nil"/>
            </w:tcBorders>
          </w:tcPr>
          <w:p w14:paraId="1C5FAE27" w14:textId="77777777" w:rsidR="00B43E18" w:rsidRPr="00080CD6" w:rsidRDefault="00B43E18" w:rsidP="00677B0A">
            <w:pPr>
              <w:rPr>
                <w:sz w:val="20"/>
                <w:lang w:val="en-US"/>
              </w:rPr>
            </w:pPr>
            <w:r w:rsidRPr="00080CD6">
              <w:rPr>
                <w:sz w:val="20"/>
                <w:lang w:val="en-US"/>
              </w:rPr>
              <w:t>Thresholds</w:t>
            </w:r>
          </w:p>
        </w:tc>
        <w:tc>
          <w:tcPr>
            <w:tcW w:w="3119" w:type="dxa"/>
            <w:gridSpan w:val="2"/>
            <w:tcBorders>
              <w:left w:val="nil"/>
              <w:right w:val="nil"/>
            </w:tcBorders>
          </w:tcPr>
          <w:p w14:paraId="1DA8D9D9" w14:textId="77777777" w:rsidR="00B43E18" w:rsidRPr="00080CD6" w:rsidRDefault="00B43E18" w:rsidP="00677B0A">
            <w:pPr>
              <w:rPr>
                <w:sz w:val="20"/>
                <w:lang w:val="en-US"/>
              </w:rPr>
            </w:pPr>
            <w:r w:rsidRPr="00080CD6">
              <w:rPr>
                <w:sz w:val="20"/>
                <w:lang w:val="en-US"/>
              </w:rPr>
              <w:t>Comment</w:t>
            </w:r>
          </w:p>
        </w:tc>
      </w:tr>
      <w:tr w:rsidR="00B43E18" w:rsidRPr="00080CD6" w14:paraId="420A1D51" w14:textId="77777777" w:rsidTr="001C6C1E">
        <w:tc>
          <w:tcPr>
            <w:tcW w:w="9500" w:type="dxa"/>
            <w:gridSpan w:val="6"/>
            <w:tcBorders>
              <w:left w:val="nil"/>
              <w:right w:val="nil"/>
            </w:tcBorders>
          </w:tcPr>
          <w:p w14:paraId="0C3E031D" w14:textId="77777777" w:rsidR="00B43E18" w:rsidRPr="00080CD6" w:rsidRDefault="00B43E18" w:rsidP="00C410A7">
            <w:pPr>
              <w:pStyle w:val="EEAStandardbold"/>
              <w:rPr>
                <w:lang w:val="en-US"/>
              </w:rPr>
            </w:pPr>
            <w:r w:rsidRPr="00080CD6">
              <w:rPr>
                <w:lang w:val="en-US"/>
              </w:rPr>
              <w:t>Soil organic carbon</w:t>
            </w:r>
          </w:p>
        </w:tc>
      </w:tr>
      <w:tr w:rsidR="00B43E18" w:rsidRPr="00540929" w14:paraId="3E6DF94F" w14:textId="77777777" w:rsidTr="001C6C1E">
        <w:trPr>
          <w:gridAfter w:val="1"/>
          <w:wAfter w:w="7" w:type="dxa"/>
        </w:trPr>
        <w:tc>
          <w:tcPr>
            <w:tcW w:w="1129" w:type="dxa"/>
            <w:tcBorders>
              <w:left w:val="nil"/>
              <w:right w:val="nil"/>
            </w:tcBorders>
          </w:tcPr>
          <w:p w14:paraId="19138598" w14:textId="77777777" w:rsidR="00B43E18" w:rsidRPr="00080CD6" w:rsidRDefault="00B43E18" w:rsidP="00C410A7">
            <w:pPr>
              <w:pStyle w:val="EEAtableleft"/>
              <w:rPr>
                <w:lang w:val="en-US"/>
              </w:rPr>
            </w:pPr>
            <w:r w:rsidRPr="00080CD6">
              <w:rPr>
                <w:lang w:val="en-US"/>
              </w:rPr>
              <w:t>Cropland</w:t>
            </w:r>
          </w:p>
        </w:tc>
        <w:tc>
          <w:tcPr>
            <w:tcW w:w="2268" w:type="dxa"/>
            <w:tcBorders>
              <w:left w:val="nil"/>
              <w:right w:val="nil"/>
            </w:tcBorders>
            <w:shd w:val="pct5" w:color="auto" w:fill="auto"/>
          </w:tcPr>
          <w:p w14:paraId="1CF8D18B" w14:textId="77777777" w:rsidR="00B43E18" w:rsidRPr="006A7850" w:rsidRDefault="00B43E18" w:rsidP="00677B0A">
            <w:pPr>
              <w:jc w:val="left"/>
              <w:rPr>
                <w:sz w:val="18"/>
                <w:szCs w:val="18"/>
                <w:lang w:val="en-US"/>
              </w:rPr>
            </w:pPr>
            <w:r w:rsidRPr="006A7850">
              <w:rPr>
                <w:sz w:val="18"/>
                <w:szCs w:val="18"/>
                <w:lang w:val="en-US"/>
              </w:rPr>
              <w:t>Deceedance of optimal SOC</w:t>
            </w:r>
          </w:p>
        </w:tc>
        <w:tc>
          <w:tcPr>
            <w:tcW w:w="2977" w:type="dxa"/>
            <w:tcBorders>
              <w:left w:val="nil"/>
              <w:right w:val="nil"/>
            </w:tcBorders>
          </w:tcPr>
          <w:p w14:paraId="108B7340" w14:textId="77777777" w:rsidR="00B43E18" w:rsidRPr="006A7850" w:rsidRDefault="00B43E18" w:rsidP="00677B0A">
            <w:pPr>
              <w:rPr>
                <w:sz w:val="18"/>
                <w:szCs w:val="18"/>
                <w:lang w:val="en-US"/>
              </w:rPr>
            </w:pPr>
            <w:r w:rsidRPr="006A7850">
              <w:rPr>
                <w:sz w:val="18"/>
                <w:szCs w:val="18"/>
              </w:rPr>
              <w:t>Sand</w:t>
            </w:r>
            <w:r w:rsidRPr="006A7850">
              <w:rPr>
                <w:sz w:val="18"/>
                <w:szCs w:val="18"/>
                <w:lang w:val="en-US"/>
              </w:rPr>
              <w:t xml:space="preserve">: </w:t>
            </w:r>
            <w:r w:rsidRPr="006A7850">
              <w:rPr>
                <w:sz w:val="18"/>
                <w:szCs w:val="18"/>
              </w:rPr>
              <w:t>1,5</w:t>
            </w:r>
            <w:r w:rsidRPr="006A7850">
              <w:rPr>
                <w:sz w:val="18"/>
                <w:szCs w:val="18"/>
                <w:lang w:val="en-US"/>
              </w:rPr>
              <w:t xml:space="preserve"> </w:t>
            </w:r>
            <w:r w:rsidRPr="006A7850">
              <w:rPr>
                <w:sz w:val="18"/>
                <w:szCs w:val="18"/>
              </w:rPr>
              <w:t>(1,0-2,0)</w:t>
            </w:r>
            <w:r w:rsidRPr="006A7850">
              <w:rPr>
                <w:sz w:val="18"/>
                <w:szCs w:val="18"/>
                <w:lang w:val="en-US"/>
              </w:rPr>
              <w:t xml:space="preserve"> [% SOC] </w:t>
            </w:r>
          </w:p>
          <w:p w14:paraId="50D1291A" w14:textId="77777777" w:rsidR="00B43E18" w:rsidRPr="006A7850" w:rsidRDefault="00B43E18" w:rsidP="00677B0A">
            <w:pPr>
              <w:rPr>
                <w:sz w:val="18"/>
                <w:szCs w:val="18"/>
                <w:lang w:val="en-US"/>
              </w:rPr>
            </w:pPr>
            <w:r w:rsidRPr="006A7850">
              <w:rPr>
                <w:sz w:val="18"/>
                <w:szCs w:val="18"/>
              </w:rPr>
              <w:t>Silt</w:t>
            </w:r>
            <w:r w:rsidRPr="006A7850">
              <w:rPr>
                <w:sz w:val="18"/>
                <w:szCs w:val="18"/>
                <w:lang w:val="en-US"/>
              </w:rPr>
              <w:t xml:space="preserve">: </w:t>
            </w:r>
            <w:r w:rsidRPr="006A7850">
              <w:rPr>
                <w:sz w:val="18"/>
                <w:szCs w:val="18"/>
              </w:rPr>
              <w:t>1,9</w:t>
            </w:r>
            <w:r w:rsidRPr="006A7850">
              <w:rPr>
                <w:sz w:val="18"/>
                <w:szCs w:val="18"/>
                <w:lang w:val="en-US"/>
              </w:rPr>
              <w:t xml:space="preserve"> </w:t>
            </w:r>
            <w:r w:rsidRPr="006A7850">
              <w:rPr>
                <w:sz w:val="18"/>
                <w:szCs w:val="18"/>
              </w:rPr>
              <w:t>(1,4-2,4)</w:t>
            </w:r>
            <w:r w:rsidRPr="006A7850">
              <w:rPr>
                <w:sz w:val="18"/>
                <w:szCs w:val="18"/>
                <w:lang w:val="en-US"/>
              </w:rPr>
              <w:t xml:space="preserve"> </w:t>
            </w:r>
          </w:p>
          <w:p w14:paraId="0322B5E6" w14:textId="77777777" w:rsidR="00B43E18" w:rsidRPr="006A7850" w:rsidRDefault="00B43E18" w:rsidP="00677B0A">
            <w:pPr>
              <w:rPr>
                <w:sz w:val="18"/>
                <w:szCs w:val="18"/>
              </w:rPr>
            </w:pPr>
            <w:r w:rsidRPr="006A7850">
              <w:rPr>
                <w:sz w:val="18"/>
                <w:szCs w:val="18"/>
              </w:rPr>
              <w:t>Loam and clay</w:t>
            </w:r>
            <w:r w:rsidRPr="006A7850">
              <w:rPr>
                <w:sz w:val="18"/>
                <w:szCs w:val="18"/>
                <w:lang w:val="en-US"/>
              </w:rPr>
              <w:t xml:space="preserve">: </w:t>
            </w:r>
            <w:r w:rsidRPr="006A7850">
              <w:rPr>
                <w:sz w:val="18"/>
                <w:szCs w:val="18"/>
              </w:rPr>
              <w:t>1,6</w:t>
            </w:r>
            <w:r w:rsidRPr="006A7850">
              <w:rPr>
                <w:sz w:val="18"/>
                <w:szCs w:val="18"/>
                <w:lang w:val="en-US"/>
              </w:rPr>
              <w:t xml:space="preserve"> </w:t>
            </w:r>
            <w:r w:rsidRPr="006A7850">
              <w:rPr>
                <w:sz w:val="18"/>
                <w:szCs w:val="18"/>
              </w:rPr>
              <w:t>(1,0-2,8)</w:t>
            </w:r>
          </w:p>
        </w:tc>
        <w:tc>
          <w:tcPr>
            <w:tcW w:w="3119" w:type="dxa"/>
            <w:gridSpan w:val="2"/>
            <w:tcBorders>
              <w:left w:val="nil"/>
              <w:right w:val="nil"/>
            </w:tcBorders>
          </w:tcPr>
          <w:p w14:paraId="65A8D7CC" w14:textId="77777777" w:rsidR="00B43E18" w:rsidRPr="006A7850" w:rsidRDefault="00B43E18" w:rsidP="00677B0A">
            <w:pPr>
              <w:jc w:val="left"/>
              <w:rPr>
                <w:sz w:val="18"/>
                <w:szCs w:val="18"/>
                <w:lang w:val="en-US"/>
              </w:rPr>
            </w:pPr>
            <w:r w:rsidRPr="006A7850">
              <w:rPr>
                <w:sz w:val="18"/>
                <w:szCs w:val="18"/>
                <w:lang w:val="en-US"/>
              </w:rPr>
              <w:t>Values for extreme summer-dry areas can be lower (&lt; -100 climate water balance)</w:t>
            </w:r>
          </w:p>
          <w:p w14:paraId="196BA380" w14:textId="77777777" w:rsidR="00B43E18" w:rsidRPr="006A7850" w:rsidRDefault="00B43E18" w:rsidP="00677B0A">
            <w:pPr>
              <w:jc w:val="left"/>
              <w:rPr>
                <w:sz w:val="18"/>
                <w:szCs w:val="18"/>
                <w:lang w:val="en-US"/>
              </w:rPr>
            </w:pPr>
            <w:r w:rsidRPr="006A7850">
              <w:rPr>
                <w:sz w:val="18"/>
                <w:szCs w:val="18"/>
                <w:lang w:val="en-US"/>
              </w:rPr>
              <w:t>Values for optimal fertilizer management (Wessolek et al. 2008)</w:t>
            </w:r>
          </w:p>
          <w:p w14:paraId="516C2FAE" w14:textId="77777777" w:rsidR="00B43E18" w:rsidRPr="006A7850" w:rsidRDefault="00B43E18" w:rsidP="00677B0A">
            <w:pPr>
              <w:jc w:val="left"/>
              <w:rPr>
                <w:sz w:val="18"/>
                <w:szCs w:val="18"/>
                <w:lang w:val="en-US"/>
              </w:rPr>
            </w:pPr>
            <w:r w:rsidRPr="006A7850">
              <w:rPr>
                <w:sz w:val="18"/>
                <w:szCs w:val="18"/>
                <w:lang w:val="en-US"/>
              </w:rPr>
              <w:t>Proxy: sequestration potential</w:t>
            </w:r>
          </w:p>
        </w:tc>
      </w:tr>
      <w:tr w:rsidR="00B43E18" w:rsidRPr="00080CD6" w14:paraId="162DF5ED" w14:textId="77777777" w:rsidTr="001C6C1E">
        <w:tc>
          <w:tcPr>
            <w:tcW w:w="9500" w:type="dxa"/>
            <w:gridSpan w:val="6"/>
            <w:tcBorders>
              <w:left w:val="nil"/>
              <w:right w:val="nil"/>
            </w:tcBorders>
          </w:tcPr>
          <w:p w14:paraId="1C021009" w14:textId="77777777" w:rsidR="00B43E18" w:rsidRPr="00080CD6" w:rsidRDefault="00B43E18" w:rsidP="00C410A7">
            <w:pPr>
              <w:pStyle w:val="EEAStandardbold"/>
              <w:rPr>
                <w:lang w:val="en-US"/>
              </w:rPr>
            </w:pPr>
            <w:r w:rsidRPr="00080CD6">
              <w:rPr>
                <w:lang w:val="en-US"/>
              </w:rPr>
              <w:t>Nutrients</w:t>
            </w:r>
          </w:p>
        </w:tc>
      </w:tr>
      <w:tr w:rsidR="00B43E18" w14:paraId="5486079B" w14:textId="77777777" w:rsidTr="001C6C1E">
        <w:trPr>
          <w:gridAfter w:val="1"/>
          <w:wAfter w:w="7" w:type="dxa"/>
        </w:trPr>
        <w:tc>
          <w:tcPr>
            <w:tcW w:w="1129" w:type="dxa"/>
            <w:tcBorders>
              <w:left w:val="nil"/>
              <w:right w:val="nil"/>
            </w:tcBorders>
          </w:tcPr>
          <w:p w14:paraId="7C40319A" w14:textId="77777777" w:rsidR="00B43E18" w:rsidRPr="00080CD6" w:rsidRDefault="00B43E18" w:rsidP="00C410A7">
            <w:pPr>
              <w:pStyle w:val="EEAtableleft"/>
              <w:rPr>
                <w:lang w:val="en-US"/>
              </w:rPr>
            </w:pPr>
            <w:r w:rsidRPr="00080CD6">
              <w:rPr>
                <w:lang w:val="en-US"/>
              </w:rPr>
              <w:t>Agriculture</w:t>
            </w:r>
          </w:p>
        </w:tc>
        <w:tc>
          <w:tcPr>
            <w:tcW w:w="2268" w:type="dxa"/>
            <w:tcBorders>
              <w:left w:val="nil"/>
              <w:bottom w:val="nil"/>
              <w:right w:val="nil"/>
            </w:tcBorders>
            <w:shd w:val="pct5" w:color="auto" w:fill="auto"/>
          </w:tcPr>
          <w:p w14:paraId="45BBDD1A" w14:textId="77777777" w:rsidR="00B43E18" w:rsidRPr="006A7850" w:rsidRDefault="00B43E18" w:rsidP="00677B0A">
            <w:pPr>
              <w:jc w:val="left"/>
              <w:rPr>
                <w:sz w:val="18"/>
                <w:szCs w:val="18"/>
                <w:lang w:val="en-US"/>
              </w:rPr>
            </w:pPr>
            <w:r w:rsidRPr="006A7850">
              <w:rPr>
                <w:sz w:val="18"/>
                <w:szCs w:val="18"/>
                <w:lang w:val="en-US"/>
              </w:rPr>
              <w:t>Exceedance of critical levels of mineral nitrogen (agricultural land)</w:t>
            </w:r>
          </w:p>
        </w:tc>
        <w:tc>
          <w:tcPr>
            <w:tcW w:w="2977" w:type="dxa"/>
            <w:tcBorders>
              <w:left w:val="nil"/>
              <w:right w:val="nil"/>
            </w:tcBorders>
          </w:tcPr>
          <w:p w14:paraId="531E0789" w14:textId="77777777" w:rsidR="00B43E18" w:rsidRPr="006A7850" w:rsidRDefault="00B43E18" w:rsidP="00677B0A">
            <w:pPr>
              <w:rPr>
                <w:sz w:val="18"/>
                <w:szCs w:val="18"/>
                <w:vertAlign w:val="superscript"/>
              </w:rPr>
            </w:pPr>
            <w:r w:rsidRPr="006A7850">
              <w:rPr>
                <w:sz w:val="18"/>
                <w:szCs w:val="18"/>
              </w:rPr>
              <w:t>NH</w:t>
            </w:r>
            <w:r w:rsidRPr="006A7850">
              <w:rPr>
                <w:sz w:val="18"/>
                <w:szCs w:val="18"/>
                <w:vertAlign w:val="subscript"/>
              </w:rPr>
              <w:t>3</w:t>
            </w:r>
            <w:r w:rsidRPr="006A7850">
              <w:rPr>
                <w:sz w:val="18"/>
                <w:szCs w:val="18"/>
              </w:rPr>
              <w:t xml:space="preserve"> in air: 1 – 3 </w:t>
            </w:r>
            <w:r w:rsidRPr="006A7850">
              <w:rPr>
                <w:sz w:val="18"/>
                <w:szCs w:val="18"/>
                <w:lang w:val="en-US"/>
              </w:rPr>
              <w:t>[</w:t>
            </w:r>
            <w:r w:rsidRPr="006A7850">
              <w:rPr>
                <w:sz w:val="18"/>
                <w:szCs w:val="18"/>
              </w:rPr>
              <w:t>mg NH</w:t>
            </w:r>
            <w:r w:rsidRPr="006A7850">
              <w:rPr>
                <w:sz w:val="18"/>
                <w:szCs w:val="18"/>
                <w:vertAlign w:val="subscript"/>
              </w:rPr>
              <w:t>3</w:t>
            </w:r>
            <w:r w:rsidRPr="006A7850">
              <w:rPr>
                <w:sz w:val="18"/>
                <w:szCs w:val="18"/>
              </w:rPr>
              <w:t xml:space="preserve"> m</w:t>
            </w:r>
            <w:r w:rsidRPr="006A7850">
              <w:rPr>
                <w:sz w:val="18"/>
                <w:szCs w:val="18"/>
                <w:vertAlign w:val="superscript"/>
                <w:lang w:val="en-US"/>
              </w:rPr>
              <w:t>-</w:t>
            </w:r>
            <w:r w:rsidRPr="006A7850">
              <w:rPr>
                <w:sz w:val="18"/>
                <w:szCs w:val="18"/>
                <w:vertAlign w:val="superscript"/>
              </w:rPr>
              <w:t>3</w:t>
            </w:r>
            <w:r w:rsidRPr="006A7850">
              <w:rPr>
                <w:sz w:val="18"/>
                <w:szCs w:val="18"/>
                <w:lang w:val="en-US"/>
              </w:rPr>
              <w:t>]</w:t>
            </w:r>
          </w:p>
          <w:p w14:paraId="4213EB7C" w14:textId="77777777" w:rsidR="00B43E18" w:rsidRPr="006A7850" w:rsidRDefault="00B43E18" w:rsidP="00677B0A">
            <w:pPr>
              <w:rPr>
                <w:sz w:val="18"/>
                <w:szCs w:val="18"/>
                <w:vertAlign w:val="superscript"/>
              </w:rPr>
            </w:pPr>
            <w:r w:rsidRPr="006A7850">
              <w:rPr>
                <w:sz w:val="18"/>
                <w:szCs w:val="18"/>
              </w:rPr>
              <w:t>NO</w:t>
            </w:r>
            <w:r w:rsidRPr="006A7850">
              <w:rPr>
                <w:sz w:val="18"/>
                <w:szCs w:val="18"/>
                <w:vertAlign w:val="subscript"/>
              </w:rPr>
              <w:t>3</w:t>
            </w:r>
            <w:r w:rsidRPr="006A7850">
              <w:rPr>
                <w:sz w:val="18"/>
                <w:szCs w:val="18"/>
              </w:rPr>
              <w:t xml:space="preserve"> in ground water: 50 </w:t>
            </w:r>
            <w:r w:rsidRPr="006A7850">
              <w:rPr>
                <w:sz w:val="18"/>
                <w:szCs w:val="18"/>
                <w:lang w:val="en-US"/>
              </w:rPr>
              <w:t>[</w:t>
            </w:r>
            <w:r w:rsidRPr="006A7850">
              <w:rPr>
                <w:sz w:val="18"/>
                <w:szCs w:val="18"/>
              </w:rPr>
              <w:t>mg NO</w:t>
            </w:r>
            <w:r w:rsidRPr="006A7850">
              <w:rPr>
                <w:sz w:val="18"/>
                <w:szCs w:val="18"/>
                <w:vertAlign w:val="subscript"/>
              </w:rPr>
              <w:t>3</w:t>
            </w:r>
            <w:r w:rsidRPr="006A7850">
              <w:rPr>
                <w:sz w:val="18"/>
                <w:szCs w:val="18"/>
              </w:rPr>
              <w:t xml:space="preserve"> l</w:t>
            </w:r>
            <w:r w:rsidRPr="006A7850">
              <w:rPr>
                <w:sz w:val="18"/>
                <w:szCs w:val="18"/>
                <w:vertAlign w:val="superscript"/>
              </w:rPr>
              <w:t>-1</w:t>
            </w:r>
            <w:r w:rsidRPr="006A7850">
              <w:rPr>
                <w:sz w:val="18"/>
                <w:szCs w:val="18"/>
                <w:lang w:val="en-US"/>
              </w:rPr>
              <w:t>]</w:t>
            </w:r>
          </w:p>
          <w:p w14:paraId="113DD049" w14:textId="77777777" w:rsidR="00B43E18" w:rsidRPr="006A7850" w:rsidRDefault="00B43E18" w:rsidP="00677B0A">
            <w:pPr>
              <w:rPr>
                <w:sz w:val="18"/>
                <w:szCs w:val="18"/>
              </w:rPr>
            </w:pPr>
            <w:r w:rsidRPr="006A7850">
              <w:rPr>
                <w:sz w:val="18"/>
                <w:szCs w:val="18"/>
              </w:rPr>
              <w:t xml:space="preserve">N in surface water: 1.0 to 2.5 </w:t>
            </w:r>
            <w:r w:rsidRPr="006A7850">
              <w:rPr>
                <w:sz w:val="18"/>
                <w:szCs w:val="18"/>
                <w:lang w:val="en-US"/>
              </w:rPr>
              <w:t>[</w:t>
            </w:r>
            <w:r w:rsidRPr="006A7850">
              <w:rPr>
                <w:sz w:val="18"/>
                <w:szCs w:val="18"/>
              </w:rPr>
              <w:t>mg N l</w:t>
            </w:r>
            <w:r w:rsidRPr="006A7850">
              <w:rPr>
                <w:sz w:val="18"/>
                <w:szCs w:val="18"/>
                <w:vertAlign w:val="superscript"/>
              </w:rPr>
              <w:t>-1</w:t>
            </w:r>
            <w:r w:rsidRPr="006A7850">
              <w:rPr>
                <w:sz w:val="18"/>
                <w:szCs w:val="18"/>
                <w:lang w:val="en-US"/>
              </w:rPr>
              <w:t>]</w:t>
            </w:r>
            <w:r w:rsidRPr="006A7850">
              <w:rPr>
                <w:sz w:val="18"/>
                <w:szCs w:val="18"/>
              </w:rPr>
              <w:t xml:space="preserve"> </w:t>
            </w:r>
          </w:p>
        </w:tc>
        <w:tc>
          <w:tcPr>
            <w:tcW w:w="3119" w:type="dxa"/>
            <w:gridSpan w:val="2"/>
            <w:tcBorders>
              <w:left w:val="nil"/>
              <w:right w:val="nil"/>
            </w:tcBorders>
          </w:tcPr>
          <w:p w14:paraId="0B6C4B00" w14:textId="77777777" w:rsidR="00B43E18" w:rsidRPr="006A7850" w:rsidRDefault="00B43E18" w:rsidP="00677B0A">
            <w:pPr>
              <w:jc w:val="left"/>
              <w:rPr>
                <w:sz w:val="18"/>
                <w:szCs w:val="18"/>
                <w:lang w:val="en-US"/>
              </w:rPr>
            </w:pPr>
            <w:r w:rsidRPr="006A7850">
              <w:rPr>
                <w:sz w:val="18"/>
                <w:szCs w:val="18"/>
                <w:lang w:val="en-US"/>
              </w:rPr>
              <w:t xml:space="preserve">Mineral N: </w:t>
            </w:r>
            <w:r w:rsidRPr="006A7850">
              <w:rPr>
                <w:sz w:val="18"/>
                <w:szCs w:val="18"/>
              </w:rPr>
              <w:t>sum of available NH</w:t>
            </w:r>
            <w:r w:rsidRPr="006A7850">
              <w:rPr>
                <w:sz w:val="18"/>
                <w:szCs w:val="18"/>
                <w:vertAlign w:val="subscript"/>
              </w:rPr>
              <w:t>4</w:t>
            </w:r>
            <w:r w:rsidRPr="006A7850">
              <w:rPr>
                <w:sz w:val="18"/>
                <w:szCs w:val="18"/>
              </w:rPr>
              <w:t xml:space="preserve"> and NO</w:t>
            </w:r>
            <w:r w:rsidRPr="006A7850">
              <w:rPr>
                <w:sz w:val="18"/>
                <w:szCs w:val="18"/>
                <w:vertAlign w:val="subscript"/>
              </w:rPr>
              <w:t>3</w:t>
            </w:r>
          </w:p>
        </w:tc>
      </w:tr>
      <w:tr w:rsidR="00B43E18" w14:paraId="082881B8" w14:textId="77777777" w:rsidTr="001C6C1E">
        <w:trPr>
          <w:gridAfter w:val="1"/>
          <w:wAfter w:w="7" w:type="dxa"/>
        </w:trPr>
        <w:tc>
          <w:tcPr>
            <w:tcW w:w="1129" w:type="dxa"/>
            <w:tcBorders>
              <w:left w:val="nil"/>
              <w:right w:val="nil"/>
            </w:tcBorders>
          </w:tcPr>
          <w:p w14:paraId="34DE9F86" w14:textId="77777777" w:rsidR="00B43E18" w:rsidRPr="00080CD6" w:rsidRDefault="00B43E18" w:rsidP="00C410A7">
            <w:pPr>
              <w:pStyle w:val="EEAtableleft"/>
              <w:rPr>
                <w:lang w:val="en-US"/>
              </w:rPr>
            </w:pPr>
            <w:r w:rsidRPr="00080CD6">
              <w:rPr>
                <w:lang w:val="en-US"/>
              </w:rPr>
              <w:t>Forest</w:t>
            </w:r>
          </w:p>
        </w:tc>
        <w:tc>
          <w:tcPr>
            <w:tcW w:w="2268" w:type="dxa"/>
            <w:tcBorders>
              <w:top w:val="nil"/>
              <w:left w:val="nil"/>
              <w:bottom w:val="nil"/>
              <w:right w:val="nil"/>
            </w:tcBorders>
            <w:shd w:val="pct5" w:color="auto" w:fill="auto"/>
          </w:tcPr>
          <w:p w14:paraId="5B9AA5D4" w14:textId="77777777" w:rsidR="00B43E18" w:rsidRPr="006A7850" w:rsidRDefault="00B43E18" w:rsidP="00677B0A">
            <w:pPr>
              <w:jc w:val="left"/>
              <w:rPr>
                <w:sz w:val="18"/>
                <w:szCs w:val="18"/>
                <w:lang w:val="en-US"/>
              </w:rPr>
            </w:pPr>
            <w:r w:rsidRPr="006A7850">
              <w:rPr>
                <w:sz w:val="18"/>
                <w:szCs w:val="18"/>
                <w:lang w:val="en-US"/>
              </w:rPr>
              <w:t xml:space="preserve">N limitation based on exceedance of C/N ratio </w:t>
            </w:r>
          </w:p>
        </w:tc>
        <w:tc>
          <w:tcPr>
            <w:tcW w:w="2977" w:type="dxa"/>
            <w:tcBorders>
              <w:left w:val="nil"/>
              <w:right w:val="nil"/>
            </w:tcBorders>
          </w:tcPr>
          <w:p w14:paraId="56D8A129" w14:textId="77777777" w:rsidR="00B43E18" w:rsidRPr="006A7850" w:rsidRDefault="00B43E18" w:rsidP="00677B0A">
            <w:pPr>
              <w:rPr>
                <w:sz w:val="18"/>
                <w:szCs w:val="18"/>
              </w:rPr>
            </w:pPr>
            <w:r w:rsidRPr="006A7850">
              <w:rPr>
                <w:sz w:val="18"/>
                <w:szCs w:val="18"/>
                <w:lang w:val="en-US"/>
              </w:rPr>
              <w:t xml:space="preserve">C/N </w:t>
            </w:r>
            <w:r w:rsidRPr="006A7850">
              <w:rPr>
                <w:sz w:val="18"/>
                <w:szCs w:val="18"/>
              </w:rPr>
              <w:t>20-25</w:t>
            </w:r>
          </w:p>
          <w:p w14:paraId="4FAB985B" w14:textId="77777777" w:rsidR="00B43E18" w:rsidRPr="006A7850" w:rsidRDefault="00B43E18" w:rsidP="00677B0A">
            <w:pPr>
              <w:rPr>
                <w:sz w:val="18"/>
                <w:szCs w:val="18"/>
              </w:rPr>
            </w:pPr>
            <w:r w:rsidRPr="006A7850">
              <w:rPr>
                <w:sz w:val="18"/>
                <w:szCs w:val="18"/>
              </w:rPr>
              <w:t>leakage f</w:t>
            </w:r>
            <w:r w:rsidRPr="006A7850">
              <w:rPr>
                <w:sz w:val="18"/>
                <w:szCs w:val="18"/>
                <w:lang w:val="en-US"/>
              </w:rPr>
              <w:t>r</w:t>
            </w:r>
            <w:r w:rsidRPr="006A7850">
              <w:rPr>
                <w:sz w:val="18"/>
                <w:szCs w:val="18"/>
              </w:rPr>
              <w:t>om forests</w:t>
            </w:r>
            <w:r w:rsidRPr="006A7850">
              <w:rPr>
                <w:sz w:val="18"/>
                <w:szCs w:val="18"/>
                <w:lang w:val="en-US"/>
              </w:rPr>
              <w:t xml:space="preserve">: </w:t>
            </w:r>
            <w:r w:rsidRPr="006A7850">
              <w:rPr>
                <w:sz w:val="18"/>
                <w:szCs w:val="18"/>
              </w:rPr>
              <w:t xml:space="preserve">1 </w:t>
            </w:r>
            <w:r w:rsidRPr="006A7850">
              <w:rPr>
                <w:sz w:val="18"/>
                <w:szCs w:val="18"/>
                <w:lang w:val="en-US"/>
              </w:rPr>
              <w:t>[</w:t>
            </w:r>
            <w:r w:rsidRPr="006A7850">
              <w:rPr>
                <w:sz w:val="18"/>
                <w:szCs w:val="18"/>
              </w:rPr>
              <w:t>mg N l</w:t>
            </w:r>
            <w:r w:rsidRPr="006A7850">
              <w:rPr>
                <w:sz w:val="18"/>
                <w:szCs w:val="18"/>
                <w:vertAlign w:val="superscript"/>
              </w:rPr>
              <w:t>-1</w:t>
            </w:r>
            <w:r w:rsidRPr="006A7850">
              <w:rPr>
                <w:sz w:val="18"/>
                <w:szCs w:val="18"/>
                <w:lang w:val="en-US"/>
              </w:rPr>
              <w:t>]</w:t>
            </w:r>
          </w:p>
        </w:tc>
        <w:tc>
          <w:tcPr>
            <w:tcW w:w="3119" w:type="dxa"/>
            <w:gridSpan w:val="2"/>
            <w:tcBorders>
              <w:left w:val="nil"/>
              <w:right w:val="nil"/>
            </w:tcBorders>
          </w:tcPr>
          <w:p w14:paraId="0500BB92" w14:textId="77777777" w:rsidR="00B43E18" w:rsidRPr="006A7850" w:rsidRDefault="00B43E18" w:rsidP="00677B0A">
            <w:pPr>
              <w:jc w:val="left"/>
              <w:rPr>
                <w:sz w:val="18"/>
                <w:szCs w:val="18"/>
                <w:lang w:val="en-US"/>
              </w:rPr>
            </w:pPr>
            <w:r w:rsidRPr="006A7850">
              <w:rPr>
                <w:sz w:val="18"/>
                <w:szCs w:val="18"/>
                <w:lang w:val="en-US"/>
              </w:rPr>
              <w:t>in the organic layer</w:t>
            </w:r>
          </w:p>
        </w:tc>
      </w:tr>
      <w:tr w:rsidR="00B43E18" w14:paraId="49946087" w14:textId="77777777" w:rsidTr="001C6C1E">
        <w:trPr>
          <w:gridAfter w:val="1"/>
          <w:wAfter w:w="7" w:type="dxa"/>
        </w:trPr>
        <w:tc>
          <w:tcPr>
            <w:tcW w:w="1129" w:type="dxa"/>
            <w:tcBorders>
              <w:left w:val="nil"/>
              <w:right w:val="nil"/>
            </w:tcBorders>
          </w:tcPr>
          <w:p w14:paraId="150533BB" w14:textId="77777777" w:rsidR="00B43E18" w:rsidRPr="00080CD6" w:rsidRDefault="00B43E18" w:rsidP="00C410A7">
            <w:pPr>
              <w:pStyle w:val="EEAtableleft"/>
              <w:rPr>
                <w:lang w:val="en-US"/>
              </w:rPr>
            </w:pPr>
            <w:r w:rsidRPr="00080CD6">
              <w:rPr>
                <w:lang w:val="en-US"/>
              </w:rPr>
              <w:t>Agriculture</w:t>
            </w:r>
          </w:p>
        </w:tc>
        <w:tc>
          <w:tcPr>
            <w:tcW w:w="2268" w:type="dxa"/>
            <w:tcBorders>
              <w:top w:val="nil"/>
              <w:left w:val="nil"/>
              <w:bottom w:val="nil"/>
              <w:right w:val="nil"/>
            </w:tcBorders>
            <w:shd w:val="pct5" w:color="auto" w:fill="auto"/>
          </w:tcPr>
          <w:p w14:paraId="039E5624" w14:textId="77777777" w:rsidR="00B43E18" w:rsidRPr="006A7850" w:rsidRDefault="00B43E18" w:rsidP="00677B0A">
            <w:pPr>
              <w:jc w:val="left"/>
              <w:rPr>
                <w:sz w:val="18"/>
                <w:szCs w:val="18"/>
                <w:lang w:val="en-US"/>
              </w:rPr>
            </w:pPr>
            <w:r w:rsidRPr="006A7850">
              <w:rPr>
                <w:sz w:val="18"/>
                <w:szCs w:val="18"/>
                <w:lang w:val="en-US"/>
              </w:rPr>
              <w:t>Deceedance of optimal phosphorus</w:t>
            </w:r>
          </w:p>
        </w:tc>
        <w:tc>
          <w:tcPr>
            <w:tcW w:w="2977" w:type="dxa"/>
            <w:tcBorders>
              <w:left w:val="nil"/>
              <w:right w:val="nil"/>
            </w:tcBorders>
          </w:tcPr>
          <w:p w14:paraId="6C5B684F" w14:textId="77777777" w:rsidR="00B43E18" w:rsidRPr="006A7850" w:rsidRDefault="00B43E18" w:rsidP="00677B0A">
            <w:pPr>
              <w:rPr>
                <w:sz w:val="18"/>
                <w:szCs w:val="18"/>
                <w:lang w:val="en-US"/>
              </w:rPr>
            </w:pPr>
            <w:r w:rsidRPr="006A7850">
              <w:rPr>
                <w:sz w:val="18"/>
                <w:szCs w:val="18"/>
                <w:lang w:val="en-US"/>
              </w:rPr>
              <w:t>P concentration 25-35 (optimal P fertility class)</w:t>
            </w:r>
          </w:p>
        </w:tc>
        <w:tc>
          <w:tcPr>
            <w:tcW w:w="3119" w:type="dxa"/>
            <w:gridSpan w:val="2"/>
            <w:tcBorders>
              <w:left w:val="nil"/>
              <w:right w:val="nil"/>
            </w:tcBorders>
          </w:tcPr>
          <w:p w14:paraId="09BD989C" w14:textId="77777777" w:rsidR="00B43E18" w:rsidRPr="006A7850" w:rsidRDefault="00B43E18" w:rsidP="00677B0A">
            <w:pPr>
              <w:jc w:val="left"/>
              <w:rPr>
                <w:sz w:val="18"/>
                <w:szCs w:val="18"/>
              </w:rPr>
            </w:pPr>
            <w:r w:rsidRPr="006A7850">
              <w:rPr>
                <w:sz w:val="18"/>
                <w:szCs w:val="18"/>
              </w:rPr>
              <w:t>Extractable P concentration</w:t>
            </w:r>
            <w:r w:rsidRPr="006A7850">
              <w:rPr>
                <w:sz w:val="18"/>
                <w:szCs w:val="18"/>
                <w:lang w:val="en-US"/>
              </w:rPr>
              <w:t xml:space="preserve"> &lt; optimum (value range refers to Mehlich 3-ICP; also available: P-Bray P1 and Olsen P) </w:t>
            </w:r>
          </w:p>
        </w:tc>
      </w:tr>
      <w:tr w:rsidR="00B43E18" w14:paraId="76F781F7" w14:textId="77777777" w:rsidTr="001C6C1E">
        <w:trPr>
          <w:gridAfter w:val="1"/>
          <w:wAfter w:w="7" w:type="dxa"/>
        </w:trPr>
        <w:tc>
          <w:tcPr>
            <w:tcW w:w="1129" w:type="dxa"/>
            <w:tcBorders>
              <w:left w:val="nil"/>
              <w:right w:val="nil"/>
            </w:tcBorders>
          </w:tcPr>
          <w:p w14:paraId="5C47FC4C" w14:textId="77777777" w:rsidR="00B43E18" w:rsidRPr="00080CD6" w:rsidRDefault="00B43E18" w:rsidP="00C410A7">
            <w:pPr>
              <w:pStyle w:val="EEAtableleft"/>
              <w:rPr>
                <w:lang w:val="en-US"/>
              </w:rPr>
            </w:pPr>
            <w:r w:rsidRPr="00080CD6">
              <w:rPr>
                <w:lang w:val="en-US"/>
              </w:rPr>
              <w:t>Forest land</w:t>
            </w:r>
          </w:p>
        </w:tc>
        <w:tc>
          <w:tcPr>
            <w:tcW w:w="2268" w:type="dxa"/>
            <w:tcBorders>
              <w:top w:val="nil"/>
              <w:left w:val="nil"/>
              <w:right w:val="nil"/>
            </w:tcBorders>
            <w:shd w:val="pct5" w:color="auto" w:fill="auto"/>
          </w:tcPr>
          <w:p w14:paraId="50A6E6F8" w14:textId="77777777" w:rsidR="00B43E18" w:rsidRPr="006A7850" w:rsidRDefault="00B43E18" w:rsidP="00677B0A">
            <w:pPr>
              <w:jc w:val="left"/>
              <w:rPr>
                <w:sz w:val="18"/>
                <w:szCs w:val="18"/>
                <w:lang w:val="en-US"/>
              </w:rPr>
            </w:pPr>
            <w:r w:rsidRPr="006A7850">
              <w:rPr>
                <w:sz w:val="18"/>
                <w:szCs w:val="18"/>
                <w:lang w:val="en-US"/>
              </w:rPr>
              <w:t xml:space="preserve">P limitation based on exceedance of N/P ratio </w:t>
            </w:r>
          </w:p>
        </w:tc>
        <w:tc>
          <w:tcPr>
            <w:tcW w:w="2977" w:type="dxa"/>
            <w:tcBorders>
              <w:left w:val="nil"/>
              <w:right w:val="nil"/>
            </w:tcBorders>
          </w:tcPr>
          <w:p w14:paraId="2DF79F7F" w14:textId="77777777" w:rsidR="00B43E18" w:rsidRPr="006A7850" w:rsidRDefault="00B43E18" w:rsidP="00677B0A">
            <w:pPr>
              <w:rPr>
                <w:sz w:val="18"/>
                <w:szCs w:val="18"/>
                <w:lang w:val="en-US"/>
              </w:rPr>
            </w:pPr>
            <w:r w:rsidRPr="006A7850">
              <w:rPr>
                <w:sz w:val="18"/>
                <w:szCs w:val="18"/>
                <w:lang w:val="en-US"/>
              </w:rPr>
              <w:t xml:space="preserve">N/P ratio &gt; 18 (coniferous forests) </w:t>
            </w:r>
          </w:p>
          <w:p w14:paraId="0FAE9817" w14:textId="77777777" w:rsidR="00B43E18" w:rsidRPr="006A7850" w:rsidRDefault="00B43E18" w:rsidP="00677B0A">
            <w:pPr>
              <w:rPr>
                <w:sz w:val="18"/>
                <w:szCs w:val="18"/>
                <w:lang w:val="en-US"/>
              </w:rPr>
            </w:pPr>
            <w:r w:rsidRPr="006A7850">
              <w:rPr>
                <w:sz w:val="18"/>
                <w:szCs w:val="18"/>
                <w:lang w:val="en-US"/>
              </w:rPr>
              <w:t>N/P ratio &gt; 25 (deciduous forests)</w:t>
            </w:r>
          </w:p>
        </w:tc>
        <w:tc>
          <w:tcPr>
            <w:tcW w:w="3119" w:type="dxa"/>
            <w:gridSpan w:val="2"/>
            <w:tcBorders>
              <w:left w:val="nil"/>
              <w:right w:val="nil"/>
            </w:tcBorders>
          </w:tcPr>
          <w:p w14:paraId="380D72BD" w14:textId="77777777" w:rsidR="00B43E18" w:rsidRPr="006A7850" w:rsidRDefault="00B43E18" w:rsidP="00677B0A">
            <w:pPr>
              <w:jc w:val="left"/>
              <w:rPr>
                <w:sz w:val="18"/>
                <w:szCs w:val="18"/>
              </w:rPr>
            </w:pPr>
            <w:r w:rsidRPr="006A7850">
              <w:rPr>
                <w:sz w:val="18"/>
                <w:szCs w:val="18"/>
                <w:lang w:val="en-US"/>
              </w:rPr>
              <w:t>in the organic layer</w:t>
            </w:r>
          </w:p>
        </w:tc>
      </w:tr>
      <w:tr w:rsidR="00B43E18" w:rsidRPr="00080CD6" w14:paraId="4A78E155" w14:textId="77777777" w:rsidTr="001C6C1E">
        <w:tc>
          <w:tcPr>
            <w:tcW w:w="9500" w:type="dxa"/>
            <w:gridSpan w:val="6"/>
            <w:tcBorders>
              <w:left w:val="nil"/>
              <w:right w:val="nil"/>
            </w:tcBorders>
          </w:tcPr>
          <w:p w14:paraId="1041E19C" w14:textId="77777777" w:rsidR="00B43E18" w:rsidRPr="00080CD6" w:rsidRDefault="00B43E18" w:rsidP="00C410A7">
            <w:pPr>
              <w:pStyle w:val="EEAStandardbold"/>
            </w:pPr>
            <w:r w:rsidRPr="00080CD6">
              <w:rPr>
                <w:lang w:val="en-US"/>
              </w:rPr>
              <w:t>Acidification</w:t>
            </w:r>
          </w:p>
        </w:tc>
      </w:tr>
      <w:tr w:rsidR="00B43E18" w14:paraId="6CE9F0F9" w14:textId="77777777" w:rsidTr="001C6C1E">
        <w:trPr>
          <w:gridAfter w:val="1"/>
          <w:wAfter w:w="7" w:type="dxa"/>
        </w:trPr>
        <w:tc>
          <w:tcPr>
            <w:tcW w:w="1129" w:type="dxa"/>
            <w:tcBorders>
              <w:left w:val="nil"/>
              <w:right w:val="nil"/>
            </w:tcBorders>
          </w:tcPr>
          <w:p w14:paraId="1A69548B" w14:textId="77777777" w:rsidR="00B43E18" w:rsidRPr="00080CD6" w:rsidRDefault="00B43E18" w:rsidP="00677B0A">
            <w:pPr>
              <w:jc w:val="right"/>
              <w:rPr>
                <w:i/>
                <w:iCs/>
                <w:sz w:val="20"/>
              </w:rPr>
            </w:pPr>
            <w:r w:rsidRPr="00080CD6">
              <w:rPr>
                <w:i/>
                <w:iCs/>
                <w:sz w:val="20"/>
                <w:lang w:val="en-US"/>
              </w:rPr>
              <w:t>Agriculture</w:t>
            </w:r>
          </w:p>
        </w:tc>
        <w:tc>
          <w:tcPr>
            <w:tcW w:w="2268" w:type="dxa"/>
            <w:tcBorders>
              <w:left w:val="nil"/>
              <w:bottom w:val="nil"/>
              <w:right w:val="nil"/>
            </w:tcBorders>
            <w:shd w:val="pct5" w:color="auto" w:fill="auto"/>
          </w:tcPr>
          <w:p w14:paraId="55DD2A18" w14:textId="77777777" w:rsidR="00B43E18" w:rsidRPr="006A7850" w:rsidRDefault="00B43E18" w:rsidP="00677B0A">
            <w:pPr>
              <w:rPr>
                <w:sz w:val="18"/>
                <w:szCs w:val="18"/>
              </w:rPr>
            </w:pPr>
            <w:r w:rsidRPr="006A7850">
              <w:rPr>
                <w:sz w:val="18"/>
                <w:szCs w:val="18"/>
              </w:rPr>
              <w:t>Critical pH levels</w:t>
            </w:r>
          </w:p>
        </w:tc>
        <w:tc>
          <w:tcPr>
            <w:tcW w:w="2977" w:type="dxa"/>
            <w:tcBorders>
              <w:left w:val="nil"/>
              <w:right w:val="nil"/>
            </w:tcBorders>
          </w:tcPr>
          <w:p w14:paraId="20A4AD24" w14:textId="77777777" w:rsidR="00B43E18" w:rsidRPr="006A7850" w:rsidRDefault="00B43E18" w:rsidP="00677B0A">
            <w:pPr>
              <w:rPr>
                <w:sz w:val="18"/>
                <w:szCs w:val="18"/>
                <w:lang w:val="en-US"/>
              </w:rPr>
            </w:pPr>
            <w:r w:rsidRPr="006A7850">
              <w:rPr>
                <w:sz w:val="18"/>
                <w:szCs w:val="18"/>
                <w:lang w:val="en-US"/>
              </w:rPr>
              <w:t>pH &lt; 4.5 - 4.7</w:t>
            </w:r>
          </w:p>
        </w:tc>
        <w:tc>
          <w:tcPr>
            <w:tcW w:w="3119" w:type="dxa"/>
            <w:gridSpan w:val="2"/>
            <w:tcBorders>
              <w:left w:val="nil"/>
              <w:right w:val="nil"/>
            </w:tcBorders>
          </w:tcPr>
          <w:p w14:paraId="6893106C" w14:textId="77777777" w:rsidR="00B43E18" w:rsidRPr="006A7850" w:rsidRDefault="00B43E18" w:rsidP="00677B0A">
            <w:pPr>
              <w:rPr>
                <w:sz w:val="18"/>
                <w:szCs w:val="18"/>
              </w:rPr>
            </w:pPr>
          </w:p>
        </w:tc>
      </w:tr>
      <w:tr w:rsidR="00B43E18" w14:paraId="05E78EF5" w14:textId="77777777" w:rsidTr="001C6C1E">
        <w:trPr>
          <w:gridAfter w:val="1"/>
          <w:wAfter w:w="7" w:type="dxa"/>
        </w:trPr>
        <w:tc>
          <w:tcPr>
            <w:tcW w:w="1129" w:type="dxa"/>
            <w:tcBorders>
              <w:left w:val="nil"/>
              <w:right w:val="nil"/>
            </w:tcBorders>
          </w:tcPr>
          <w:p w14:paraId="65CE7651" w14:textId="77777777" w:rsidR="00B43E18" w:rsidRPr="00080CD6" w:rsidRDefault="00B43E18" w:rsidP="00677B0A">
            <w:pPr>
              <w:jc w:val="right"/>
              <w:rPr>
                <w:i/>
                <w:iCs/>
                <w:sz w:val="20"/>
              </w:rPr>
            </w:pPr>
            <w:r w:rsidRPr="00080CD6">
              <w:rPr>
                <w:i/>
                <w:iCs/>
                <w:sz w:val="20"/>
                <w:lang w:val="en-US"/>
              </w:rPr>
              <w:t>Forest land</w:t>
            </w:r>
          </w:p>
        </w:tc>
        <w:tc>
          <w:tcPr>
            <w:tcW w:w="2268" w:type="dxa"/>
            <w:tcBorders>
              <w:top w:val="nil"/>
              <w:left w:val="nil"/>
              <w:right w:val="nil"/>
            </w:tcBorders>
            <w:shd w:val="pct5" w:color="auto" w:fill="auto"/>
          </w:tcPr>
          <w:p w14:paraId="3C9DF6FD" w14:textId="77777777" w:rsidR="00B43E18" w:rsidRPr="006A7850" w:rsidRDefault="00B43E18" w:rsidP="00677B0A">
            <w:pPr>
              <w:rPr>
                <w:sz w:val="18"/>
                <w:szCs w:val="18"/>
              </w:rPr>
            </w:pPr>
            <w:r w:rsidRPr="006A7850">
              <w:rPr>
                <w:sz w:val="18"/>
                <w:szCs w:val="18"/>
                <w:lang w:val="en-US"/>
              </w:rPr>
              <w:t xml:space="preserve">Critical </w:t>
            </w:r>
            <w:r w:rsidRPr="006A7850">
              <w:rPr>
                <w:sz w:val="18"/>
                <w:szCs w:val="18"/>
              </w:rPr>
              <w:t>inorganic Al</w:t>
            </w:r>
            <w:r w:rsidRPr="006A7850">
              <w:rPr>
                <w:sz w:val="18"/>
                <w:szCs w:val="18"/>
                <w:lang w:val="en-US"/>
              </w:rPr>
              <w:t xml:space="preserve"> levels </w:t>
            </w:r>
          </w:p>
        </w:tc>
        <w:tc>
          <w:tcPr>
            <w:tcW w:w="2977" w:type="dxa"/>
            <w:tcBorders>
              <w:left w:val="nil"/>
              <w:right w:val="nil"/>
            </w:tcBorders>
          </w:tcPr>
          <w:p w14:paraId="13192187" w14:textId="77777777" w:rsidR="00B43E18" w:rsidRPr="006A7850" w:rsidRDefault="00B43E18" w:rsidP="00677B0A">
            <w:pPr>
              <w:rPr>
                <w:sz w:val="18"/>
                <w:szCs w:val="18"/>
              </w:rPr>
            </w:pPr>
            <w:r w:rsidRPr="006A7850">
              <w:rPr>
                <w:sz w:val="18"/>
                <w:szCs w:val="18"/>
              </w:rPr>
              <w:t xml:space="preserve">base cation/aluminium ratio </w:t>
            </w:r>
            <w:r w:rsidRPr="006A7850">
              <w:rPr>
                <w:sz w:val="18"/>
                <w:szCs w:val="18"/>
                <w:lang w:val="en-US"/>
              </w:rPr>
              <w:t>=</w:t>
            </w:r>
            <w:r w:rsidRPr="006A7850">
              <w:rPr>
                <w:sz w:val="18"/>
                <w:szCs w:val="18"/>
              </w:rPr>
              <w:t xml:space="preserve"> 1 (0.5-2.0)</w:t>
            </w:r>
          </w:p>
        </w:tc>
        <w:tc>
          <w:tcPr>
            <w:tcW w:w="3119" w:type="dxa"/>
            <w:gridSpan w:val="2"/>
            <w:tcBorders>
              <w:left w:val="nil"/>
              <w:right w:val="nil"/>
            </w:tcBorders>
          </w:tcPr>
          <w:p w14:paraId="4627F4CF" w14:textId="77777777" w:rsidR="00B43E18" w:rsidRPr="006A7850" w:rsidRDefault="00B43E18" w:rsidP="00677B0A">
            <w:pPr>
              <w:rPr>
                <w:sz w:val="18"/>
                <w:szCs w:val="18"/>
              </w:rPr>
            </w:pPr>
            <w:r w:rsidRPr="006A7850">
              <w:rPr>
                <w:sz w:val="18"/>
                <w:szCs w:val="18"/>
                <w:lang w:val="en-US"/>
              </w:rPr>
              <w:t xml:space="preserve">Bc: </w:t>
            </w:r>
            <w:r w:rsidRPr="006A7850">
              <w:rPr>
                <w:sz w:val="18"/>
                <w:szCs w:val="18"/>
              </w:rPr>
              <w:t>Ca+Mg+K</w:t>
            </w:r>
          </w:p>
        </w:tc>
      </w:tr>
      <w:tr w:rsidR="00B43E18" w:rsidRPr="00080CD6" w14:paraId="588A9657" w14:textId="77777777" w:rsidTr="001C6C1E">
        <w:tc>
          <w:tcPr>
            <w:tcW w:w="9500" w:type="dxa"/>
            <w:gridSpan w:val="6"/>
            <w:tcBorders>
              <w:left w:val="nil"/>
              <w:right w:val="nil"/>
            </w:tcBorders>
          </w:tcPr>
          <w:p w14:paraId="1F63F3BF" w14:textId="77777777" w:rsidR="00B43E18" w:rsidRPr="00080CD6" w:rsidRDefault="00B43E18" w:rsidP="00C410A7">
            <w:pPr>
              <w:pStyle w:val="EEAStandardbold"/>
            </w:pPr>
            <w:r w:rsidRPr="00080CD6">
              <w:rPr>
                <w:lang w:val="en-US"/>
              </w:rPr>
              <w:t>Soil pollution</w:t>
            </w:r>
          </w:p>
        </w:tc>
      </w:tr>
      <w:tr w:rsidR="00B43E18" w:rsidRPr="009C6AA4" w14:paraId="6E694025" w14:textId="77777777" w:rsidTr="001C6C1E">
        <w:trPr>
          <w:gridAfter w:val="1"/>
          <w:wAfter w:w="7" w:type="dxa"/>
        </w:trPr>
        <w:tc>
          <w:tcPr>
            <w:tcW w:w="1129" w:type="dxa"/>
            <w:tcBorders>
              <w:left w:val="nil"/>
              <w:right w:val="nil"/>
            </w:tcBorders>
          </w:tcPr>
          <w:p w14:paraId="57B66B09" w14:textId="77777777" w:rsidR="00B43E18" w:rsidRPr="00080CD6" w:rsidRDefault="00B43E18" w:rsidP="00C410A7">
            <w:pPr>
              <w:pStyle w:val="EEAtableleft"/>
              <w:rPr>
                <w:lang w:val="en-US"/>
              </w:rPr>
            </w:pPr>
            <w:r w:rsidRPr="00080CD6">
              <w:rPr>
                <w:lang w:val="en-US"/>
              </w:rPr>
              <w:t>Cropland</w:t>
            </w:r>
          </w:p>
        </w:tc>
        <w:tc>
          <w:tcPr>
            <w:tcW w:w="2268" w:type="dxa"/>
            <w:tcBorders>
              <w:left w:val="nil"/>
              <w:right w:val="nil"/>
            </w:tcBorders>
            <w:shd w:val="pct5" w:color="auto" w:fill="auto"/>
          </w:tcPr>
          <w:p w14:paraId="0C351389" w14:textId="77777777" w:rsidR="00B43E18" w:rsidRPr="006A7850" w:rsidRDefault="00B43E18" w:rsidP="00677B0A">
            <w:pPr>
              <w:jc w:val="left"/>
              <w:rPr>
                <w:sz w:val="18"/>
                <w:szCs w:val="18"/>
                <w:lang w:val="en-US"/>
              </w:rPr>
            </w:pPr>
            <w:r w:rsidRPr="006A7850">
              <w:rPr>
                <w:sz w:val="18"/>
                <w:szCs w:val="18"/>
                <w:lang w:val="en-US"/>
              </w:rPr>
              <w:t>Exceedance of screening values for critical risk from heavy metal pollution</w:t>
            </w:r>
          </w:p>
        </w:tc>
        <w:tc>
          <w:tcPr>
            <w:tcW w:w="2977" w:type="dxa"/>
            <w:tcBorders>
              <w:left w:val="nil"/>
              <w:right w:val="nil"/>
            </w:tcBorders>
          </w:tcPr>
          <w:p w14:paraId="6B3B2B62" w14:textId="77777777" w:rsidR="00B43E18" w:rsidRPr="006A7850" w:rsidRDefault="00B43E18" w:rsidP="00677B0A">
            <w:pPr>
              <w:rPr>
                <w:sz w:val="18"/>
                <w:szCs w:val="18"/>
                <w:lang w:val="en-US"/>
              </w:rPr>
            </w:pPr>
            <w:r w:rsidRPr="006A7850">
              <w:rPr>
                <w:sz w:val="18"/>
                <w:szCs w:val="18"/>
                <w:lang w:val="en-US"/>
              </w:rPr>
              <w:t>Cd, Cu, Pb and Zn by country [mg/kg]</w:t>
            </w:r>
          </w:p>
          <w:p w14:paraId="57FC4CC8" w14:textId="77777777" w:rsidR="00B43E18" w:rsidRPr="006A7850" w:rsidRDefault="00B43E18" w:rsidP="00677B0A">
            <w:pPr>
              <w:rPr>
                <w:i/>
                <w:iCs/>
                <w:sz w:val="18"/>
                <w:szCs w:val="18"/>
                <w:lang w:val="en-US"/>
              </w:rPr>
            </w:pPr>
            <w:r w:rsidRPr="006A7850">
              <w:rPr>
                <w:i/>
                <w:iCs/>
                <w:sz w:val="18"/>
                <w:szCs w:val="18"/>
                <w:lang w:val="en-US"/>
              </w:rPr>
              <w:t>(Arsenic could be added; others?)</w:t>
            </w:r>
          </w:p>
        </w:tc>
        <w:tc>
          <w:tcPr>
            <w:tcW w:w="3119" w:type="dxa"/>
            <w:gridSpan w:val="2"/>
            <w:tcBorders>
              <w:left w:val="nil"/>
              <w:right w:val="nil"/>
            </w:tcBorders>
          </w:tcPr>
          <w:p w14:paraId="051A6A01" w14:textId="77777777" w:rsidR="00B43E18" w:rsidRPr="006A7850" w:rsidRDefault="00B43E18" w:rsidP="00677B0A">
            <w:pPr>
              <w:jc w:val="left"/>
              <w:rPr>
                <w:sz w:val="18"/>
                <w:szCs w:val="18"/>
                <w:lang w:val="en-US"/>
              </w:rPr>
            </w:pPr>
            <w:r w:rsidRPr="006A7850">
              <w:rPr>
                <w:sz w:val="18"/>
                <w:szCs w:val="18"/>
                <w:lang w:val="en-US"/>
              </w:rPr>
              <w:t>Country-specific values vary broadly and are not necessarily comparable</w:t>
            </w:r>
          </w:p>
          <w:p w14:paraId="61615791" w14:textId="77777777" w:rsidR="00B43E18" w:rsidRPr="006A7850" w:rsidRDefault="00B43E18" w:rsidP="00677B0A">
            <w:pPr>
              <w:jc w:val="left"/>
              <w:rPr>
                <w:sz w:val="18"/>
                <w:szCs w:val="18"/>
                <w:lang w:val="en-US"/>
              </w:rPr>
            </w:pPr>
            <w:r w:rsidRPr="006A7850">
              <w:rPr>
                <w:sz w:val="18"/>
                <w:szCs w:val="18"/>
                <w:lang w:val="en-US"/>
              </w:rPr>
              <w:t>Stratification by land use and soil texture</w:t>
            </w:r>
          </w:p>
        </w:tc>
      </w:tr>
      <w:tr w:rsidR="00B43E18" w:rsidRPr="00080CD6" w14:paraId="570B233E" w14:textId="77777777" w:rsidTr="001C6C1E">
        <w:tc>
          <w:tcPr>
            <w:tcW w:w="9500" w:type="dxa"/>
            <w:gridSpan w:val="6"/>
            <w:tcBorders>
              <w:left w:val="nil"/>
              <w:right w:val="nil"/>
            </w:tcBorders>
          </w:tcPr>
          <w:p w14:paraId="56CECFEA" w14:textId="77777777" w:rsidR="00B43E18" w:rsidRPr="00080CD6" w:rsidRDefault="00B43E18" w:rsidP="00C410A7">
            <w:pPr>
              <w:pStyle w:val="EEAStandardbold"/>
            </w:pPr>
            <w:r w:rsidRPr="00080CD6">
              <w:rPr>
                <w:lang w:val="en-US"/>
              </w:rPr>
              <w:t>Soil erosion</w:t>
            </w:r>
          </w:p>
        </w:tc>
      </w:tr>
      <w:tr w:rsidR="00B43E18" w14:paraId="1215938C" w14:textId="77777777" w:rsidTr="001C6C1E">
        <w:trPr>
          <w:gridAfter w:val="1"/>
          <w:wAfter w:w="7" w:type="dxa"/>
        </w:trPr>
        <w:tc>
          <w:tcPr>
            <w:tcW w:w="1129" w:type="dxa"/>
            <w:tcBorders>
              <w:left w:val="nil"/>
              <w:right w:val="nil"/>
            </w:tcBorders>
          </w:tcPr>
          <w:p w14:paraId="6153D631" w14:textId="77777777" w:rsidR="00B43E18" w:rsidRPr="00080CD6" w:rsidRDefault="00B43E18" w:rsidP="00C410A7">
            <w:pPr>
              <w:pStyle w:val="EEAtableleft"/>
              <w:rPr>
                <w:lang w:val="en-US"/>
              </w:rPr>
            </w:pPr>
            <w:r w:rsidRPr="00080CD6">
              <w:rPr>
                <w:lang w:val="en-US"/>
              </w:rPr>
              <w:t>Agriculture</w:t>
            </w:r>
          </w:p>
        </w:tc>
        <w:tc>
          <w:tcPr>
            <w:tcW w:w="2268" w:type="dxa"/>
            <w:tcBorders>
              <w:left w:val="nil"/>
              <w:right w:val="nil"/>
            </w:tcBorders>
            <w:shd w:val="pct5" w:color="auto" w:fill="auto"/>
          </w:tcPr>
          <w:p w14:paraId="684CF961" w14:textId="77777777" w:rsidR="00B43E18" w:rsidRPr="006A7850" w:rsidRDefault="00B43E18" w:rsidP="00D30481">
            <w:pPr>
              <w:jc w:val="left"/>
              <w:rPr>
                <w:sz w:val="18"/>
                <w:szCs w:val="18"/>
              </w:rPr>
            </w:pPr>
            <w:r w:rsidRPr="006A7850">
              <w:rPr>
                <w:sz w:val="18"/>
                <w:szCs w:val="18"/>
                <w:lang w:val="en-US"/>
              </w:rPr>
              <w:t>Actual rate of soil loss by water erosion</w:t>
            </w:r>
          </w:p>
        </w:tc>
        <w:tc>
          <w:tcPr>
            <w:tcW w:w="2977" w:type="dxa"/>
            <w:tcBorders>
              <w:left w:val="nil"/>
              <w:right w:val="nil"/>
            </w:tcBorders>
          </w:tcPr>
          <w:p w14:paraId="6C07E76F" w14:textId="77777777" w:rsidR="00B43E18" w:rsidRPr="006A7850" w:rsidRDefault="00B43E18" w:rsidP="00677B0A">
            <w:pPr>
              <w:rPr>
                <w:sz w:val="18"/>
                <w:szCs w:val="18"/>
                <w:lang w:val="en-US"/>
              </w:rPr>
            </w:pPr>
            <w:r w:rsidRPr="006A7850">
              <w:rPr>
                <w:sz w:val="18"/>
                <w:szCs w:val="18"/>
                <w:lang w:val="en-US"/>
              </w:rPr>
              <w:t>2</w:t>
            </w:r>
            <w:r w:rsidRPr="006A7850">
              <w:rPr>
                <w:sz w:val="18"/>
                <w:szCs w:val="18"/>
              </w:rPr>
              <w:t xml:space="preserve"> </w:t>
            </w:r>
            <w:r w:rsidRPr="006A7850">
              <w:rPr>
                <w:sz w:val="18"/>
                <w:szCs w:val="18"/>
                <w:lang w:val="en-US"/>
              </w:rPr>
              <w:t>[</w:t>
            </w:r>
            <w:r w:rsidRPr="006A7850">
              <w:rPr>
                <w:sz w:val="18"/>
                <w:szCs w:val="18"/>
              </w:rPr>
              <w:t>t</w:t>
            </w:r>
            <w:r w:rsidRPr="006A7850">
              <w:rPr>
                <w:sz w:val="18"/>
                <w:szCs w:val="18"/>
                <w:lang w:val="en-US"/>
              </w:rPr>
              <w:t xml:space="preserve"> </w:t>
            </w:r>
            <w:r w:rsidRPr="006A7850">
              <w:rPr>
                <w:sz w:val="18"/>
                <w:szCs w:val="18"/>
              </w:rPr>
              <w:t>ha</w:t>
            </w:r>
            <w:r w:rsidRPr="006A7850">
              <w:rPr>
                <w:sz w:val="18"/>
                <w:szCs w:val="18"/>
                <w:vertAlign w:val="superscript"/>
                <w:lang w:val="en-US"/>
              </w:rPr>
              <w:t>-1</w:t>
            </w:r>
            <w:r w:rsidRPr="006A7850">
              <w:rPr>
                <w:sz w:val="18"/>
                <w:szCs w:val="18"/>
                <w:lang w:val="en-US"/>
              </w:rPr>
              <w:t xml:space="preserve"> </w:t>
            </w:r>
            <w:r w:rsidRPr="006A7850">
              <w:rPr>
                <w:sz w:val="18"/>
                <w:szCs w:val="18"/>
              </w:rPr>
              <w:t>yr</w:t>
            </w:r>
            <w:r w:rsidRPr="006A7850">
              <w:rPr>
                <w:sz w:val="18"/>
                <w:szCs w:val="18"/>
                <w:vertAlign w:val="superscript"/>
                <w:lang w:val="en-US"/>
              </w:rPr>
              <w:t>-1</w:t>
            </w:r>
            <w:r w:rsidRPr="006A7850">
              <w:rPr>
                <w:sz w:val="18"/>
                <w:szCs w:val="18"/>
                <w:lang w:val="en-US"/>
              </w:rPr>
              <w:t>]</w:t>
            </w:r>
          </w:p>
          <w:p w14:paraId="06468E6E" w14:textId="77777777" w:rsidR="00B43E18" w:rsidRPr="006A7850" w:rsidRDefault="00B43E18" w:rsidP="00677B0A">
            <w:pPr>
              <w:rPr>
                <w:sz w:val="18"/>
                <w:szCs w:val="18"/>
                <w:lang w:val="en-US"/>
              </w:rPr>
            </w:pPr>
            <w:r w:rsidRPr="006A7850">
              <w:rPr>
                <w:sz w:val="18"/>
                <w:szCs w:val="18"/>
                <w:lang w:val="en-US"/>
              </w:rPr>
              <w:t>(soil loss tolerance)</w:t>
            </w:r>
          </w:p>
        </w:tc>
        <w:tc>
          <w:tcPr>
            <w:tcW w:w="3119" w:type="dxa"/>
            <w:gridSpan w:val="2"/>
            <w:tcBorders>
              <w:left w:val="nil"/>
              <w:right w:val="nil"/>
            </w:tcBorders>
          </w:tcPr>
          <w:p w14:paraId="5BD2C43D" w14:textId="77777777" w:rsidR="00B43E18" w:rsidRPr="006A7850" w:rsidRDefault="00B43E18" w:rsidP="00677B0A">
            <w:pPr>
              <w:jc w:val="left"/>
              <w:rPr>
                <w:sz w:val="18"/>
                <w:szCs w:val="18"/>
                <w:lang w:val="en-US"/>
              </w:rPr>
            </w:pPr>
            <w:r w:rsidRPr="006A7850">
              <w:rPr>
                <w:sz w:val="18"/>
                <w:szCs w:val="18"/>
                <w:lang w:val="en-US"/>
              </w:rPr>
              <w:t>Threshold for shallow soils &lt; 70 cm: 2 t/ha/yr (Switzerland)</w:t>
            </w:r>
          </w:p>
          <w:p w14:paraId="3FBF2D6E" w14:textId="77777777" w:rsidR="00B43E18" w:rsidRPr="006A7850" w:rsidRDefault="00B43E18" w:rsidP="00677B0A">
            <w:pPr>
              <w:jc w:val="left"/>
              <w:rPr>
                <w:sz w:val="18"/>
                <w:szCs w:val="18"/>
                <w:lang w:val="en-US"/>
              </w:rPr>
            </w:pPr>
            <w:r w:rsidRPr="006A7850">
              <w:rPr>
                <w:sz w:val="18"/>
                <w:szCs w:val="18"/>
                <w:lang w:val="en-US"/>
              </w:rPr>
              <w:t xml:space="preserve">Soil formation rate: </w:t>
            </w:r>
            <w:r w:rsidRPr="006A7850">
              <w:rPr>
                <w:sz w:val="18"/>
                <w:szCs w:val="18"/>
              </w:rPr>
              <w:t>0.3 to 1.4 t/ha/yr</w:t>
            </w:r>
            <w:r w:rsidRPr="006A7850">
              <w:rPr>
                <w:sz w:val="18"/>
                <w:szCs w:val="18"/>
                <w:lang w:val="en-US"/>
              </w:rPr>
              <w:t xml:space="preserve"> (Verheijen et al. 2009)  </w:t>
            </w:r>
          </w:p>
          <w:p w14:paraId="243EA390" w14:textId="77777777" w:rsidR="00B43E18" w:rsidRPr="006A7850" w:rsidRDefault="00B43E18" w:rsidP="00677B0A">
            <w:pPr>
              <w:jc w:val="left"/>
              <w:rPr>
                <w:sz w:val="18"/>
                <w:szCs w:val="18"/>
              </w:rPr>
            </w:pPr>
            <w:r w:rsidRPr="006A7850">
              <w:rPr>
                <w:sz w:val="18"/>
                <w:szCs w:val="18"/>
                <w:lang w:val="en-US"/>
              </w:rPr>
              <w:t>All erosion types</w:t>
            </w:r>
          </w:p>
        </w:tc>
      </w:tr>
      <w:tr w:rsidR="00B43E18" w:rsidRPr="00080CD6" w14:paraId="4436CF30" w14:textId="77777777" w:rsidTr="001C6C1E">
        <w:tc>
          <w:tcPr>
            <w:tcW w:w="9500" w:type="dxa"/>
            <w:gridSpan w:val="6"/>
            <w:tcBorders>
              <w:left w:val="nil"/>
              <w:right w:val="nil"/>
            </w:tcBorders>
          </w:tcPr>
          <w:p w14:paraId="60CA193B" w14:textId="77777777" w:rsidR="00B43E18" w:rsidRPr="00080CD6" w:rsidRDefault="00B43E18" w:rsidP="00C410A7">
            <w:pPr>
              <w:pStyle w:val="EEAStandardbold"/>
            </w:pPr>
            <w:r w:rsidRPr="00080CD6">
              <w:rPr>
                <w:lang w:val="en-US"/>
              </w:rPr>
              <w:t>Soil biodiversity</w:t>
            </w:r>
          </w:p>
        </w:tc>
      </w:tr>
      <w:tr w:rsidR="00B43E18" w14:paraId="16EA4CF2" w14:textId="77777777" w:rsidTr="001C6C1E">
        <w:trPr>
          <w:gridAfter w:val="1"/>
          <w:wAfter w:w="7" w:type="dxa"/>
        </w:trPr>
        <w:tc>
          <w:tcPr>
            <w:tcW w:w="1129" w:type="dxa"/>
            <w:tcBorders>
              <w:left w:val="nil"/>
              <w:right w:val="nil"/>
            </w:tcBorders>
          </w:tcPr>
          <w:p w14:paraId="05B74DB7" w14:textId="77777777" w:rsidR="00B43E18" w:rsidRPr="00653A77" w:rsidRDefault="00B43E18" w:rsidP="00677B0A">
            <w:pPr>
              <w:rPr>
                <w:lang w:val="en-US"/>
              </w:rPr>
            </w:pPr>
          </w:p>
        </w:tc>
        <w:tc>
          <w:tcPr>
            <w:tcW w:w="2268" w:type="dxa"/>
            <w:tcBorders>
              <w:left w:val="nil"/>
              <w:right w:val="nil"/>
            </w:tcBorders>
            <w:shd w:val="pct5" w:color="auto" w:fill="auto"/>
          </w:tcPr>
          <w:p w14:paraId="642D20D2" w14:textId="77777777" w:rsidR="00B43E18" w:rsidRPr="006A7850" w:rsidRDefault="00B43E18" w:rsidP="00D30481">
            <w:pPr>
              <w:jc w:val="left"/>
              <w:rPr>
                <w:sz w:val="18"/>
                <w:szCs w:val="18"/>
                <w:lang w:val="en-US"/>
              </w:rPr>
            </w:pPr>
            <w:r w:rsidRPr="006A7850">
              <w:rPr>
                <w:sz w:val="18"/>
                <w:szCs w:val="18"/>
                <w:lang w:val="en-US"/>
              </w:rPr>
              <w:t xml:space="preserve">Loss of soil biodiversity (subindicators) </w:t>
            </w:r>
          </w:p>
        </w:tc>
        <w:tc>
          <w:tcPr>
            <w:tcW w:w="2977" w:type="dxa"/>
            <w:tcBorders>
              <w:left w:val="nil"/>
              <w:right w:val="nil"/>
            </w:tcBorders>
          </w:tcPr>
          <w:p w14:paraId="32511319" w14:textId="77777777" w:rsidR="00B43E18" w:rsidRPr="006A7850" w:rsidRDefault="00B43E18" w:rsidP="00677B0A">
            <w:pPr>
              <w:rPr>
                <w:sz w:val="18"/>
                <w:szCs w:val="18"/>
                <w:lang w:val="en-US"/>
              </w:rPr>
            </w:pPr>
            <w:r w:rsidRPr="006A7850">
              <w:rPr>
                <w:sz w:val="18"/>
                <w:szCs w:val="18"/>
                <w:lang w:val="en-US"/>
              </w:rPr>
              <w:t xml:space="preserve">to be developed: </w:t>
            </w:r>
          </w:p>
          <w:p w14:paraId="6B5674C1" w14:textId="77777777" w:rsidR="00B43E18" w:rsidRPr="006A7850" w:rsidRDefault="00B43E18" w:rsidP="0048743B">
            <w:pPr>
              <w:pStyle w:val="Listenabsatz"/>
              <w:numPr>
                <w:ilvl w:val="0"/>
                <w:numId w:val="13"/>
              </w:numPr>
              <w:suppressAutoHyphens w:val="0"/>
              <w:ind w:left="184" w:hanging="284"/>
              <w:jc w:val="left"/>
              <w:rPr>
                <w:sz w:val="18"/>
                <w:szCs w:val="18"/>
                <w:lang w:val="en-US"/>
              </w:rPr>
            </w:pPr>
            <w:r w:rsidRPr="006A7850">
              <w:rPr>
                <w:sz w:val="18"/>
                <w:szCs w:val="18"/>
                <w:lang w:val="en-US"/>
              </w:rPr>
              <w:t>safe minimum standard of conservation</w:t>
            </w:r>
          </w:p>
          <w:p w14:paraId="6ECA05AC" w14:textId="77777777" w:rsidR="00B43E18" w:rsidRPr="006A7850" w:rsidRDefault="00B43E18" w:rsidP="0048743B">
            <w:pPr>
              <w:pStyle w:val="Listenabsatz"/>
              <w:numPr>
                <w:ilvl w:val="0"/>
                <w:numId w:val="13"/>
              </w:numPr>
              <w:suppressAutoHyphens w:val="0"/>
              <w:ind w:left="184" w:hanging="284"/>
              <w:jc w:val="left"/>
              <w:rPr>
                <w:sz w:val="18"/>
                <w:szCs w:val="18"/>
                <w:lang w:val="en-US"/>
              </w:rPr>
            </w:pPr>
            <w:r w:rsidRPr="006A7850">
              <w:rPr>
                <w:sz w:val="18"/>
                <w:szCs w:val="18"/>
                <w:lang w:val="en-US"/>
              </w:rPr>
              <w:t>Operating Ranges (OR) for specific soil animals and microorganisms</w:t>
            </w:r>
          </w:p>
        </w:tc>
        <w:tc>
          <w:tcPr>
            <w:tcW w:w="3119" w:type="dxa"/>
            <w:gridSpan w:val="2"/>
            <w:tcBorders>
              <w:left w:val="nil"/>
              <w:right w:val="nil"/>
            </w:tcBorders>
          </w:tcPr>
          <w:p w14:paraId="57489789" w14:textId="77777777" w:rsidR="00B43E18" w:rsidRPr="006A7850" w:rsidRDefault="00B43E18" w:rsidP="00677B0A">
            <w:pPr>
              <w:jc w:val="left"/>
              <w:rPr>
                <w:sz w:val="18"/>
                <w:szCs w:val="18"/>
              </w:rPr>
            </w:pPr>
            <w:r w:rsidRPr="006A7850">
              <w:rPr>
                <w:sz w:val="18"/>
                <w:szCs w:val="18"/>
                <w:lang w:val="en-US"/>
              </w:rPr>
              <w:t>requires sub-indicators by species (functional) group</w:t>
            </w:r>
          </w:p>
        </w:tc>
      </w:tr>
      <w:tr w:rsidR="00B43E18" w:rsidRPr="00080CD6" w14:paraId="6ED77B85" w14:textId="77777777" w:rsidTr="001C6C1E">
        <w:tc>
          <w:tcPr>
            <w:tcW w:w="9500" w:type="dxa"/>
            <w:gridSpan w:val="6"/>
            <w:tcBorders>
              <w:left w:val="nil"/>
              <w:right w:val="nil"/>
            </w:tcBorders>
          </w:tcPr>
          <w:p w14:paraId="3596A227" w14:textId="77777777" w:rsidR="00B43E18" w:rsidRPr="00080CD6" w:rsidRDefault="00B43E18" w:rsidP="00C410A7">
            <w:pPr>
              <w:pStyle w:val="EEAStandardbold"/>
            </w:pPr>
            <w:r w:rsidRPr="00080CD6">
              <w:rPr>
                <w:lang w:val="en-US"/>
              </w:rPr>
              <w:t>Soil compaction</w:t>
            </w:r>
          </w:p>
        </w:tc>
      </w:tr>
      <w:tr w:rsidR="00B43E18" w:rsidRPr="00E3485F" w14:paraId="72C18677" w14:textId="77777777" w:rsidTr="001C6C1E">
        <w:trPr>
          <w:gridAfter w:val="1"/>
          <w:wAfter w:w="7" w:type="dxa"/>
        </w:trPr>
        <w:tc>
          <w:tcPr>
            <w:tcW w:w="1129" w:type="dxa"/>
            <w:tcBorders>
              <w:left w:val="nil"/>
              <w:right w:val="nil"/>
            </w:tcBorders>
          </w:tcPr>
          <w:p w14:paraId="5BAA96D9" w14:textId="77777777" w:rsidR="00B43E18" w:rsidRPr="00653A77" w:rsidRDefault="00B43E18" w:rsidP="00677B0A">
            <w:pPr>
              <w:rPr>
                <w:lang w:val="en-US"/>
              </w:rPr>
            </w:pPr>
          </w:p>
        </w:tc>
        <w:tc>
          <w:tcPr>
            <w:tcW w:w="2268" w:type="dxa"/>
            <w:tcBorders>
              <w:left w:val="nil"/>
              <w:right w:val="nil"/>
            </w:tcBorders>
            <w:shd w:val="pct5" w:color="auto" w:fill="auto"/>
          </w:tcPr>
          <w:p w14:paraId="3A69F4A6" w14:textId="77777777" w:rsidR="00B43E18" w:rsidRPr="006A7850" w:rsidRDefault="00B43E18" w:rsidP="00677B0A">
            <w:pPr>
              <w:jc w:val="left"/>
              <w:rPr>
                <w:sz w:val="18"/>
                <w:szCs w:val="18"/>
                <w:lang w:val="en-US"/>
              </w:rPr>
            </w:pPr>
            <w:r>
              <w:rPr>
                <w:sz w:val="18"/>
                <w:szCs w:val="18"/>
              </w:rPr>
              <w:t>H</w:t>
            </w:r>
            <w:r w:rsidRPr="006A7850">
              <w:rPr>
                <w:sz w:val="18"/>
                <w:szCs w:val="18"/>
              </w:rPr>
              <w:t xml:space="preserve">armful subsoil compaction </w:t>
            </w:r>
            <w:r w:rsidRPr="006A7850">
              <w:rPr>
                <w:sz w:val="18"/>
                <w:szCs w:val="18"/>
                <w:lang w:val="en-US"/>
              </w:rPr>
              <w:t>(subindicators)</w:t>
            </w:r>
          </w:p>
        </w:tc>
        <w:tc>
          <w:tcPr>
            <w:tcW w:w="2977" w:type="dxa"/>
            <w:tcBorders>
              <w:left w:val="nil"/>
              <w:right w:val="nil"/>
            </w:tcBorders>
          </w:tcPr>
          <w:p w14:paraId="0DDB5AC6" w14:textId="77777777" w:rsidR="00B43E18" w:rsidRPr="006A7850" w:rsidRDefault="00B43E18" w:rsidP="00677B0A">
            <w:pPr>
              <w:rPr>
                <w:sz w:val="18"/>
                <w:szCs w:val="18"/>
                <w:lang w:val="en-US"/>
              </w:rPr>
            </w:pPr>
            <w:r w:rsidRPr="006A7850">
              <w:rPr>
                <w:sz w:val="18"/>
                <w:szCs w:val="18"/>
                <w:lang w:val="en-US"/>
              </w:rPr>
              <w:t>Priority (sub) indicators:</w:t>
            </w:r>
          </w:p>
          <w:p w14:paraId="333628EF" w14:textId="77777777" w:rsidR="00B43E18" w:rsidRPr="006A7850" w:rsidRDefault="00B43E18" w:rsidP="00677B0A">
            <w:pPr>
              <w:rPr>
                <w:sz w:val="18"/>
                <w:szCs w:val="18"/>
                <w:lang w:val="en-US"/>
              </w:rPr>
            </w:pPr>
            <w:r w:rsidRPr="006A7850">
              <w:rPr>
                <w:sz w:val="18"/>
                <w:szCs w:val="18"/>
                <w:lang w:val="en-US"/>
              </w:rPr>
              <w:t>Saturated hydraulic conductivity (Ks) &lt; 10 [cm/d]</w:t>
            </w:r>
          </w:p>
          <w:p w14:paraId="3FCD2BD8" w14:textId="77777777" w:rsidR="00B43E18" w:rsidRPr="006A7850" w:rsidRDefault="00B43E18" w:rsidP="00677B0A">
            <w:pPr>
              <w:rPr>
                <w:sz w:val="18"/>
                <w:szCs w:val="18"/>
                <w:lang w:val="en-US"/>
              </w:rPr>
            </w:pPr>
            <w:r w:rsidRPr="006A7850">
              <w:rPr>
                <w:sz w:val="18"/>
                <w:szCs w:val="18"/>
                <w:lang w:val="en-US"/>
              </w:rPr>
              <w:t>Air capacity (AC) &lt; 5 [%]</w:t>
            </w:r>
          </w:p>
        </w:tc>
        <w:tc>
          <w:tcPr>
            <w:tcW w:w="3119" w:type="dxa"/>
            <w:gridSpan w:val="2"/>
            <w:tcBorders>
              <w:left w:val="nil"/>
              <w:right w:val="nil"/>
            </w:tcBorders>
          </w:tcPr>
          <w:p w14:paraId="3D17E133" w14:textId="77777777" w:rsidR="00B43E18" w:rsidRPr="006A7850" w:rsidRDefault="00B43E18" w:rsidP="00677B0A">
            <w:pPr>
              <w:jc w:val="left"/>
              <w:rPr>
                <w:sz w:val="18"/>
                <w:szCs w:val="18"/>
              </w:rPr>
            </w:pPr>
            <w:r w:rsidRPr="006A7850">
              <w:rPr>
                <w:sz w:val="18"/>
                <w:szCs w:val="18"/>
                <w:lang w:val="en-US"/>
              </w:rPr>
              <w:t xml:space="preserve">Exceedance of </w:t>
            </w:r>
            <w:r w:rsidRPr="006A7850">
              <w:rPr>
                <w:sz w:val="18"/>
                <w:szCs w:val="18"/>
              </w:rPr>
              <w:t xml:space="preserve">“action values” </w:t>
            </w:r>
            <w:r w:rsidRPr="006A7850">
              <w:rPr>
                <w:sz w:val="18"/>
                <w:szCs w:val="18"/>
                <w:lang w:val="en-US"/>
              </w:rPr>
              <w:t>(</w:t>
            </w:r>
            <w:r w:rsidRPr="006A7850">
              <w:rPr>
                <w:sz w:val="18"/>
                <w:szCs w:val="18"/>
              </w:rPr>
              <w:t>Zink et al. 2011)</w:t>
            </w:r>
          </w:p>
          <w:p w14:paraId="5827324D" w14:textId="0EFF4A4E" w:rsidR="00B43E18" w:rsidRPr="006A7850" w:rsidRDefault="00D30481" w:rsidP="00677B0A">
            <w:pPr>
              <w:jc w:val="left"/>
              <w:rPr>
                <w:sz w:val="18"/>
                <w:szCs w:val="18"/>
                <w:lang w:val="en-US"/>
              </w:rPr>
            </w:pPr>
            <w:r w:rsidRPr="006A7850">
              <w:rPr>
                <w:sz w:val="18"/>
                <w:szCs w:val="18"/>
                <w:lang w:val="en-US"/>
              </w:rPr>
              <w:t>Secondary</w:t>
            </w:r>
            <w:r w:rsidR="00B43E18" w:rsidRPr="006A7850">
              <w:rPr>
                <w:sz w:val="18"/>
                <w:szCs w:val="18"/>
                <w:lang w:val="en-US"/>
              </w:rPr>
              <w:t xml:space="preserve"> subindicators with available thresholds: bulk density, internal soil strength, air permeability and oxygen diffusion</w:t>
            </w:r>
          </w:p>
        </w:tc>
      </w:tr>
      <w:tr w:rsidR="00B43E18" w:rsidRPr="00080CD6" w14:paraId="7CBAEBE6" w14:textId="77777777" w:rsidTr="001C6C1E">
        <w:tc>
          <w:tcPr>
            <w:tcW w:w="9500" w:type="dxa"/>
            <w:gridSpan w:val="6"/>
            <w:tcBorders>
              <w:left w:val="nil"/>
              <w:right w:val="nil"/>
            </w:tcBorders>
          </w:tcPr>
          <w:p w14:paraId="055082EA" w14:textId="77777777" w:rsidR="00B43E18" w:rsidRPr="00080CD6" w:rsidRDefault="00B43E18" w:rsidP="00C410A7">
            <w:pPr>
              <w:pStyle w:val="EEAStandardbold"/>
            </w:pPr>
            <w:r w:rsidRPr="00080CD6">
              <w:rPr>
                <w:lang w:val="en-US"/>
              </w:rPr>
              <w:t>Soil sealing</w:t>
            </w:r>
          </w:p>
        </w:tc>
      </w:tr>
      <w:tr w:rsidR="00B43E18" w14:paraId="012C6D6A" w14:textId="77777777" w:rsidTr="001C6C1E">
        <w:tc>
          <w:tcPr>
            <w:tcW w:w="1129" w:type="dxa"/>
            <w:tcBorders>
              <w:left w:val="nil"/>
              <w:right w:val="nil"/>
            </w:tcBorders>
          </w:tcPr>
          <w:p w14:paraId="29F8CCCB" w14:textId="77777777" w:rsidR="00B43E18" w:rsidRPr="00653A77" w:rsidRDefault="00B43E18" w:rsidP="00677B0A">
            <w:pPr>
              <w:rPr>
                <w:lang w:val="en-US"/>
              </w:rPr>
            </w:pPr>
          </w:p>
        </w:tc>
        <w:tc>
          <w:tcPr>
            <w:tcW w:w="2268" w:type="dxa"/>
            <w:tcBorders>
              <w:left w:val="nil"/>
              <w:right w:val="nil"/>
            </w:tcBorders>
            <w:shd w:val="pct5" w:color="auto" w:fill="auto"/>
          </w:tcPr>
          <w:p w14:paraId="48D55380" w14:textId="77777777" w:rsidR="00B43E18" w:rsidRPr="006A7850" w:rsidRDefault="00B43E18" w:rsidP="00677B0A">
            <w:pPr>
              <w:jc w:val="left"/>
              <w:rPr>
                <w:sz w:val="18"/>
                <w:szCs w:val="18"/>
              </w:rPr>
            </w:pPr>
            <w:r w:rsidRPr="006A7850">
              <w:rPr>
                <w:sz w:val="18"/>
                <w:szCs w:val="18"/>
                <w:lang w:val="en-US"/>
              </w:rPr>
              <w:t>S</w:t>
            </w:r>
            <w:r w:rsidRPr="006A7850">
              <w:rPr>
                <w:sz w:val="18"/>
                <w:szCs w:val="18"/>
              </w:rPr>
              <w:t>ealed area per total area</w:t>
            </w:r>
          </w:p>
        </w:tc>
        <w:tc>
          <w:tcPr>
            <w:tcW w:w="2984" w:type="dxa"/>
            <w:gridSpan w:val="2"/>
            <w:tcBorders>
              <w:left w:val="nil"/>
              <w:right w:val="nil"/>
            </w:tcBorders>
          </w:tcPr>
          <w:p w14:paraId="3AF1217A" w14:textId="77777777" w:rsidR="00B43E18" w:rsidRPr="006A7850" w:rsidRDefault="00B43E18" w:rsidP="00677B0A">
            <w:pPr>
              <w:rPr>
                <w:sz w:val="18"/>
                <w:szCs w:val="18"/>
                <w:lang w:val="en-US"/>
              </w:rPr>
            </w:pPr>
            <w:r w:rsidRPr="006A7850">
              <w:rPr>
                <w:sz w:val="18"/>
                <w:szCs w:val="18"/>
                <w:lang w:val="en-US"/>
              </w:rPr>
              <w:t>National targets to achieve No Net Land Take</w:t>
            </w:r>
          </w:p>
        </w:tc>
        <w:tc>
          <w:tcPr>
            <w:tcW w:w="3119" w:type="dxa"/>
            <w:gridSpan w:val="2"/>
            <w:tcBorders>
              <w:left w:val="nil"/>
              <w:right w:val="nil"/>
            </w:tcBorders>
          </w:tcPr>
          <w:p w14:paraId="4F9E2634" w14:textId="77777777" w:rsidR="00B43E18" w:rsidRPr="006A7850" w:rsidRDefault="00B43E18" w:rsidP="00677B0A">
            <w:pPr>
              <w:jc w:val="left"/>
              <w:rPr>
                <w:sz w:val="18"/>
                <w:szCs w:val="18"/>
              </w:rPr>
            </w:pPr>
          </w:p>
        </w:tc>
      </w:tr>
    </w:tbl>
    <w:p w14:paraId="206E2ACA" w14:textId="77777777" w:rsidR="00B43E18" w:rsidRPr="00262A2E" w:rsidRDefault="00B43E18" w:rsidP="00B43E18">
      <w:pPr>
        <w:rPr>
          <w:rFonts w:asciiTheme="majorHAnsi" w:hAnsiTheme="majorHAnsi" w:cstheme="majorHAnsi"/>
          <w:color w:val="000000"/>
          <w:szCs w:val="22"/>
          <w:lang w:val="en-US" w:eastAsia="en-US"/>
        </w:rPr>
      </w:pPr>
    </w:p>
    <w:p w14:paraId="3D6C5276" w14:textId="3CB695C6" w:rsidR="00B32C8F" w:rsidRDefault="00B32C8F">
      <w:pPr>
        <w:suppressAutoHyphens w:val="0"/>
        <w:jc w:val="left"/>
        <w:rPr>
          <w:rFonts w:asciiTheme="majorHAnsi" w:hAnsiTheme="majorHAnsi" w:cstheme="majorHAnsi"/>
          <w:color w:val="000000"/>
          <w:szCs w:val="22"/>
          <w:lang w:val="en-US" w:eastAsia="en-US"/>
        </w:rPr>
      </w:pPr>
      <w:r>
        <w:rPr>
          <w:rFonts w:asciiTheme="majorHAnsi" w:hAnsiTheme="majorHAnsi" w:cstheme="majorHAnsi"/>
          <w:color w:val="000000"/>
          <w:szCs w:val="22"/>
          <w:lang w:val="en-US" w:eastAsia="en-US"/>
        </w:rPr>
        <w:br w:type="page"/>
      </w:r>
    </w:p>
    <w:p w14:paraId="439C8E58" w14:textId="77777777" w:rsidR="00B43E18" w:rsidRDefault="00B43E18" w:rsidP="00B43E18">
      <w:pPr>
        <w:rPr>
          <w:rFonts w:asciiTheme="majorHAnsi" w:hAnsiTheme="majorHAnsi" w:cstheme="majorHAnsi"/>
          <w:color w:val="000000"/>
          <w:szCs w:val="22"/>
          <w:lang w:val="en-US" w:eastAsia="en-US"/>
        </w:rPr>
      </w:pPr>
    </w:p>
    <w:p w14:paraId="7FA45E5B" w14:textId="77777777" w:rsidR="00B43E18" w:rsidRDefault="00B43E18" w:rsidP="00B32C8F">
      <w:pPr>
        <w:pStyle w:val="berschrift2"/>
        <w:tabs>
          <w:tab w:val="clear" w:pos="567"/>
        </w:tabs>
        <w:ind w:left="709" w:hanging="709"/>
      </w:pPr>
      <w:bookmarkStart w:id="442" w:name="_Toc82755423"/>
      <w:bookmarkStart w:id="443" w:name="_Toc83997414"/>
      <w:r>
        <w:t xml:space="preserve">Recommendations for soil monitoring </w:t>
      </w:r>
      <w:bookmarkEnd w:id="442"/>
      <w:r>
        <w:t>and policy application of soil-related indicators</w:t>
      </w:r>
      <w:bookmarkEnd w:id="443"/>
    </w:p>
    <w:p w14:paraId="5FC4B75A" w14:textId="77777777" w:rsidR="00B43E18" w:rsidRDefault="00B43E18" w:rsidP="00B43E18">
      <w:pPr>
        <w:rPr>
          <w:rFonts w:asciiTheme="majorHAnsi" w:hAnsiTheme="majorHAnsi" w:cstheme="majorHAnsi"/>
          <w:color w:val="000000"/>
          <w:szCs w:val="22"/>
          <w:lang w:val="en-US" w:eastAsia="en-US"/>
        </w:rPr>
      </w:pPr>
    </w:p>
    <w:p w14:paraId="18BADFEC" w14:textId="2CD8749E" w:rsidR="00B43E18" w:rsidRPr="00133ED8" w:rsidRDefault="00B43E18" w:rsidP="00B43E18">
      <w:pPr>
        <w:spacing w:after="120"/>
        <w:ind w:left="2127" w:hanging="2127"/>
        <w:rPr>
          <w:rFonts w:asciiTheme="majorHAnsi" w:hAnsiTheme="majorHAnsi" w:cstheme="majorHAnsi"/>
          <w:b/>
          <w:bCs/>
          <w:color w:val="000000"/>
          <w:szCs w:val="22"/>
          <w:lang w:val="en-US" w:eastAsia="en-US"/>
        </w:rPr>
      </w:pPr>
      <w:r>
        <w:rPr>
          <w:rFonts w:asciiTheme="majorHAnsi" w:hAnsiTheme="majorHAnsi" w:cstheme="majorHAnsi"/>
          <w:b/>
          <w:bCs/>
          <w:color w:val="000000"/>
          <w:szCs w:val="22"/>
          <w:lang w:val="en-US" w:eastAsia="en-US"/>
        </w:rPr>
        <w:t>Recommendation 1:</w:t>
      </w:r>
      <w:r>
        <w:rPr>
          <w:rFonts w:asciiTheme="majorHAnsi" w:hAnsiTheme="majorHAnsi" w:cstheme="majorHAnsi"/>
          <w:b/>
          <w:bCs/>
          <w:color w:val="000000"/>
          <w:szCs w:val="22"/>
          <w:lang w:val="en-US" w:eastAsia="en-US"/>
        </w:rPr>
        <w:tab/>
      </w:r>
      <w:r w:rsidR="00B83FD2">
        <w:rPr>
          <w:rFonts w:asciiTheme="majorHAnsi" w:hAnsiTheme="majorHAnsi" w:cstheme="majorHAnsi"/>
          <w:b/>
          <w:bCs/>
          <w:i/>
          <w:iCs/>
          <w:color w:val="000000"/>
          <w:szCs w:val="22"/>
          <w:lang w:val="en-US" w:eastAsia="en-US"/>
        </w:rPr>
        <w:t>C</w:t>
      </w:r>
      <w:r w:rsidRPr="00133ED8">
        <w:rPr>
          <w:rFonts w:asciiTheme="majorHAnsi" w:hAnsiTheme="majorHAnsi" w:cstheme="majorHAnsi"/>
          <w:b/>
          <w:bCs/>
          <w:color w:val="000000"/>
          <w:szCs w:val="22"/>
          <w:lang w:val="en-US" w:eastAsia="en-US"/>
        </w:rPr>
        <w:t>ontinue and intensify national and EU</w:t>
      </w:r>
      <w:r>
        <w:rPr>
          <w:rFonts w:asciiTheme="majorHAnsi" w:hAnsiTheme="majorHAnsi" w:cstheme="majorHAnsi"/>
          <w:b/>
          <w:bCs/>
          <w:color w:val="000000"/>
          <w:szCs w:val="22"/>
          <w:lang w:val="en-US" w:eastAsia="en-US"/>
        </w:rPr>
        <w:t>-wide</w:t>
      </w:r>
      <w:r w:rsidRPr="00133ED8">
        <w:rPr>
          <w:rFonts w:asciiTheme="majorHAnsi" w:hAnsiTheme="majorHAnsi" w:cstheme="majorHAnsi"/>
          <w:b/>
          <w:bCs/>
          <w:color w:val="000000"/>
          <w:szCs w:val="22"/>
          <w:lang w:val="en-US" w:eastAsia="en-US"/>
        </w:rPr>
        <w:t xml:space="preserve"> </w:t>
      </w:r>
      <w:r>
        <w:rPr>
          <w:rFonts w:asciiTheme="majorHAnsi" w:hAnsiTheme="majorHAnsi" w:cstheme="majorHAnsi"/>
          <w:b/>
          <w:bCs/>
          <w:color w:val="000000"/>
          <w:szCs w:val="22"/>
          <w:lang w:val="en-US" w:eastAsia="en-US"/>
        </w:rPr>
        <w:t xml:space="preserve">soil </w:t>
      </w:r>
      <w:r w:rsidRPr="00133ED8">
        <w:rPr>
          <w:rFonts w:asciiTheme="majorHAnsi" w:hAnsiTheme="majorHAnsi" w:cstheme="majorHAnsi"/>
          <w:b/>
          <w:bCs/>
          <w:color w:val="000000"/>
          <w:szCs w:val="22"/>
          <w:lang w:val="en-US" w:eastAsia="en-US"/>
        </w:rPr>
        <w:t>surveys</w:t>
      </w:r>
      <w:r w:rsidR="005F62C6">
        <w:rPr>
          <w:rFonts w:asciiTheme="majorHAnsi" w:hAnsiTheme="majorHAnsi" w:cstheme="majorHAnsi"/>
          <w:b/>
          <w:bCs/>
          <w:color w:val="000000"/>
          <w:szCs w:val="22"/>
          <w:lang w:val="en-US" w:eastAsia="en-US"/>
        </w:rPr>
        <w:t xml:space="preserve"> for improved reporting of soil indicators</w:t>
      </w:r>
      <w:r>
        <w:rPr>
          <w:rFonts w:asciiTheme="majorHAnsi" w:hAnsiTheme="majorHAnsi" w:cstheme="majorHAnsi"/>
          <w:b/>
          <w:bCs/>
          <w:color w:val="000000"/>
          <w:szCs w:val="22"/>
          <w:lang w:val="en-US" w:eastAsia="en-US"/>
        </w:rPr>
        <w:t>, while establishing a coordination and harmonization mechanism</w:t>
      </w:r>
    </w:p>
    <w:p w14:paraId="542D2D9C" w14:textId="35BD3295" w:rsidR="00B43E18" w:rsidRDefault="00B43E18" w:rsidP="00C410A7">
      <w:pPr>
        <w:rPr>
          <w:lang w:val="en-US" w:eastAsia="en-US"/>
        </w:rPr>
      </w:pPr>
      <w:r>
        <w:rPr>
          <w:lang w:val="en-US" w:eastAsia="en-US"/>
        </w:rPr>
        <w:t>Soil monitoring here is targeted to provide data about soil properties in a representative spati</w:t>
      </w:r>
      <w:r w:rsidR="005E5106">
        <w:rPr>
          <w:lang w:val="en-US" w:eastAsia="en-US"/>
        </w:rPr>
        <w:t>al</w:t>
      </w:r>
      <w:r>
        <w:rPr>
          <w:lang w:val="en-US" w:eastAsia="en-US"/>
        </w:rPr>
        <w:t xml:space="preserve">-temporal approach, allowing the quantification and observation of pressure, status, and impact indicators. Any soil monitoring system must be sufficiently robust and pragmatic as to derive the necessary indicators. Because the different soil threats (as well as the underlying soil functions) require different sampling approaches, not all indicators can be served by one identical sampling design, rather the sampling requirements for a core set of parameters needs to be agreed upon (see Craemer et al. 2019). </w:t>
      </w:r>
      <w:r w:rsidR="005E5106">
        <w:rPr>
          <w:lang w:val="en-US" w:eastAsia="en-US"/>
        </w:rPr>
        <w:t xml:space="preserve">What </w:t>
      </w:r>
      <w:r w:rsidR="00144BDE">
        <w:rPr>
          <w:lang w:val="en-US" w:eastAsia="en-US"/>
        </w:rPr>
        <w:t>may look like intensity levels of some national and European monitoring systems (in particular: forests)</w:t>
      </w:r>
      <w:r w:rsidR="001078A8">
        <w:rPr>
          <w:lang w:val="en-US" w:eastAsia="en-US"/>
        </w:rPr>
        <w:t xml:space="preserve">, may appear more challenging now with LUCAS Soil and its growing sampling densities, while various national systems stopped operating. </w:t>
      </w:r>
      <w:r w:rsidR="00C02CF6">
        <w:rPr>
          <w:lang w:val="en-US" w:eastAsia="en-US"/>
        </w:rPr>
        <w:t xml:space="preserve">It seems that a European system integrates much deeper now with LUCAS Soil, than it is with the forests Level I and II concept. However, it can be seen </w:t>
      </w:r>
      <w:r w:rsidR="00616927">
        <w:rPr>
          <w:lang w:val="en-US" w:eastAsia="en-US"/>
        </w:rPr>
        <w:t>for compaction and erosion, that not all parameters can be sampled in high densities of sampling points.</w:t>
      </w:r>
      <w:r w:rsidR="00144BDE">
        <w:rPr>
          <w:lang w:val="en-US" w:eastAsia="en-US"/>
        </w:rPr>
        <w:t xml:space="preserve"> </w:t>
      </w:r>
    </w:p>
    <w:p w14:paraId="643BA172" w14:textId="2C4BB41F" w:rsidR="00B43E18" w:rsidRDefault="00B43E18" w:rsidP="00C410A7">
      <w:pPr>
        <w:rPr>
          <w:lang w:val="en-US" w:eastAsia="en-US"/>
        </w:rPr>
      </w:pPr>
      <w:r>
        <w:rPr>
          <w:lang w:val="en-US" w:eastAsia="en-US"/>
        </w:rPr>
        <w:t>Minimum conditions for a European soil monitoring system:</w:t>
      </w:r>
    </w:p>
    <w:p w14:paraId="6F49DEE7" w14:textId="77777777" w:rsidR="00C410A7" w:rsidRDefault="00C410A7" w:rsidP="00C410A7">
      <w:pPr>
        <w:rPr>
          <w:lang w:val="en-US" w:eastAsia="en-US"/>
        </w:rPr>
      </w:pPr>
    </w:p>
    <w:p w14:paraId="5B317771" w14:textId="6C706A8A" w:rsidR="0018643E" w:rsidRDefault="0018643E" w:rsidP="00C410A7">
      <w:pPr>
        <w:pStyle w:val="EEAbullet0"/>
        <w:rPr>
          <w:lang w:val="en-US" w:eastAsia="en-US"/>
        </w:rPr>
      </w:pPr>
      <w:r w:rsidRPr="000F14A5">
        <w:rPr>
          <w:b/>
          <w:bCs/>
          <w:lang w:val="en-US" w:eastAsia="en-US"/>
        </w:rPr>
        <w:t>Indicators</w:t>
      </w:r>
      <w:r w:rsidRPr="006B5315">
        <w:rPr>
          <w:lang w:val="en-US" w:eastAsia="en-US"/>
        </w:rPr>
        <w:t xml:space="preserve"> </w:t>
      </w:r>
      <w:r>
        <w:rPr>
          <w:lang w:val="en-US" w:eastAsia="en-US"/>
        </w:rPr>
        <w:t xml:space="preserve">must be clearly defined and comparable between any </w:t>
      </w:r>
      <w:r w:rsidRPr="008323F4">
        <w:rPr>
          <w:u w:val="single"/>
          <w:lang w:val="en-US" w:eastAsia="en-US"/>
        </w:rPr>
        <w:t>Europe-wide system</w:t>
      </w:r>
      <w:r w:rsidRPr="006B5315">
        <w:rPr>
          <w:lang w:val="en-US" w:eastAsia="en-US"/>
        </w:rPr>
        <w:t xml:space="preserve"> (e.g. LUCAS Soil)</w:t>
      </w:r>
      <w:r>
        <w:rPr>
          <w:lang w:val="en-US" w:eastAsia="en-US"/>
        </w:rPr>
        <w:t xml:space="preserve"> and those at</w:t>
      </w:r>
      <w:r w:rsidRPr="006B5315">
        <w:rPr>
          <w:lang w:val="en-US" w:eastAsia="en-US"/>
        </w:rPr>
        <w:t xml:space="preserve"> </w:t>
      </w:r>
      <w:r w:rsidRPr="008323F4">
        <w:rPr>
          <w:u w:val="single"/>
          <w:lang w:val="en-US" w:eastAsia="en-US"/>
        </w:rPr>
        <w:t>national level</w:t>
      </w:r>
      <w:r w:rsidRPr="006B5315">
        <w:rPr>
          <w:lang w:val="en-US" w:eastAsia="en-US"/>
        </w:rPr>
        <w:t xml:space="preserve">. </w:t>
      </w:r>
      <w:r>
        <w:rPr>
          <w:lang w:val="en-US" w:eastAsia="en-US"/>
        </w:rPr>
        <w:t xml:space="preserve">As discussed, any Level I may be a mix of LUCAS Soil and national sampling depending on the national circumstances. Many countries have their own monitoring systems, however, the return intervals, the design, the measuring and updating intensities differ to various degrees (an exception is forest soil monitoring, because there, countries largely follow European protocols for Level I and II; however, most countries have stopped their monitoring of forest soils due to lack of funding – maybe with options evolving by new protection strategies such as those for forests and soils 2021). </w:t>
      </w:r>
      <w:r w:rsidRPr="008323F4">
        <w:rPr>
          <w:b/>
          <w:bCs/>
          <w:lang w:val="en-US" w:eastAsia="en-US"/>
        </w:rPr>
        <w:t>Definitions</w:t>
      </w:r>
      <w:r>
        <w:rPr>
          <w:lang w:val="en-US" w:eastAsia="en-US"/>
        </w:rPr>
        <w:t xml:space="preserve"> of indicators, and how they are determined (</w:t>
      </w:r>
      <w:r w:rsidRPr="00E9600D">
        <w:rPr>
          <w:u w:val="single"/>
          <w:lang w:val="en-US" w:eastAsia="en-US"/>
        </w:rPr>
        <w:t>sampling, analysis, evaluation method</w:t>
      </w:r>
      <w:r>
        <w:rPr>
          <w:lang w:val="en-US" w:eastAsia="en-US"/>
        </w:rPr>
        <w:t xml:space="preserve">) </w:t>
      </w:r>
      <w:r w:rsidRPr="008323F4">
        <w:rPr>
          <w:b/>
          <w:bCs/>
          <w:lang w:val="en-US" w:eastAsia="en-US"/>
        </w:rPr>
        <w:t>must be identical</w:t>
      </w:r>
      <w:r w:rsidRPr="009A1C1B">
        <w:rPr>
          <w:lang w:val="en-US" w:eastAsia="en-US"/>
        </w:rPr>
        <w:t xml:space="preserve"> between LUCAS Soil and at least a subsample of national soil monitoring</w:t>
      </w:r>
      <w:r>
        <w:rPr>
          <w:lang w:val="en-US" w:eastAsia="en-US"/>
        </w:rPr>
        <w:t>! This requires improved coordination.</w:t>
      </w:r>
    </w:p>
    <w:p w14:paraId="2FB41D14" w14:textId="77777777" w:rsidR="00C410A7" w:rsidRDefault="00C410A7" w:rsidP="00C410A7">
      <w:pPr>
        <w:pStyle w:val="EEAbullet0"/>
        <w:numPr>
          <w:ilvl w:val="0"/>
          <w:numId w:val="0"/>
        </w:numPr>
        <w:ind w:left="397"/>
        <w:rPr>
          <w:lang w:val="en-US" w:eastAsia="en-US"/>
        </w:rPr>
      </w:pPr>
    </w:p>
    <w:p w14:paraId="248B2820" w14:textId="196D7878" w:rsidR="00F24313" w:rsidRDefault="00AD6468" w:rsidP="00C410A7">
      <w:pPr>
        <w:pStyle w:val="EEAbullet0"/>
        <w:rPr>
          <w:lang w:val="en-US" w:eastAsia="en-US"/>
        </w:rPr>
      </w:pPr>
      <w:r>
        <w:rPr>
          <w:lang w:val="en-US" w:eastAsia="en-US"/>
        </w:rPr>
        <w:t>National an</w:t>
      </w:r>
      <w:r w:rsidR="0018643E">
        <w:rPr>
          <w:lang w:val="en-US" w:eastAsia="en-US"/>
        </w:rPr>
        <w:t>d</w:t>
      </w:r>
      <w:r>
        <w:rPr>
          <w:lang w:val="en-US" w:eastAsia="en-US"/>
        </w:rPr>
        <w:t xml:space="preserve"> EU-wide </w:t>
      </w:r>
      <w:r w:rsidRPr="000F14A5">
        <w:rPr>
          <w:b/>
          <w:bCs/>
          <w:lang w:val="en-US" w:eastAsia="en-US"/>
        </w:rPr>
        <w:t xml:space="preserve">data </w:t>
      </w:r>
      <w:r w:rsidR="000F14A5" w:rsidRPr="000F14A5">
        <w:rPr>
          <w:b/>
          <w:bCs/>
          <w:lang w:val="en-US" w:eastAsia="en-US"/>
        </w:rPr>
        <w:t>exchange</w:t>
      </w:r>
      <w:r w:rsidR="000F14A5">
        <w:rPr>
          <w:lang w:val="en-US" w:eastAsia="en-US"/>
        </w:rPr>
        <w:t xml:space="preserve"> </w:t>
      </w:r>
      <w:r>
        <w:rPr>
          <w:lang w:val="en-US" w:eastAsia="en-US"/>
        </w:rPr>
        <w:t xml:space="preserve">about </w:t>
      </w:r>
      <w:r w:rsidR="00B35640">
        <w:rPr>
          <w:lang w:val="en-US" w:eastAsia="en-US"/>
        </w:rPr>
        <w:t>soil indicators</w:t>
      </w:r>
      <w:r>
        <w:rPr>
          <w:lang w:val="en-US" w:eastAsia="en-US"/>
        </w:rPr>
        <w:t xml:space="preserve"> </w:t>
      </w:r>
      <w:r w:rsidR="006C1B8D">
        <w:rPr>
          <w:lang w:val="en-US" w:eastAsia="en-US"/>
        </w:rPr>
        <w:t xml:space="preserve">need to be </w:t>
      </w:r>
      <w:r>
        <w:rPr>
          <w:lang w:val="en-US" w:eastAsia="en-US"/>
        </w:rPr>
        <w:t>comparable</w:t>
      </w:r>
      <w:r w:rsidR="0018643E">
        <w:rPr>
          <w:lang w:val="en-US" w:eastAsia="en-US"/>
        </w:rPr>
        <w:t xml:space="preserve">; there </w:t>
      </w:r>
      <w:r w:rsidR="006C1B8D">
        <w:rPr>
          <w:lang w:val="en-US" w:eastAsia="en-US"/>
        </w:rPr>
        <w:t>may be</w:t>
      </w:r>
      <w:r w:rsidR="0018643E">
        <w:rPr>
          <w:lang w:val="en-US" w:eastAsia="en-US"/>
        </w:rPr>
        <w:t xml:space="preserve"> less focus on the exchange of </w:t>
      </w:r>
      <w:r>
        <w:rPr>
          <w:lang w:val="en-US" w:eastAsia="en-US"/>
        </w:rPr>
        <w:t>measure</w:t>
      </w:r>
      <w:r w:rsidR="0018643E">
        <w:rPr>
          <w:lang w:val="en-US" w:eastAsia="en-US"/>
        </w:rPr>
        <w:t>d</w:t>
      </w:r>
      <w:r>
        <w:rPr>
          <w:lang w:val="en-US" w:eastAsia="en-US"/>
        </w:rPr>
        <w:t xml:space="preserve"> soil </w:t>
      </w:r>
      <w:r w:rsidR="0018643E">
        <w:rPr>
          <w:lang w:val="en-US" w:eastAsia="en-US"/>
        </w:rPr>
        <w:t>properties</w:t>
      </w:r>
      <w:r w:rsidR="006C1B8D">
        <w:rPr>
          <w:lang w:val="en-US" w:eastAsia="en-US"/>
        </w:rPr>
        <w:t xml:space="preserve"> than on readily evaluated indicators</w:t>
      </w:r>
      <w:r w:rsidR="0018643E">
        <w:rPr>
          <w:lang w:val="en-US" w:eastAsia="en-US"/>
        </w:rPr>
        <w:t xml:space="preserve">; however, </w:t>
      </w:r>
      <w:r w:rsidR="00F24313">
        <w:rPr>
          <w:lang w:val="en-US" w:eastAsia="en-US"/>
        </w:rPr>
        <w:t xml:space="preserve">any soil monitoring shall be well described for </w:t>
      </w:r>
      <w:r w:rsidR="0012151B">
        <w:rPr>
          <w:lang w:val="en-US" w:eastAsia="en-US"/>
        </w:rPr>
        <w:t xml:space="preserve">allowing post-survey </w:t>
      </w:r>
      <w:r w:rsidR="00F24313">
        <w:rPr>
          <w:lang w:val="en-US" w:eastAsia="en-US"/>
        </w:rPr>
        <w:t>harmonization p</w:t>
      </w:r>
      <w:r w:rsidR="0012151B">
        <w:rPr>
          <w:lang w:val="en-US" w:eastAsia="en-US"/>
        </w:rPr>
        <w:t>rocesses.</w:t>
      </w:r>
    </w:p>
    <w:p w14:paraId="17B35023" w14:textId="77777777" w:rsidR="00C410A7" w:rsidRDefault="00C410A7" w:rsidP="00C410A7">
      <w:pPr>
        <w:pStyle w:val="EEAbullet0"/>
        <w:numPr>
          <w:ilvl w:val="0"/>
          <w:numId w:val="0"/>
        </w:numPr>
        <w:ind w:left="397"/>
        <w:rPr>
          <w:lang w:val="en-US" w:eastAsia="en-US"/>
        </w:rPr>
      </w:pPr>
    </w:p>
    <w:p w14:paraId="627FEE6B" w14:textId="77777777" w:rsidR="00C410A7" w:rsidRDefault="0003452A" w:rsidP="00C410A7">
      <w:pPr>
        <w:pStyle w:val="EEAbullet0"/>
        <w:rPr>
          <w:lang w:val="en-US" w:eastAsia="en-US"/>
        </w:rPr>
      </w:pPr>
      <w:r>
        <w:rPr>
          <w:lang w:val="en-US" w:eastAsia="en-US"/>
        </w:rPr>
        <w:t xml:space="preserve">Soil </w:t>
      </w:r>
      <w:r w:rsidR="00B43E18">
        <w:rPr>
          <w:lang w:val="en-US" w:eastAsia="en-US"/>
        </w:rPr>
        <w:t xml:space="preserve">monitoring </w:t>
      </w:r>
      <w:r>
        <w:rPr>
          <w:lang w:val="en-US" w:eastAsia="en-US"/>
        </w:rPr>
        <w:t xml:space="preserve">provides the data to </w:t>
      </w:r>
      <w:r w:rsidR="00B43E18">
        <w:rPr>
          <w:lang w:val="en-US" w:eastAsia="en-US"/>
        </w:rPr>
        <w:t xml:space="preserve">generate and report </w:t>
      </w:r>
      <w:r w:rsidR="009A7BB7">
        <w:rPr>
          <w:lang w:val="en-US" w:eastAsia="en-US"/>
        </w:rPr>
        <w:t>spatially-explicit</w:t>
      </w:r>
      <w:r>
        <w:rPr>
          <w:lang w:val="en-US" w:eastAsia="en-US"/>
        </w:rPr>
        <w:t xml:space="preserve"> </w:t>
      </w:r>
      <w:r w:rsidR="00B43E18" w:rsidRPr="008323F4">
        <w:rPr>
          <w:b/>
          <w:bCs/>
          <w:lang w:val="en-US" w:eastAsia="en-US"/>
        </w:rPr>
        <w:t>policy-relevant indicators</w:t>
      </w:r>
      <w:r w:rsidR="00B43E18">
        <w:rPr>
          <w:lang w:val="en-US" w:eastAsia="en-US"/>
        </w:rPr>
        <w:t xml:space="preserve"> (an exchange of original measurement data </w:t>
      </w:r>
      <w:r w:rsidR="002223AB">
        <w:rPr>
          <w:lang w:val="en-US" w:eastAsia="en-US"/>
        </w:rPr>
        <w:t>may</w:t>
      </w:r>
      <w:r w:rsidR="00B43E18">
        <w:rPr>
          <w:lang w:val="en-US" w:eastAsia="en-US"/>
        </w:rPr>
        <w:t xml:space="preserve"> not needed, </w:t>
      </w:r>
      <w:r w:rsidR="00F24313">
        <w:rPr>
          <w:lang w:val="en-US" w:eastAsia="en-US"/>
        </w:rPr>
        <w:t>although such data are</w:t>
      </w:r>
      <w:r w:rsidR="00B43E18">
        <w:rPr>
          <w:lang w:val="en-US" w:eastAsia="en-US"/>
        </w:rPr>
        <w:t xml:space="preserve"> extremely important for improved soil research, for developing harmonizat</w:t>
      </w:r>
      <w:r w:rsidR="00616927">
        <w:rPr>
          <w:lang w:val="en-US" w:eastAsia="en-US"/>
        </w:rPr>
        <w:t>io</w:t>
      </w:r>
      <w:r w:rsidR="00B43E18">
        <w:rPr>
          <w:lang w:val="en-US" w:eastAsia="en-US"/>
        </w:rPr>
        <w:t>n</w:t>
      </w:r>
      <w:r w:rsidR="00616927">
        <w:rPr>
          <w:lang w:val="en-US" w:eastAsia="en-US"/>
        </w:rPr>
        <w:t xml:space="preserve"> </w:t>
      </w:r>
      <w:r w:rsidR="00B43E18">
        <w:rPr>
          <w:lang w:val="en-US" w:eastAsia="en-US"/>
        </w:rPr>
        <w:t xml:space="preserve">procedures, and for improving Europe-wide harmonized indicators). The </w:t>
      </w:r>
      <w:r w:rsidR="002223AB">
        <w:rPr>
          <w:lang w:val="en-US" w:eastAsia="en-US"/>
        </w:rPr>
        <w:t xml:space="preserve">resolutions of the </w:t>
      </w:r>
      <w:r w:rsidR="00B43E18">
        <w:rPr>
          <w:lang w:val="en-US" w:eastAsia="en-US"/>
        </w:rPr>
        <w:t>corresponding indicator map</w:t>
      </w:r>
      <w:r w:rsidR="002223AB">
        <w:rPr>
          <w:lang w:val="en-US" w:eastAsia="en-US"/>
        </w:rPr>
        <w:t>s</w:t>
      </w:r>
      <w:r w:rsidR="00B43E18">
        <w:rPr>
          <w:lang w:val="en-US" w:eastAsia="en-US"/>
        </w:rPr>
        <w:t xml:space="preserve"> depend on the national and European plot densities of the respective surveys, and eventually this contributes to the overall error when data layers from different countries are spatially combined (as done for example in the Global Soil Inform</w:t>
      </w:r>
      <w:r w:rsidR="00616927">
        <w:rPr>
          <w:lang w:val="en-US" w:eastAsia="en-US"/>
        </w:rPr>
        <w:t>a</w:t>
      </w:r>
      <w:r w:rsidR="00B43E18">
        <w:rPr>
          <w:lang w:val="en-US" w:eastAsia="en-US"/>
        </w:rPr>
        <w:t>tion System – GLOSIS, which is fed by national data layers, or through INSPIRE)</w:t>
      </w:r>
      <w:r w:rsidR="00C410A7">
        <w:rPr>
          <w:lang w:val="en-US" w:eastAsia="en-US"/>
        </w:rPr>
        <w:t>.</w:t>
      </w:r>
    </w:p>
    <w:p w14:paraId="5EAD8235" w14:textId="1208465C" w:rsidR="00B43E18" w:rsidRDefault="00B43E18" w:rsidP="00C410A7">
      <w:pPr>
        <w:pStyle w:val="EEAbullet0"/>
        <w:numPr>
          <w:ilvl w:val="0"/>
          <w:numId w:val="0"/>
        </w:numPr>
        <w:ind w:left="397"/>
        <w:rPr>
          <w:lang w:val="en-US" w:eastAsia="en-US"/>
        </w:rPr>
      </w:pPr>
      <w:r>
        <w:rPr>
          <w:lang w:val="en-US" w:eastAsia="en-US"/>
        </w:rPr>
        <w:t xml:space="preserve"> </w:t>
      </w:r>
    </w:p>
    <w:p w14:paraId="7500BADF" w14:textId="2C44FA38" w:rsidR="00B43E18" w:rsidRPr="006B5315" w:rsidRDefault="00B43E18" w:rsidP="00C410A7">
      <w:pPr>
        <w:pStyle w:val="EEAbullet0"/>
        <w:rPr>
          <w:lang w:val="en-US" w:eastAsia="en-US"/>
        </w:rPr>
      </w:pPr>
      <w:r w:rsidRPr="00E9600D">
        <w:rPr>
          <w:b/>
          <w:bCs/>
          <w:lang w:val="en-US" w:eastAsia="en-US"/>
        </w:rPr>
        <w:t>Expert networks</w:t>
      </w:r>
      <w:r>
        <w:rPr>
          <w:lang w:val="en-US" w:eastAsia="en-US"/>
        </w:rPr>
        <w:t xml:space="preserve">: the community of soil monitoring experts in Europe </w:t>
      </w:r>
      <w:r w:rsidR="00CA309D">
        <w:rPr>
          <w:lang w:val="en-US" w:eastAsia="en-US"/>
        </w:rPr>
        <w:t>has a long tradition of</w:t>
      </w:r>
      <w:r>
        <w:rPr>
          <w:lang w:val="en-US" w:eastAsia="en-US"/>
        </w:rPr>
        <w:t xml:space="preserve"> continued cooperation and information </w:t>
      </w:r>
      <w:r w:rsidR="00CA309D">
        <w:rPr>
          <w:lang w:val="en-US" w:eastAsia="en-US"/>
        </w:rPr>
        <w:t>exchange</w:t>
      </w:r>
      <w:r>
        <w:rPr>
          <w:lang w:val="en-US" w:eastAsia="en-US"/>
        </w:rPr>
        <w:t xml:space="preserve"> in different networks (EIONET, EJP Soil project, European Soil Partnership, </w:t>
      </w:r>
      <w:r w:rsidR="00FA53F4">
        <w:rPr>
          <w:lang w:val="en-US" w:eastAsia="en-US"/>
        </w:rPr>
        <w:t xml:space="preserve">ICP Forests Soil Expert Panel, </w:t>
      </w:r>
      <w:r>
        <w:rPr>
          <w:lang w:val="en-US" w:eastAsia="en-US"/>
        </w:rPr>
        <w:t>and in the future, the EUSO Stakeholder Forum). Development and agreement of technical specifications must be coordinated and j</w:t>
      </w:r>
      <w:r w:rsidR="00FA53F4">
        <w:rPr>
          <w:lang w:val="en-US" w:eastAsia="en-US"/>
        </w:rPr>
        <w:t>o</w:t>
      </w:r>
      <w:r>
        <w:rPr>
          <w:lang w:val="en-US" w:eastAsia="en-US"/>
        </w:rPr>
        <w:t>intly developed.</w:t>
      </w:r>
    </w:p>
    <w:p w14:paraId="380DEC48" w14:textId="77777777" w:rsidR="00B43E18" w:rsidRDefault="00B43E18" w:rsidP="00B43E18">
      <w:pPr>
        <w:spacing w:before="120"/>
        <w:rPr>
          <w:rFonts w:asciiTheme="majorHAnsi" w:hAnsiTheme="majorHAnsi" w:cstheme="majorHAnsi"/>
          <w:color w:val="000000"/>
          <w:szCs w:val="22"/>
          <w:lang w:val="en-US" w:eastAsia="en-US"/>
        </w:rPr>
      </w:pPr>
    </w:p>
    <w:p w14:paraId="1C9F7664" w14:textId="77777777" w:rsidR="00B32C8F" w:rsidRDefault="00B32C8F">
      <w:pPr>
        <w:suppressAutoHyphens w:val="0"/>
        <w:jc w:val="left"/>
        <w:rPr>
          <w:rFonts w:asciiTheme="majorHAnsi" w:hAnsiTheme="majorHAnsi" w:cstheme="majorHAnsi"/>
          <w:b/>
          <w:bCs/>
          <w:color w:val="000000"/>
          <w:szCs w:val="22"/>
          <w:lang w:val="en-US" w:eastAsia="en-US"/>
        </w:rPr>
      </w:pPr>
      <w:r>
        <w:rPr>
          <w:rFonts w:asciiTheme="majorHAnsi" w:hAnsiTheme="majorHAnsi" w:cstheme="majorHAnsi"/>
          <w:b/>
          <w:bCs/>
          <w:color w:val="000000"/>
          <w:szCs w:val="22"/>
          <w:lang w:val="en-US" w:eastAsia="en-US"/>
        </w:rPr>
        <w:br w:type="page"/>
      </w:r>
    </w:p>
    <w:p w14:paraId="4E1882E9" w14:textId="77777777" w:rsidR="00B32C8F" w:rsidRPr="00B32C8F" w:rsidRDefault="00B32C8F" w:rsidP="00B43E18">
      <w:pPr>
        <w:spacing w:after="120"/>
        <w:ind w:left="2127" w:hanging="2127"/>
        <w:rPr>
          <w:rFonts w:asciiTheme="majorHAnsi" w:hAnsiTheme="majorHAnsi" w:cstheme="majorHAnsi"/>
          <w:color w:val="000000"/>
          <w:szCs w:val="22"/>
          <w:lang w:val="en-US" w:eastAsia="en-US"/>
        </w:rPr>
      </w:pPr>
    </w:p>
    <w:p w14:paraId="092E55F5" w14:textId="2C8D91A0" w:rsidR="00B43E18" w:rsidRPr="00133ED8" w:rsidRDefault="00B43E18" w:rsidP="00B43E18">
      <w:pPr>
        <w:spacing w:after="120"/>
        <w:ind w:left="2127" w:hanging="2127"/>
        <w:rPr>
          <w:rFonts w:asciiTheme="majorHAnsi" w:hAnsiTheme="majorHAnsi" w:cstheme="majorHAnsi"/>
          <w:b/>
          <w:bCs/>
          <w:color w:val="000000"/>
          <w:szCs w:val="22"/>
          <w:lang w:val="en-US" w:eastAsia="en-US"/>
        </w:rPr>
      </w:pPr>
      <w:r>
        <w:rPr>
          <w:rFonts w:asciiTheme="majorHAnsi" w:hAnsiTheme="majorHAnsi" w:cstheme="majorHAnsi"/>
          <w:b/>
          <w:bCs/>
          <w:color w:val="000000"/>
          <w:szCs w:val="22"/>
          <w:lang w:val="en-US" w:eastAsia="en-US"/>
        </w:rPr>
        <w:t>Recommendation 2:</w:t>
      </w:r>
      <w:r>
        <w:rPr>
          <w:rFonts w:asciiTheme="majorHAnsi" w:hAnsiTheme="majorHAnsi" w:cstheme="majorHAnsi"/>
          <w:b/>
          <w:bCs/>
          <w:color w:val="000000"/>
          <w:szCs w:val="22"/>
          <w:lang w:val="en-US" w:eastAsia="en-US"/>
        </w:rPr>
        <w:tab/>
        <w:t xml:space="preserve">Improve indicator fitness for policy purposes through research and </w:t>
      </w:r>
      <w:r w:rsidR="00A57937">
        <w:rPr>
          <w:rFonts w:asciiTheme="majorHAnsi" w:hAnsiTheme="majorHAnsi" w:cstheme="majorHAnsi"/>
          <w:b/>
          <w:bCs/>
          <w:color w:val="000000"/>
          <w:szCs w:val="22"/>
          <w:lang w:val="en-US" w:eastAsia="en-US"/>
        </w:rPr>
        <w:t>investments</w:t>
      </w:r>
      <w:r>
        <w:rPr>
          <w:rFonts w:asciiTheme="majorHAnsi" w:hAnsiTheme="majorHAnsi" w:cstheme="majorHAnsi"/>
          <w:b/>
          <w:bCs/>
          <w:color w:val="000000"/>
          <w:szCs w:val="22"/>
          <w:lang w:val="en-US" w:eastAsia="en-US"/>
        </w:rPr>
        <w:t xml:space="preserve"> in soil monitoring</w:t>
      </w:r>
    </w:p>
    <w:p w14:paraId="51A45CA3" w14:textId="307E194D" w:rsidR="00B43E18" w:rsidRDefault="00B43E18" w:rsidP="00C410A7">
      <w:pPr>
        <w:pStyle w:val="EEAbullet0"/>
      </w:pPr>
      <w:r w:rsidRPr="00C410A7">
        <w:t xml:space="preserve">The research </w:t>
      </w:r>
      <w:r w:rsidR="00A57937" w:rsidRPr="00C410A7">
        <w:t>challenge:</w:t>
      </w:r>
      <w:r w:rsidRPr="00C410A7">
        <w:t xml:space="preserve"> Knowledge about the impact of soil degradation on drinking water quality, human health, food quality, soil biodiversity and ecosystem health, is still limited. Existing experiences in the risk assessment of </w:t>
      </w:r>
      <w:r w:rsidR="0061078F" w:rsidRPr="00C410A7">
        <w:t xml:space="preserve">local </w:t>
      </w:r>
      <w:r w:rsidRPr="00C410A7">
        <w:t xml:space="preserve">pollution must be expanded to risk assessment related to </w:t>
      </w:r>
      <w:r w:rsidR="00E57523" w:rsidRPr="00C410A7">
        <w:t xml:space="preserve">diffuse pollution and </w:t>
      </w:r>
      <w:r w:rsidRPr="00C410A7">
        <w:t xml:space="preserve">all </w:t>
      </w:r>
      <w:r w:rsidR="00E57523" w:rsidRPr="00C410A7">
        <w:t xml:space="preserve">other </w:t>
      </w:r>
      <w:r w:rsidRPr="00C410A7">
        <w:t xml:space="preserve">soil threats. The improvement of thresholds, the underlying transfer models towards </w:t>
      </w:r>
      <w:r w:rsidR="00E57523" w:rsidRPr="00C410A7">
        <w:t xml:space="preserve">protection </w:t>
      </w:r>
      <w:r w:rsidRPr="00C410A7">
        <w:t xml:space="preserve">endpoints, must be largely improved. Research as currently – for the first time ever – conducted in a public-public partnership (EJP Soil) must be further expanded so that research data infrastructures and indicator assessment can be improved. </w:t>
      </w:r>
    </w:p>
    <w:p w14:paraId="709D597D" w14:textId="77777777" w:rsidR="00C410A7" w:rsidRPr="00C410A7" w:rsidRDefault="00C410A7" w:rsidP="00C410A7">
      <w:pPr>
        <w:pStyle w:val="EEAbullet0"/>
        <w:numPr>
          <w:ilvl w:val="0"/>
          <w:numId w:val="0"/>
        </w:numPr>
        <w:ind w:left="397"/>
      </w:pPr>
    </w:p>
    <w:p w14:paraId="63B47DCA" w14:textId="556CA74F" w:rsidR="00FB506B" w:rsidRPr="00C410A7" w:rsidRDefault="00B43E18" w:rsidP="00C410A7">
      <w:pPr>
        <w:pStyle w:val="EEAbullet0"/>
      </w:pPr>
      <w:r w:rsidRPr="00C410A7">
        <w:t xml:space="preserve">Financial instruments: reliable and spatially accurate soil indicators are needed for many policy processes (zero pollution, chemicals, circular economy, urban development, climate resilience, ecosystem health, </w:t>
      </w:r>
      <w:r w:rsidR="00C410A7" w:rsidRPr="00C410A7">
        <w:t>and biodiversity</w:t>
      </w:r>
      <w:r w:rsidRPr="00C410A7">
        <w:t xml:space="preserve">, </w:t>
      </w:r>
      <w:r w:rsidR="00776E94" w:rsidRPr="00C410A7">
        <w:t>water,</w:t>
      </w:r>
      <w:r w:rsidRPr="00C410A7">
        <w:t xml:space="preserve"> and food security). Soil indicators are essential in all </w:t>
      </w:r>
      <w:r w:rsidR="00670C20" w:rsidRPr="00C410A7">
        <w:t>mentioned</w:t>
      </w:r>
      <w:r w:rsidRPr="00C410A7">
        <w:t xml:space="preserve"> policy schemes. Agreement between EC and member states is need</w:t>
      </w:r>
      <w:r w:rsidR="00E57523" w:rsidRPr="00C410A7">
        <w:t>ed</w:t>
      </w:r>
      <w:r w:rsidRPr="00C410A7">
        <w:t xml:space="preserve"> to implement the new Soil Strategy with a</w:t>
      </w:r>
      <w:r w:rsidR="00837FCB" w:rsidRPr="00C410A7">
        <w:t>n additional policy tool (</w:t>
      </w:r>
      <w:r w:rsidR="00647F7E" w:rsidRPr="00C410A7">
        <w:t>for example</w:t>
      </w:r>
      <w:r w:rsidR="003A2549" w:rsidRPr="00C410A7">
        <w:t xml:space="preserve">, </w:t>
      </w:r>
      <w:r w:rsidR="00647F7E" w:rsidRPr="00C410A7">
        <w:t xml:space="preserve">comparable to the former </w:t>
      </w:r>
      <w:r w:rsidR="00837FCB" w:rsidRPr="00C410A7">
        <w:t xml:space="preserve">Forest Focus </w:t>
      </w:r>
      <w:r w:rsidR="00647F7E" w:rsidRPr="00C410A7">
        <w:t>Regulation)</w:t>
      </w:r>
      <w:r w:rsidRPr="00C410A7">
        <w:t xml:space="preserve"> </w:t>
      </w:r>
      <w:r w:rsidR="003A2549" w:rsidRPr="00C410A7">
        <w:t xml:space="preserve">towards a </w:t>
      </w:r>
      <w:r w:rsidRPr="00C410A7">
        <w:t>joint funding scheme</w:t>
      </w:r>
      <w:r w:rsidR="003A2549" w:rsidRPr="00C410A7">
        <w:t xml:space="preserve"> for soil monitoring</w:t>
      </w:r>
      <w:r w:rsidRPr="00C410A7">
        <w:t xml:space="preserve">, </w:t>
      </w:r>
      <w:r w:rsidR="00776E94" w:rsidRPr="00C410A7">
        <w:t>e.g.,</w:t>
      </w:r>
      <w:r w:rsidR="00453DAD" w:rsidRPr="00C410A7">
        <w:t xml:space="preserve"> per member state decision or other regulatory framework on monitoring</w:t>
      </w:r>
      <w:r w:rsidR="003A2549" w:rsidRPr="00C410A7">
        <w:t>. S</w:t>
      </w:r>
      <w:r w:rsidR="009B4113" w:rsidRPr="00C410A7">
        <w:t xml:space="preserve">uch a framework would enable </w:t>
      </w:r>
      <w:r w:rsidRPr="00C410A7">
        <w:t>member states to safeguard</w:t>
      </w:r>
      <w:r w:rsidR="009B4113" w:rsidRPr="00C410A7">
        <w:t xml:space="preserve"> and to build upon </w:t>
      </w:r>
      <w:r w:rsidRPr="00C410A7">
        <w:t>the</w:t>
      </w:r>
      <w:r w:rsidR="003A2549" w:rsidRPr="00C410A7">
        <w:t>ir</w:t>
      </w:r>
      <w:r w:rsidRPr="00C410A7">
        <w:t xml:space="preserve"> historically built monitoring infrastructure.</w:t>
      </w:r>
      <w:bookmarkStart w:id="444" w:name="_Toc2005786"/>
      <w:bookmarkEnd w:id="362"/>
      <w:bookmarkEnd w:id="363"/>
      <w:bookmarkEnd w:id="364"/>
      <w:bookmarkEnd w:id="365"/>
      <w:bookmarkEnd w:id="366"/>
      <w:bookmarkEnd w:id="367"/>
      <w:r w:rsidR="00FB506B" w:rsidRPr="00C410A7">
        <w:br w:type="page"/>
      </w:r>
    </w:p>
    <w:p w14:paraId="2BEF7E29" w14:textId="68C3F5A8" w:rsidR="004E59A1" w:rsidRDefault="00AB120A" w:rsidP="005E61BD">
      <w:pPr>
        <w:pStyle w:val="berschrift1"/>
        <w:tabs>
          <w:tab w:val="clear" w:pos="567"/>
        </w:tabs>
        <w:ind w:left="426" w:hanging="574"/>
      </w:pPr>
      <w:bookmarkStart w:id="445" w:name="_Toc83997415"/>
      <w:r>
        <w:lastRenderedPageBreak/>
        <w:t>References</w:t>
      </w:r>
      <w:bookmarkEnd w:id="444"/>
      <w:bookmarkEnd w:id="445"/>
    </w:p>
    <w:p w14:paraId="67B5D649" w14:textId="4D5F13D5" w:rsidR="00AD49B7" w:rsidRDefault="00AD49B7" w:rsidP="00AD49B7"/>
    <w:p w14:paraId="255AFE8E" w14:textId="265E7E75" w:rsidR="009E1C49" w:rsidRDefault="009E1C49" w:rsidP="009E1C49">
      <w:pPr>
        <w:pStyle w:val="berschrift2"/>
      </w:pPr>
      <w:bookmarkStart w:id="446" w:name="_Toc83997416"/>
      <w:r>
        <w:t>Policy documents</w:t>
      </w:r>
      <w:bookmarkEnd w:id="446"/>
    </w:p>
    <w:p w14:paraId="14F76B51" w14:textId="521FFF49" w:rsidR="00200463" w:rsidRDefault="00200463" w:rsidP="00200463"/>
    <w:p w14:paraId="08A8CD43" w14:textId="10FE582A" w:rsidR="00643237" w:rsidRDefault="00643237" w:rsidP="00C410A7">
      <w:pPr>
        <w:pStyle w:val="EEALiterature"/>
        <w:rPr>
          <w:lang w:val="es-ES"/>
        </w:rPr>
      </w:pPr>
      <w:r w:rsidRPr="00D4512F">
        <w:rPr>
          <w:lang w:val="en-US"/>
        </w:rPr>
        <w:t>Arshad, M.A. and</w:t>
      </w:r>
      <w:r>
        <w:rPr>
          <w:lang w:val="en-US"/>
        </w:rPr>
        <w:t xml:space="preserve"> S.</w:t>
      </w:r>
      <w:r w:rsidRPr="00D4512F">
        <w:rPr>
          <w:lang w:val="en-US"/>
        </w:rPr>
        <w:t xml:space="preserve"> Martin (2002)</w:t>
      </w:r>
      <w:r>
        <w:rPr>
          <w:lang w:val="en-US"/>
        </w:rPr>
        <w:t>.</w:t>
      </w:r>
      <w:r w:rsidRPr="00D4512F">
        <w:rPr>
          <w:lang w:val="en-US"/>
        </w:rPr>
        <w:t xml:space="preserve"> Identifying Critical Limits for Soil Quality Indicators in Agro-Ecosystem. Agriculture Ecosystems and </w:t>
      </w:r>
      <w:proofErr w:type="gramStart"/>
      <w:r w:rsidRPr="00D4512F">
        <w:rPr>
          <w:lang w:val="en-US"/>
        </w:rPr>
        <w:t>Environment</w:t>
      </w:r>
      <w:r w:rsidR="00D274C3">
        <w:rPr>
          <w:lang w:val="en-US"/>
        </w:rPr>
        <w:t xml:space="preserve"> </w:t>
      </w:r>
      <w:r w:rsidRPr="00D4512F">
        <w:rPr>
          <w:lang w:val="en-US"/>
        </w:rPr>
        <w:t xml:space="preserve"> 88</w:t>
      </w:r>
      <w:proofErr w:type="gramEnd"/>
      <w:r w:rsidR="00D274C3">
        <w:rPr>
          <w:lang w:val="en-US"/>
        </w:rPr>
        <w:t>:</w:t>
      </w:r>
      <w:r w:rsidRPr="00D4512F">
        <w:rPr>
          <w:lang w:val="en-US"/>
        </w:rPr>
        <w:t xml:space="preserve"> 153-160.</w:t>
      </w:r>
      <w:r>
        <w:rPr>
          <w:lang w:val="en-US"/>
        </w:rPr>
        <w:t xml:space="preserve"> </w:t>
      </w:r>
      <w:r w:rsidRPr="00D4512F">
        <w:rPr>
          <w:lang w:val="en-US"/>
        </w:rPr>
        <w:t>http://dx.doi.org/10.1016/S0167-</w:t>
      </w:r>
      <w:proofErr w:type="gramStart"/>
      <w:r w:rsidRPr="00D4512F">
        <w:rPr>
          <w:lang w:val="en-US"/>
        </w:rPr>
        <w:t>8809(</w:t>
      </w:r>
      <w:proofErr w:type="gramEnd"/>
      <w:r w:rsidRPr="00D4512F">
        <w:rPr>
          <w:lang w:val="en-US"/>
        </w:rPr>
        <w:t>01)00252-3</w:t>
      </w:r>
    </w:p>
    <w:p w14:paraId="595AA9FE" w14:textId="645E1718" w:rsidR="009D5830" w:rsidRPr="00034770" w:rsidRDefault="009D5830" w:rsidP="00C410A7">
      <w:pPr>
        <w:pStyle w:val="EEALiterature"/>
      </w:pPr>
      <w:r w:rsidRPr="00CD55D6">
        <w:rPr>
          <w:lang w:val="es-ES"/>
        </w:rPr>
        <w:t>Bünemann E.K., Bongiorno G., Baic Z., Creamer R.E., De Deynb G., de Goede R., Fleskens L., Geissen V., Kuyper T.W., Mädera P., Pulleman M., Sukke W., van Groenigen J.W., Brussaard L. (2018</w:t>
      </w:r>
      <w:r w:rsidR="000E4C33" w:rsidRPr="00CD55D6">
        <w:rPr>
          <w:lang w:val="es-ES"/>
        </w:rPr>
        <w:t>)</w:t>
      </w:r>
      <w:r w:rsidR="000E4C33">
        <w:rPr>
          <w:lang w:val="es-ES"/>
        </w:rPr>
        <w:t>.</w:t>
      </w:r>
      <w:r w:rsidR="000E4C33" w:rsidRPr="00CD55D6">
        <w:rPr>
          <w:lang w:val="es-ES"/>
        </w:rPr>
        <w:t xml:space="preserve"> </w:t>
      </w:r>
      <w:r w:rsidRPr="00CD55D6">
        <w:rPr>
          <w:lang w:val="es-ES"/>
        </w:rPr>
        <w:t xml:space="preserve">Soil quality – A critical review. </w:t>
      </w:r>
      <w:r w:rsidRPr="00034770">
        <w:t>Soil Biology and Biochemistry Volume 120, May 2018, Pages 105-125. https://doi.org/10.1016/j.soilbio.2018.01.030.</w:t>
      </w:r>
    </w:p>
    <w:p w14:paraId="06384EAB" w14:textId="0D1491F1" w:rsidR="009D5830" w:rsidRDefault="009D5830" w:rsidP="00C410A7">
      <w:pPr>
        <w:pStyle w:val="EEALiterature"/>
      </w:pPr>
      <w:proofErr w:type="gramStart"/>
      <w:r>
        <w:t>COM(</w:t>
      </w:r>
      <w:proofErr w:type="gramEnd"/>
      <w:r>
        <w:t>2006)/231</w:t>
      </w:r>
      <w:r w:rsidR="00D274C3">
        <w:t>.</w:t>
      </w:r>
      <w:r>
        <w:t xml:space="preserve"> Thematic Strategy for Soil Protection.</w:t>
      </w:r>
    </w:p>
    <w:p w14:paraId="392E9DFC" w14:textId="2DDA3A4E" w:rsidR="009D5830" w:rsidRDefault="009D5830" w:rsidP="00C410A7">
      <w:pPr>
        <w:pStyle w:val="EEALiterature"/>
      </w:pPr>
      <w:proofErr w:type="gramStart"/>
      <w:r>
        <w:t>COM(</w:t>
      </w:r>
      <w:proofErr w:type="gramEnd"/>
      <w:r>
        <w:t>2011) 571</w:t>
      </w:r>
      <w:r w:rsidR="00BC328B">
        <w:t>.</w:t>
      </w:r>
      <w:r>
        <w:t>, Roadmap to a Resource Efficient Europe.</w:t>
      </w:r>
    </w:p>
    <w:p w14:paraId="4C6F984D" w14:textId="76450E53" w:rsidR="009D5830" w:rsidRDefault="009D5830" w:rsidP="00C410A7">
      <w:pPr>
        <w:pStyle w:val="EEALiterature"/>
      </w:pPr>
      <w:proofErr w:type="gramStart"/>
      <w:r>
        <w:t>COM(</w:t>
      </w:r>
      <w:proofErr w:type="gramEnd"/>
      <w:r>
        <w:t>2020) 380 final</w:t>
      </w:r>
      <w:r w:rsidR="00BC328B">
        <w:t>.</w:t>
      </w:r>
      <w:r>
        <w:t xml:space="preserve"> EU Biodiversity Strategy for 2030.</w:t>
      </w:r>
    </w:p>
    <w:p w14:paraId="70328DF3" w14:textId="023B919B" w:rsidR="009D5830" w:rsidRDefault="009D5830" w:rsidP="00C410A7">
      <w:pPr>
        <w:pStyle w:val="EEALiterature"/>
      </w:pPr>
      <w:proofErr w:type="gramStart"/>
      <w:r>
        <w:t>COM(</w:t>
      </w:r>
      <w:proofErr w:type="gramEnd"/>
      <w:r>
        <w:t>2020) 381 final</w:t>
      </w:r>
      <w:r w:rsidR="00BC328B">
        <w:t>.</w:t>
      </w:r>
      <w:r>
        <w:t xml:space="preserve"> A Farm to Fork Strategy for a fair, healthy and environmentally-friendly food system.</w:t>
      </w:r>
    </w:p>
    <w:p w14:paraId="5E7C8428" w14:textId="77777777" w:rsidR="009D5830" w:rsidRDefault="009D5830" w:rsidP="00C410A7">
      <w:pPr>
        <w:pStyle w:val="EEALiterature"/>
      </w:pPr>
      <w:proofErr w:type="gramStart"/>
      <w:r>
        <w:t>COM(</w:t>
      </w:r>
      <w:proofErr w:type="gramEnd"/>
      <w:r>
        <w:t>2020) 652 D</w:t>
      </w:r>
      <w:r w:rsidRPr="00AB4382">
        <w:t>ecision on a General Union Environment Action Programme to 2030</w:t>
      </w:r>
      <w:r>
        <w:t>.</w:t>
      </w:r>
    </w:p>
    <w:p w14:paraId="69E6ED7D" w14:textId="77777777" w:rsidR="009D5830" w:rsidRDefault="009D5830" w:rsidP="00C410A7">
      <w:pPr>
        <w:pStyle w:val="EEALiterature"/>
      </w:pPr>
      <w:proofErr w:type="gramStart"/>
      <w:r w:rsidRPr="004F0CD5">
        <w:t>COM(</w:t>
      </w:r>
      <w:proofErr w:type="gramEnd"/>
      <w:r w:rsidRPr="004F0CD5">
        <w:t xml:space="preserve">2020) 667 final. Chemicals Strategy for Sustainability </w:t>
      </w:r>
      <w:proofErr w:type="gramStart"/>
      <w:r w:rsidRPr="004F0CD5">
        <w:t>Towards</w:t>
      </w:r>
      <w:proofErr w:type="gramEnd"/>
      <w:r w:rsidRPr="004F0CD5">
        <w:t xml:space="preserve"> a Toxic-Free Environment</w:t>
      </w:r>
      <w:r>
        <w:t>.</w:t>
      </w:r>
    </w:p>
    <w:p w14:paraId="4024A4A2" w14:textId="65A61E4C" w:rsidR="00053D96" w:rsidRDefault="00053D96" w:rsidP="00C410A7">
      <w:pPr>
        <w:pStyle w:val="EEALiterature"/>
        <w:rPr>
          <w:lang w:val="de-AT"/>
        </w:rPr>
      </w:pPr>
      <w:r w:rsidRPr="00053D96">
        <w:rPr>
          <w:lang w:val="en-US"/>
        </w:rPr>
        <w:t xml:space="preserve">COWI, Ecologic Institute and IEEP (2021) Technical Guidance Handbook - setting up and implementing result-based carbon farming mechanisms in the EU Report to the European Commission, DG Climate Action, under Contract No. </w:t>
      </w:r>
      <w:r w:rsidRPr="00053D96">
        <w:rPr>
          <w:lang w:val="de-AT"/>
        </w:rPr>
        <w:t>CLIMA/C.3/ETU/2018/007. COWI, Kongens Lyngby.</w:t>
      </w:r>
    </w:p>
    <w:p w14:paraId="5B31B105" w14:textId="2C5125D2" w:rsidR="009D5830" w:rsidRDefault="009D5830" w:rsidP="00C410A7">
      <w:pPr>
        <w:pStyle w:val="EEALiterature"/>
      </w:pPr>
      <w:r w:rsidRPr="00CD55D6">
        <w:rPr>
          <w:lang w:val="de-AT"/>
        </w:rPr>
        <w:t xml:space="preserve">Cowie, A. L., B. J. Orr, V. M. Castillo Sanchez, P. Chasek, N. D. Crossman, A. Erlewein, G. Louwagie, M. Maron, G. I. Metternicht, S. Minelli, A. E. Tengberg, S. Walter, and S. Welton (2018). </w:t>
      </w:r>
      <w:r w:rsidRPr="00B54EE1">
        <w:t>Land in balance: The scientific conceptual framework for Land Degradation Neutrality. Environmental Science &amp; Policy 79: 25-35.</w:t>
      </w:r>
    </w:p>
    <w:p w14:paraId="1C60FA24" w14:textId="781202C4" w:rsidR="009D5830" w:rsidRDefault="009D5830" w:rsidP="00C410A7">
      <w:pPr>
        <w:pStyle w:val="EEALiterature"/>
      </w:pPr>
      <w:r w:rsidRPr="00537A87">
        <w:t>FAO and ITPS</w:t>
      </w:r>
      <w:r w:rsidR="00DA335E">
        <w:t xml:space="preserve"> (</w:t>
      </w:r>
      <w:r w:rsidRPr="00537A87">
        <w:t>2015</w:t>
      </w:r>
      <w:r w:rsidR="00DA335E">
        <w:t>)</w:t>
      </w:r>
      <w:r w:rsidRPr="00537A87">
        <w:t>. Status of the World’s Soil Resources (SWSR) – Main Report. Food and Agriculture Organization of the United Nations and Intergovernmental Technical Panel on Soils, Rome, Italy.</w:t>
      </w:r>
    </w:p>
    <w:p w14:paraId="4F68EB14" w14:textId="118B11DE" w:rsidR="009D5830" w:rsidRPr="00E4275A" w:rsidRDefault="009D5830" w:rsidP="00C410A7">
      <w:pPr>
        <w:pStyle w:val="EEALiterature"/>
      </w:pPr>
      <w:r w:rsidRPr="00E4275A">
        <w:t>De Vries, W. (2018</w:t>
      </w:r>
      <w:r w:rsidR="00DA335E" w:rsidRPr="00E4275A">
        <w:t>)</w:t>
      </w:r>
      <w:r w:rsidR="00DA335E">
        <w:t>.</w:t>
      </w:r>
      <w:r w:rsidR="00DA335E" w:rsidRPr="00E4275A">
        <w:t xml:space="preserve"> </w:t>
      </w:r>
      <w:r w:rsidRPr="00E4275A">
        <w:t>Soil carbon 4 per mille: a good initiative but let’s manage not only the soil but also the expectations. Geoderma 309: 111–112.</w:t>
      </w:r>
    </w:p>
    <w:p w14:paraId="070F3A5B" w14:textId="77777777" w:rsidR="009D5830" w:rsidRDefault="009D5830" w:rsidP="00C410A7">
      <w:pPr>
        <w:pStyle w:val="EEALiterature"/>
      </w:pPr>
      <w:r>
        <w:t>Directive (2000/60/EC) establishing a framework for Community action in the field of water policy.</w:t>
      </w:r>
    </w:p>
    <w:p w14:paraId="6E3E7199" w14:textId="77777777" w:rsidR="009D5830" w:rsidRDefault="009D5830" w:rsidP="00C410A7">
      <w:pPr>
        <w:pStyle w:val="EEALiterature"/>
      </w:pPr>
      <w:r>
        <w:t>Directive (EU) 2016/2284 on the reduction of national emissions of certain atmospheric pollutants, amending Directive 2003/35/EC and repealing Directive 2001/81/EC.</w:t>
      </w:r>
    </w:p>
    <w:p w14:paraId="6C98F1CA" w14:textId="5C72F37B" w:rsidR="009D5830" w:rsidRPr="00034770" w:rsidRDefault="009D5830" w:rsidP="00C410A7">
      <w:pPr>
        <w:pStyle w:val="EEALiterature"/>
      </w:pPr>
      <w:r w:rsidRPr="00034770">
        <w:t>Doran J.W. (2002</w:t>
      </w:r>
      <w:r w:rsidR="00DA335E" w:rsidRPr="00034770">
        <w:t>)</w:t>
      </w:r>
      <w:r w:rsidR="00DA335E">
        <w:t>.</w:t>
      </w:r>
      <w:r w:rsidR="00DA335E" w:rsidRPr="00034770">
        <w:t xml:space="preserve"> </w:t>
      </w:r>
      <w:r w:rsidRPr="00034770">
        <w:t xml:space="preserve">Soil health and global sustainability: translating science into practice. </w:t>
      </w:r>
      <w:proofErr w:type="gramStart"/>
      <w:r w:rsidRPr="00034770">
        <w:t>in</w:t>
      </w:r>
      <w:proofErr w:type="gramEnd"/>
      <w:r w:rsidRPr="00034770">
        <w:t xml:space="preserve"> Agriculture, Ecosystems and Environment 88</w:t>
      </w:r>
      <w:r>
        <w:t>:</w:t>
      </w:r>
      <w:r w:rsidRPr="00034770">
        <w:t xml:space="preserve"> 119–127</w:t>
      </w:r>
      <w:r>
        <w:t>.</w:t>
      </w:r>
    </w:p>
    <w:p w14:paraId="4280D249" w14:textId="43706673" w:rsidR="009D5830" w:rsidRDefault="009D5830" w:rsidP="00C410A7">
      <w:pPr>
        <w:pStyle w:val="EEALiterature"/>
        <w:rPr>
          <w:rStyle w:val="Hyperlink"/>
          <w:color w:val="auto"/>
          <w:u w:val="none"/>
        </w:rPr>
      </w:pPr>
      <w:r>
        <w:t xml:space="preserve">EC - </w:t>
      </w:r>
      <w:r w:rsidRPr="00034770">
        <w:t>European Commission Directorate</w:t>
      </w:r>
      <w:r>
        <w:t>s</w:t>
      </w:r>
      <w:r w:rsidRPr="00034770">
        <w:t xml:space="preserve"> General for </w:t>
      </w:r>
      <w:r>
        <w:t xml:space="preserve">Agriculture and Rural Development and Quality, </w:t>
      </w:r>
      <w:r w:rsidRPr="00034770">
        <w:t>Research</w:t>
      </w:r>
      <w:r>
        <w:t xml:space="preserve">, </w:t>
      </w:r>
      <w:r w:rsidRPr="00034770">
        <w:t xml:space="preserve">Innovation </w:t>
      </w:r>
      <w:r>
        <w:t xml:space="preserve">and Outreach </w:t>
      </w:r>
      <w:r w:rsidRPr="00034770">
        <w:t>(2020)</w:t>
      </w:r>
      <w:r w:rsidR="00DA335E">
        <w:t>.</w:t>
      </w:r>
      <w:r w:rsidRPr="00034770">
        <w:t xml:space="preserve"> Caring for soil is caring for life [accessed Nov 26 2020]:</w:t>
      </w:r>
      <w:r>
        <w:t xml:space="preserve"> </w:t>
      </w:r>
      <w:hyperlink r:id="rId61" w:history="1">
        <w:r w:rsidRPr="00034770">
          <w:rPr>
            <w:rStyle w:val="Hyperlink"/>
            <w:color w:val="auto"/>
            <w:u w:val="none"/>
          </w:rPr>
          <w:t>https://op.europa.eu/en/web/eu-law-and-publications/publication-detail/-/publication/32d5d312-b689-11ea-bb7a-01aa75ed71a1</w:t>
        </w:r>
      </w:hyperlink>
      <w:r>
        <w:rPr>
          <w:rStyle w:val="Hyperlink"/>
          <w:color w:val="auto"/>
          <w:u w:val="none"/>
        </w:rPr>
        <w:t>.</w:t>
      </w:r>
    </w:p>
    <w:p w14:paraId="631016C1" w14:textId="77777777" w:rsidR="009D5830" w:rsidRPr="00B54EE1" w:rsidRDefault="009D5830" w:rsidP="00C410A7">
      <w:pPr>
        <w:pStyle w:val="EEALiterature"/>
        <w:rPr>
          <w:szCs w:val="22"/>
        </w:rPr>
      </w:pPr>
      <w:r w:rsidRPr="00B54EE1">
        <w:rPr>
          <w:rStyle w:val="Kommentarzeichen"/>
          <w:sz w:val="22"/>
          <w:szCs w:val="22"/>
        </w:rPr>
        <w:t>EC</w:t>
      </w:r>
      <w:r w:rsidRPr="00B54EE1">
        <w:rPr>
          <w:szCs w:val="22"/>
        </w:rPr>
        <w:t xml:space="preserve">, EEA, JRC, ETC/Biodiversity and ETC/ULS (2017). MAES Workshop "Assessing and Mapping Ecosystem Condition", 27 – 28 June 2017. Background Paper to support breakout group discussions (version of 11 July 2017). </w:t>
      </w:r>
      <w:hyperlink r:id="rId62" w:history="1">
        <w:r w:rsidRPr="00B54EE1">
          <w:rPr>
            <w:rStyle w:val="Hyperlink"/>
            <w:szCs w:val="22"/>
          </w:rPr>
          <w:t>https://circabc.europa.eu/sd/a/a5932b69-ffa5-4d5f-a842-ead4bb8ba623/MAESconditionsBackgroundpaper11July.pdf</w:t>
        </w:r>
      </w:hyperlink>
      <w:r w:rsidRPr="00B54EE1">
        <w:rPr>
          <w:szCs w:val="22"/>
        </w:rPr>
        <w:t xml:space="preserve"> </w:t>
      </w:r>
    </w:p>
    <w:p w14:paraId="7B45DAF4" w14:textId="77777777" w:rsidR="009D5830" w:rsidRPr="00034770" w:rsidRDefault="009D5830" w:rsidP="00C410A7">
      <w:pPr>
        <w:pStyle w:val="EEALiterature"/>
      </w:pPr>
      <w:r w:rsidRPr="00034770">
        <w:t>EEA</w:t>
      </w:r>
      <w:r>
        <w:t xml:space="preserve"> – European Environment Agency</w:t>
      </w:r>
      <w:r w:rsidRPr="00034770">
        <w:t xml:space="preserve"> (20</w:t>
      </w:r>
      <w:r>
        <w:t>20</w:t>
      </w:r>
      <w:r w:rsidRPr="00034770">
        <w:t>): The European environment — state and outlook 2020, ISBN 978-92-9480-090-9. [</w:t>
      </w:r>
      <w:proofErr w:type="gramStart"/>
      <w:r w:rsidRPr="00034770">
        <w:t>accessed</w:t>
      </w:r>
      <w:proofErr w:type="gramEnd"/>
      <w:r w:rsidRPr="00034770">
        <w:t xml:space="preserve"> Nov 26 2020]:</w:t>
      </w:r>
      <w:r>
        <w:t xml:space="preserve"> </w:t>
      </w:r>
      <w:hyperlink r:id="rId63" w:history="1">
        <w:r w:rsidRPr="007E101A">
          <w:rPr>
            <w:rStyle w:val="Hyperlink"/>
          </w:rPr>
          <w:t>https://www.eea.europa.eu/publications/soer-2020</w:t>
        </w:r>
      </w:hyperlink>
      <w:r>
        <w:t xml:space="preserve">. </w:t>
      </w:r>
    </w:p>
    <w:p w14:paraId="41EDB19C" w14:textId="5591FEF0" w:rsidR="009D5830" w:rsidRDefault="009D5830" w:rsidP="00C410A7">
      <w:pPr>
        <w:pStyle w:val="EEALiterature"/>
      </w:pPr>
      <w:r w:rsidRPr="00B54EE1">
        <w:t xml:space="preserve">FAO (2018). SDG Indicator 2.4.1. </w:t>
      </w:r>
      <w:r w:rsidR="000E4E46">
        <w:t xml:space="preserve">Proportion of agricultural area under productive and sustainable </w:t>
      </w:r>
      <w:r w:rsidR="00DA335E">
        <w:t>agriculture</w:t>
      </w:r>
      <w:r w:rsidRPr="00B54EE1">
        <w:t>. M</w:t>
      </w:r>
      <w:r w:rsidR="00DA335E">
        <w:t>ethodological Note</w:t>
      </w:r>
      <w:r w:rsidRPr="00B54EE1">
        <w:t>. Revision 10. http://www.fao.org/3/ca7154en/ca7154en.pdf</w:t>
      </w:r>
    </w:p>
    <w:p w14:paraId="56C387F6" w14:textId="5CE946C4" w:rsidR="009D5830" w:rsidRDefault="009D5830" w:rsidP="00C410A7">
      <w:pPr>
        <w:pStyle w:val="EEALiterature"/>
      </w:pPr>
      <w:r w:rsidRPr="00C51D7E">
        <w:t xml:space="preserve">Huber, S., Prokop, G., Arrouays, D., Banko, G., Bispo, A., Jones, R.J.A., Kibblewhite, M.G., Lexer, W., Möller, A., Rickson, R.J., Shishkov, T., Stephens, M., Toth, G. Van den Akker, J.J.H., Varallyay, G., Verheijen, F.G.A. &amp; Jones, A.R. (eds) </w:t>
      </w:r>
      <w:r w:rsidR="000E4E46">
        <w:t>(</w:t>
      </w:r>
      <w:r w:rsidRPr="00C51D7E">
        <w:t>2008</w:t>
      </w:r>
      <w:r w:rsidR="000E4E46">
        <w:t>)</w:t>
      </w:r>
      <w:r w:rsidRPr="00C51D7E">
        <w:t>. Environmental Assessment of Soil for Monitoring: Volume I Indicators &amp; Criteria. EUR23490 EN/1, Office for the Official Publications of the European Communities, Luxembourg, 339pp.</w:t>
      </w:r>
    </w:p>
    <w:p w14:paraId="2643BD7D" w14:textId="018B9222" w:rsidR="009D5830" w:rsidRDefault="009D5830" w:rsidP="00C410A7">
      <w:pPr>
        <w:pStyle w:val="EEALiterature"/>
      </w:pPr>
      <w:r>
        <w:lastRenderedPageBreak/>
        <w:t xml:space="preserve">Johnson, D. L., </w:t>
      </w:r>
      <w:r w:rsidRPr="006738DF">
        <w:rPr>
          <w:lang w:val="en-US"/>
        </w:rPr>
        <w:t>Ambrose, S. H</w:t>
      </w:r>
      <w:r>
        <w:rPr>
          <w:lang w:val="en-US"/>
        </w:rPr>
        <w:t xml:space="preserve">., </w:t>
      </w:r>
      <w:r w:rsidRPr="006738DF">
        <w:rPr>
          <w:lang w:val="en-US"/>
        </w:rPr>
        <w:t>Bassett, T. J</w:t>
      </w:r>
      <w:r>
        <w:rPr>
          <w:lang w:val="en-US"/>
        </w:rPr>
        <w:t>. (1997</w:t>
      </w:r>
      <w:r w:rsidR="000E4E46">
        <w:rPr>
          <w:lang w:val="en-US"/>
        </w:rPr>
        <w:t xml:space="preserve">). </w:t>
      </w:r>
      <w:r>
        <w:t xml:space="preserve">Meanings of Environmental Terms. Journal of environmental quality, 05/1997. </w:t>
      </w:r>
      <w:proofErr w:type="gramStart"/>
      <w:r>
        <w:t>doi</w:t>
      </w:r>
      <w:proofErr w:type="gramEnd"/>
      <w:r>
        <w:t xml:space="preserve">: </w:t>
      </w:r>
      <w:r w:rsidRPr="006738DF">
        <w:t>10.2134/jeq1997.00472425002600030002x</w:t>
      </w:r>
      <w:r>
        <w:t>.</w:t>
      </w:r>
    </w:p>
    <w:p w14:paraId="0FC92514" w14:textId="0A84D529" w:rsidR="009D5830" w:rsidRPr="00034770" w:rsidRDefault="009D5830" w:rsidP="00C410A7">
      <w:pPr>
        <w:pStyle w:val="EEALiterature"/>
      </w:pPr>
      <w:r w:rsidRPr="00034770">
        <w:t>JRC</w:t>
      </w:r>
      <w:r>
        <w:t xml:space="preserve"> - Joint Research Centre</w:t>
      </w:r>
      <w:r w:rsidRPr="00034770">
        <w:t xml:space="preserve"> (20212</w:t>
      </w:r>
      <w:r w:rsidR="000E4E46" w:rsidRPr="00034770">
        <w:t>)</w:t>
      </w:r>
      <w:r w:rsidR="000E4E46">
        <w:t>.</w:t>
      </w:r>
      <w:r w:rsidR="000E4E46" w:rsidRPr="00034770">
        <w:t xml:space="preserve"> </w:t>
      </w:r>
      <w:r w:rsidRPr="00034770">
        <w:t>The State of Soil in Europe. ISBN 978-92-79-22806-3. [</w:t>
      </w:r>
      <w:proofErr w:type="gramStart"/>
      <w:r w:rsidRPr="00034770">
        <w:t>accessed</w:t>
      </w:r>
      <w:proofErr w:type="gramEnd"/>
      <w:r w:rsidRPr="00034770">
        <w:t xml:space="preserve"> Nov 26 2020]:</w:t>
      </w:r>
      <w:r>
        <w:t xml:space="preserve"> </w:t>
      </w:r>
      <w:hyperlink r:id="rId64" w:history="1">
        <w:r w:rsidRPr="00034770">
          <w:rPr>
            <w:rStyle w:val="Hyperlink"/>
            <w:color w:val="auto"/>
            <w:u w:val="none"/>
          </w:rPr>
          <w:t>https://publications.jrc.ec.europa.eu/repository/bitstream/JRC68418/lbna25186enn.pdf</w:t>
        </w:r>
      </w:hyperlink>
      <w:r>
        <w:rPr>
          <w:rStyle w:val="Hyperlink"/>
          <w:color w:val="auto"/>
          <w:u w:val="none"/>
        </w:rPr>
        <w:t xml:space="preserve"> </w:t>
      </w:r>
    </w:p>
    <w:p w14:paraId="32A01A60" w14:textId="783C2D89" w:rsidR="009D5830" w:rsidRDefault="009D5830" w:rsidP="00C410A7">
      <w:pPr>
        <w:pStyle w:val="EEALiterature"/>
      </w:pPr>
      <w:r w:rsidRPr="00D82805">
        <w:t>Lal, R. (2015</w:t>
      </w:r>
      <w:r w:rsidR="000E4E46" w:rsidRPr="00D82805">
        <w:t>)</w:t>
      </w:r>
      <w:r w:rsidR="000E4E46">
        <w:t>.</w:t>
      </w:r>
      <w:r w:rsidR="000E4E46" w:rsidRPr="00D82805">
        <w:t xml:space="preserve"> </w:t>
      </w:r>
      <w:r w:rsidRPr="00D82805">
        <w:t>Restoring soil quality to mitigate soil degradation. Sustainability 7: 5875-5895.</w:t>
      </w:r>
    </w:p>
    <w:p w14:paraId="6C15CF17" w14:textId="357502C1" w:rsidR="006833BE" w:rsidRDefault="006833BE" w:rsidP="00C410A7">
      <w:pPr>
        <w:pStyle w:val="EEALiterature"/>
      </w:pPr>
      <w:r w:rsidRPr="006833BE">
        <w:t xml:space="preserve">Maes, J., Teller, A., Erhard, M., Condé, S., Vallecillo, S., Barredo, J.I., Paracchini, M.L. </w:t>
      </w:r>
      <w:r w:rsidR="000E4E46">
        <w:t>et al.</w:t>
      </w:r>
      <w:r w:rsidRPr="006833BE">
        <w:t xml:space="preserve"> </w:t>
      </w:r>
      <w:r w:rsidR="000E4E46">
        <w:t xml:space="preserve">(2020). </w:t>
      </w:r>
      <w:r w:rsidRPr="006833BE">
        <w:t>Mapping and Assessment of Ecosystems and their Services: An EU ecosystem assessment, EUR 30161 EN, Publications Office of the European Union, Ispra, 2020, ISBN 978-92-76-17833-0, doi:10.2760/757183, JRC120383.</w:t>
      </w:r>
    </w:p>
    <w:p w14:paraId="4320B1DC" w14:textId="6E952E15" w:rsidR="009D5830" w:rsidRDefault="009D5830" w:rsidP="00C410A7">
      <w:pPr>
        <w:pStyle w:val="EEALiterature"/>
      </w:pPr>
      <w:r w:rsidRPr="00B54EE1">
        <w:t>Orr, B.J., A.L. Cowie, V.M. Castillo Sanchez, P. Chasek, N.D. Crossman, A. Erlewein, G. Louwagie, M. Maron, G.I. Metternicht, S. Minelli, A.E. Tengberg, S. Walter, and S. Welton (2017). Scientific Conceptual Framework for Land Degradation Neutrality. A Report of the Science-Policy Interface. United Nations Convention to Combat Desertification (UNCCD), Bonn, Germany.</w:t>
      </w:r>
    </w:p>
    <w:p w14:paraId="4F45CC2C" w14:textId="754722A2" w:rsidR="00426191" w:rsidRDefault="00426191" w:rsidP="00C410A7">
      <w:pPr>
        <w:pStyle w:val="EEALiterature"/>
      </w:pPr>
      <w:r w:rsidRPr="00426191">
        <w:t xml:space="preserve">Paul, C., </w:t>
      </w:r>
      <w:r>
        <w:t xml:space="preserve">K. </w:t>
      </w:r>
      <w:r w:rsidRPr="00426191">
        <w:t xml:space="preserve">Kuhn, </w:t>
      </w:r>
      <w:r>
        <w:t xml:space="preserve">B. </w:t>
      </w:r>
      <w:r w:rsidRPr="00426191">
        <w:t xml:space="preserve">Steinhoff-Knopp, </w:t>
      </w:r>
      <w:r>
        <w:t xml:space="preserve">P. </w:t>
      </w:r>
      <w:r w:rsidRPr="00426191">
        <w:t>Weißhuhn</w:t>
      </w:r>
      <w:r>
        <w:t xml:space="preserve"> and K.</w:t>
      </w:r>
      <w:r w:rsidRPr="00426191">
        <w:t xml:space="preserve"> Helming</w:t>
      </w:r>
      <w:r>
        <w:t xml:space="preserve"> (</w:t>
      </w:r>
      <w:r w:rsidRPr="00426191">
        <w:t>2020</w:t>
      </w:r>
      <w:r>
        <w:t>)</w:t>
      </w:r>
      <w:r w:rsidRPr="00426191">
        <w:t>. Towards a standardisation of soil-related ecosystem service assessments. Eur J Soil Sci. doi:10.1111/ejss.13022.</w:t>
      </w:r>
    </w:p>
    <w:p w14:paraId="58542EB8" w14:textId="3D24FE8A" w:rsidR="009D5830" w:rsidRDefault="009D5830" w:rsidP="00C410A7">
      <w:pPr>
        <w:pStyle w:val="EEALiterature"/>
      </w:pPr>
      <w:r>
        <w:t>Regulation (EU) No 1306/2013 on the financing, management and monitoring of the common agricultural policy and repealing Council Regulations (EEC) No 352/78, (EC) No 165/94, (EC) No 2799/98, (EC) No 814/2000, (EC) No 1290/2005 and (EC) No 485/2008.</w:t>
      </w:r>
    </w:p>
    <w:p w14:paraId="22C5E97B" w14:textId="61929D50" w:rsidR="00B6611A" w:rsidRPr="00B6611A" w:rsidRDefault="00B6611A" w:rsidP="00C410A7">
      <w:pPr>
        <w:pStyle w:val="EEALiterature"/>
      </w:pPr>
      <w:r>
        <w:t>Van Groenigen, J.W., D. Huygens, P. Boeckx, T.W. Kuyper, I.M. Lubbers, T. Rütting, and P.M. Groffman (2015). The soil N cycle: new insights and key challanges. Soil 1: 235–256.</w:t>
      </w:r>
    </w:p>
    <w:p w14:paraId="32AD3E5B" w14:textId="47445035" w:rsidR="00865661" w:rsidRPr="00E4275A" w:rsidRDefault="00865661" w:rsidP="00C410A7">
      <w:pPr>
        <w:pStyle w:val="EEALiterature"/>
      </w:pPr>
      <w:r w:rsidRPr="007666EE">
        <w:rPr>
          <w:lang w:val="en-US"/>
        </w:rPr>
        <w:t xml:space="preserve">Van Lynden, G.W.J., S. Mantel and A. van Oostum (2004) (Ed.). </w:t>
      </w:r>
      <w:r w:rsidRPr="00865661">
        <w:t>Guiding principles for the quantitative assessment of soil degradation. Food and Agriculture Organization of the United Nations (FAO) and International Soil Reference and Information Centre (ISRIC). 2004. p. 62.</w:t>
      </w:r>
    </w:p>
    <w:p w14:paraId="4DA9C5B1" w14:textId="58049DEF" w:rsidR="009D5830" w:rsidRDefault="009D5830" w:rsidP="00C410A7">
      <w:pPr>
        <w:pStyle w:val="EEALiterature"/>
      </w:pPr>
      <w:r w:rsidRPr="00034770">
        <w:t xml:space="preserve">Vegter, J., J. Lowe, and H. Kasamas (2003). Risk-based land management - A concept for the sustainable management of contaminated land. Land Contamination &amp; Reclamation. 11. 31-36. </w:t>
      </w:r>
      <w:proofErr w:type="gramStart"/>
      <w:r>
        <w:t>doi</w:t>
      </w:r>
      <w:proofErr w:type="gramEnd"/>
      <w:r>
        <w:t>:</w:t>
      </w:r>
      <w:r w:rsidRPr="00323F1F">
        <w:t xml:space="preserve"> </w:t>
      </w:r>
      <w:r w:rsidRPr="00034770">
        <w:t>10.2462/09670513.617.</w:t>
      </w:r>
    </w:p>
    <w:p w14:paraId="442BBC81" w14:textId="4406D2F8" w:rsidR="007666EE" w:rsidRDefault="007666EE" w:rsidP="00C410A7">
      <w:pPr>
        <w:pStyle w:val="EEALiterature"/>
      </w:pPr>
      <w:r>
        <w:t>United Nations Statistics (2018</w:t>
      </w:r>
      <w:r w:rsidR="000E4E46">
        <w:t xml:space="preserve">). </w:t>
      </w:r>
      <w:r>
        <w:t>Meta data for SDG 15.3.1, available at SDG metadata repository</w:t>
      </w:r>
      <w:r>
        <w:br/>
      </w:r>
      <w:hyperlink r:id="rId65" w:history="1">
        <w:r w:rsidRPr="00090C5C">
          <w:rPr>
            <w:rStyle w:val="Hyperlink"/>
          </w:rPr>
          <w:t>https://unstats.un.org/sdgs/metadata/</w:t>
        </w:r>
      </w:hyperlink>
      <w:r>
        <w:t xml:space="preserve"> [last accessed Feb. 18 2021]</w:t>
      </w:r>
    </w:p>
    <w:p w14:paraId="3B21B5E5" w14:textId="757E9073" w:rsidR="007459F8" w:rsidRPr="007666EE" w:rsidRDefault="007459F8" w:rsidP="00C410A7">
      <w:pPr>
        <w:pStyle w:val="EEALiterature"/>
        <w:rPr>
          <w:lang w:val="en-US"/>
        </w:rPr>
      </w:pPr>
    </w:p>
    <w:p w14:paraId="1378907A" w14:textId="77777777" w:rsidR="007459F8" w:rsidRPr="007666EE" w:rsidRDefault="007459F8" w:rsidP="00C410A7">
      <w:pPr>
        <w:pStyle w:val="EEALiterature"/>
        <w:rPr>
          <w:lang w:val="en-US"/>
        </w:rPr>
      </w:pPr>
    </w:p>
    <w:p w14:paraId="692B0BDC" w14:textId="09A36E92" w:rsidR="008F64E4" w:rsidRDefault="008F64E4" w:rsidP="008F64E4">
      <w:pPr>
        <w:pStyle w:val="berschrift2"/>
      </w:pPr>
      <w:bookmarkStart w:id="447" w:name="_Toc83997417"/>
      <w:r w:rsidRPr="008F64E4">
        <w:t>Soil organic carbon</w:t>
      </w:r>
      <w:bookmarkEnd w:id="447"/>
    </w:p>
    <w:p w14:paraId="3DF9CD9E" w14:textId="77777777" w:rsidR="00E408D3" w:rsidRDefault="00E408D3" w:rsidP="00C410A7">
      <w:pPr>
        <w:pStyle w:val="EEALiterature"/>
      </w:pPr>
    </w:p>
    <w:p w14:paraId="3D303AD7" w14:textId="7E4E2A76" w:rsidR="00643237" w:rsidRDefault="00643237" w:rsidP="00C410A7">
      <w:pPr>
        <w:pStyle w:val="EEALiterature"/>
      </w:pPr>
      <w:r w:rsidRPr="00D4512F">
        <w:rPr>
          <w:lang w:val="en-US"/>
        </w:rPr>
        <w:t>Arshad, M.A. and</w:t>
      </w:r>
      <w:r>
        <w:rPr>
          <w:lang w:val="en-US"/>
        </w:rPr>
        <w:t xml:space="preserve"> S.</w:t>
      </w:r>
      <w:r w:rsidRPr="00D4512F">
        <w:rPr>
          <w:lang w:val="en-US"/>
        </w:rPr>
        <w:t xml:space="preserve"> Martin (2002)</w:t>
      </w:r>
      <w:r>
        <w:rPr>
          <w:lang w:val="en-US"/>
        </w:rPr>
        <w:t>.</w:t>
      </w:r>
      <w:r w:rsidRPr="00D4512F">
        <w:rPr>
          <w:lang w:val="en-US"/>
        </w:rPr>
        <w:t xml:space="preserve"> Identifying Critical Limits for Soil Quality Indicators in Agro-Ecosystem. Agriculture Ecosystems and Environment, 88, 153-160.</w:t>
      </w:r>
      <w:r>
        <w:rPr>
          <w:lang w:val="en-US"/>
        </w:rPr>
        <w:t xml:space="preserve"> </w:t>
      </w:r>
      <w:r w:rsidRPr="00D4512F">
        <w:rPr>
          <w:lang w:val="en-US"/>
        </w:rPr>
        <w:t>http://dx.doi.org/10.1016/S0167-</w:t>
      </w:r>
      <w:proofErr w:type="gramStart"/>
      <w:r w:rsidRPr="00D4512F">
        <w:rPr>
          <w:lang w:val="en-US"/>
        </w:rPr>
        <w:t>8809(</w:t>
      </w:r>
      <w:proofErr w:type="gramEnd"/>
      <w:r w:rsidRPr="00D4512F">
        <w:rPr>
          <w:lang w:val="en-US"/>
        </w:rPr>
        <w:t>01)00252-3</w:t>
      </w:r>
    </w:p>
    <w:p w14:paraId="51F757B4" w14:textId="63B54BF7" w:rsidR="00BC77FB" w:rsidRPr="00BC77FB" w:rsidRDefault="00BC77FB" w:rsidP="00C410A7">
      <w:pPr>
        <w:pStyle w:val="EEALiterature"/>
      </w:pPr>
      <w:r w:rsidRPr="00BC77FB">
        <w:t xml:space="preserve">Angers, D., D. Arrouays, N. Sabyand </w:t>
      </w:r>
      <w:r w:rsidR="00D66F00">
        <w:t xml:space="preserve">and </w:t>
      </w:r>
      <w:r w:rsidRPr="00BC77FB">
        <w:t>C. Walter (2011). Estimating and mapping the carbon saturation deficit of French agricultural topsoils. Soil Use Manag. 27: 448–452.</w:t>
      </w:r>
    </w:p>
    <w:p w14:paraId="05AFED8E" w14:textId="03633CD5" w:rsidR="000940FA" w:rsidRPr="000940FA" w:rsidRDefault="000940FA" w:rsidP="00C410A7">
      <w:pPr>
        <w:pStyle w:val="EEALiterature"/>
      </w:pPr>
      <w:r w:rsidRPr="000940FA">
        <w:t>Amelung W., Bossio D., de Vries W., Kögel-Knabner I., Lehmann J., Amundson R., Bol R., Collins C., Lal R., Leifeld R., Minasny B., Pan G., Paustian K., Rumpel C., Sanderman J., van Groenigen J.W., Mooney S., van Wesemael B., Wander M., Chabbi A. (2020): Towards a global-scale soil climate mitigation strategy; in Nature Communications; https://doi.org/10.1038/s41467-020-18887-7.</w:t>
      </w:r>
    </w:p>
    <w:p w14:paraId="73E7FAE8" w14:textId="3B09E311" w:rsidR="00D75358" w:rsidRDefault="00D75358" w:rsidP="00C410A7">
      <w:pPr>
        <w:pStyle w:val="EEALiterature"/>
      </w:pPr>
      <w:r>
        <w:t>Amundson, R. and L. Biardeau (2018). Opinion: Soil carbon sequestration is an elusive climate mitigation tool. Proceedings of the National Academy of Sciences Nov 2018, 115 (46) 11652-11656; DOI: 10.1073/pnas.1815901115 (cited from: https://www.pnas.org/content/115/46/11652)</w:t>
      </w:r>
    </w:p>
    <w:p w14:paraId="25918986" w14:textId="77777777" w:rsidR="00D75358" w:rsidRDefault="00D75358" w:rsidP="00C410A7">
      <w:pPr>
        <w:pStyle w:val="EEALiterature"/>
      </w:pPr>
      <w:r>
        <w:t>Arrouays, D., N.P.A. Saby, H. Boukir, C. Jolivet, C. Ratié, M. Schrumpf, L. Merbold, B. Gielen, S. Gogo, N. Delpierre, G. Vincent, K. Klumpp and D. Loustau (2018). Soil sampling and preparation for monitoring soil carbon. International Agrophysics 32: 633-643.</w:t>
      </w:r>
    </w:p>
    <w:p w14:paraId="471E7FF2" w14:textId="755A915E" w:rsidR="000940FA" w:rsidRDefault="000940FA" w:rsidP="00C410A7">
      <w:pPr>
        <w:pStyle w:val="EEALiterature"/>
      </w:pPr>
      <w:r>
        <w:t xml:space="preserve">Barré P., Angers D.A., Basile-Doelsch I., Bispo A., Cécillon L., Chenu C., Chevallier T., Derrien D., </w:t>
      </w:r>
      <w:proofErr w:type="gramStart"/>
      <w:r>
        <w:t>Eglin</w:t>
      </w:r>
      <w:proofErr w:type="gramEnd"/>
      <w:r>
        <w:t xml:space="preserve"> T.K., Pellerin S. (2017): Ideas and perspectives: Can we use the soil carbon saturation deficit to quantitatively assess the soil carbon storage potential, or should we explore other strategies? </w:t>
      </w:r>
      <w:hyperlink r:id="rId66" w:history="1">
        <w:r w:rsidR="00727C26" w:rsidRPr="000B2DB1">
          <w:rPr>
            <w:rStyle w:val="Hyperlink"/>
          </w:rPr>
          <w:t>https://doi.org/10.5194/bg-2017-395</w:t>
        </w:r>
      </w:hyperlink>
      <w:r w:rsidR="00727C26">
        <w:t xml:space="preserve"> [discussion paper </w:t>
      </w:r>
      <w:r w:rsidR="00AD5413">
        <w:t>as preprint; not published]</w:t>
      </w:r>
      <w:r>
        <w:t>.</w:t>
      </w:r>
    </w:p>
    <w:p w14:paraId="62B61486" w14:textId="77777777" w:rsidR="00C558B7" w:rsidRDefault="00C558B7" w:rsidP="00C410A7">
      <w:pPr>
        <w:pStyle w:val="EEALiterature"/>
      </w:pPr>
      <w:r w:rsidRPr="00C558B7">
        <w:lastRenderedPageBreak/>
        <w:t>Batjes, N.H. (2011). Soil organic carbon stocks under native vegetation - Revised estimates for use with the simple assessment option of the Carbon Benefits Project system. Agriculture Ecosystems and Environmen, 142: 365-373.</w:t>
      </w:r>
    </w:p>
    <w:p w14:paraId="5B559B3E" w14:textId="5E0E3938" w:rsidR="00D75358" w:rsidRDefault="00D75358" w:rsidP="00C410A7">
      <w:pPr>
        <w:pStyle w:val="EEALiterature"/>
      </w:pPr>
      <w:r>
        <w:t>Bispo, A., L. Andersen, D.A. Angers, M. Bernoux, M. Brossard, L. Cécillon, R.N.J. Comans, J. Harmsen, K. Jonassen, F. Lamé, C. Lhuillery, S. Maly, E. Martin, A.E. Mcelnea, H. Sakai, Y. Watabe, T.K. Eglin (2017). Accounting for Carbon Stocks in Soils and Measuring GHGs Emission Fluxes from Soils: Do We Have the Necessary Standards? Frontiers in Environmental Science, Vol 5, p. 41. https://www.frontiersin.org/article/10.3389/fenvs.2017.00041. DOI=10.3389/fenvs.2017.00041</w:t>
      </w:r>
    </w:p>
    <w:p w14:paraId="7FF93004" w14:textId="77777777" w:rsidR="00872702" w:rsidRPr="00034770" w:rsidRDefault="00872702" w:rsidP="00C410A7">
      <w:pPr>
        <w:pStyle w:val="EEALiterature"/>
      </w:pPr>
      <w:r w:rsidRPr="00872702">
        <w:t xml:space="preserve">Bünemann E.K., Bongiorno G., Baic Z., Creamer R.E., De Deynb G., de Goede R., Fleskens L., Geissen V., Kuyper T.W., Mädera P., Pulleman M., Sukke W., van Groenigen J.W., Brussaard L. (2018): Soil quality – A critical review. </w:t>
      </w:r>
      <w:r w:rsidRPr="00034770">
        <w:t>Soil Biology and Biochemistry Volume 120, May 2018, Pages 105-125. https://doi.org/10.1016/j.soilbio.2018.01.030.</w:t>
      </w:r>
    </w:p>
    <w:p w14:paraId="3E29CD28" w14:textId="77777777" w:rsidR="00C558B7" w:rsidRDefault="00C558B7" w:rsidP="00C410A7">
      <w:pPr>
        <w:pStyle w:val="EEALiterature"/>
      </w:pPr>
      <w:r w:rsidRPr="00C558B7">
        <w:t xml:space="preserve">Cotrufo, M.F., M.G. Ranalli, M.L. Haddix, J. Six and E. Lugato (2019). Soil carbon storage informed by particulate and mineral-associated organic matter. Nat. Geosci. 12: 989–994. </w:t>
      </w:r>
      <w:proofErr w:type="gramStart"/>
      <w:r w:rsidRPr="00C558B7">
        <w:t>doi</w:t>
      </w:r>
      <w:proofErr w:type="gramEnd"/>
      <w:r w:rsidRPr="00C558B7">
        <w:t>: 10.1038/s41561-019-0484-6</w:t>
      </w:r>
    </w:p>
    <w:p w14:paraId="0F719159" w14:textId="500B010A" w:rsidR="000940FA" w:rsidRDefault="000940FA" w:rsidP="00C410A7">
      <w:pPr>
        <w:pStyle w:val="EEALiterature"/>
      </w:pPr>
      <w:r>
        <w:t xml:space="preserve">De Vos B., Cools N., Ilvesniemi H., Vesterdal L., </w:t>
      </w:r>
      <w:proofErr w:type="gramStart"/>
      <w:r>
        <w:t>Vanguelova</w:t>
      </w:r>
      <w:proofErr w:type="gramEnd"/>
      <w:r>
        <w:t xml:space="preserve"> E., Carnicelli St. (2015): Benchmark values for forest soil carbon stocks in Europe: Results from a large scale forest soil survey, Geoderma 251–</w:t>
      </w:r>
      <w:r w:rsidR="00293BCC">
        <w:t>252:</w:t>
      </w:r>
      <w:r>
        <w:t xml:space="preserve"> 33–46.</w:t>
      </w:r>
    </w:p>
    <w:p w14:paraId="49C4ACB9" w14:textId="09388D3C" w:rsidR="00D75358" w:rsidRDefault="00D75358" w:rsidP="00C410A7">
      <w:pPr>
        <w:pStyle w:val="EEALiterature"/>
      </w:pPr>
      <w:r>
        <w:t xml:space="preserve">Dexter, A.R., G. Richard, D. Arrouays, E.A. Czyz, C. Jolivet and O. Duval (2008). Complexed organic matter controls soil physical properties. Geoderma 144: 620–627. http://dx.doi.org/10.1016/j.geoderma.2008.01.022 </w:t>
      </w:r>
    </w:p>
    <w:p w14:paraId="19232394" w14:textId="77777777" w:rsidR="00D75358" w:rsidRDefault="00D75358" w:rsidP="00C410A7">
      <w:pPr>
        <w:pStyle w:val="EEALiterature"/>
      </w:pPr>
      <w:r>
        <w:t xml:space="preserve">FAO (2019). Measuring and modelling soil carbon stocks and stock changes in livestock production systems: Guidelines for assessment (Version 1). Livestock Environmental Assessment and Performance (LEAP) Partnership. Rome, FAO. 170 pp.  http://www.fao.org/3/CA2934EN/ca2934en.pdf </w:t>
      </w:r>
    </w:p>
    <w:p w14:paraId="7418AD98" w14:textId="77777777" w:rsidR="00D75358" w:rsidRDefault="00D75358" w:rsidP="00C410A7">
      <w:pPr>
        <w:pStyle w:val="EEALiterature"/>
      </w:pPr>
      <w:r>
        <w:t xml:space="preserve">FAO (2020). Technical specifications and country guidelines for Global Soil Organic Carbon Sequestration Potential Map (GSOCseq). Rome 2020. http://www.fao.org/3/cb0353en/cb0353en.pdf </w:t>
      </w:r>
    </w:p>
    <w:p w14:paraId="362FBE78" w14:textId="205610C1" w:rsidR="00D75358" w:rsidRDefault="00D75358" w:rsidP="00C410A7">
      <w:pPr>
        <w:pStyle w:val="EEALiterature"/>
      </w:pPr>
      <w:r>
        <w:t>Fell, V., A. Matter, T. Keller and P. Boivin (2018). Patterns and Factors of Soil Structure Recovery as Revealed From a Tillage and Cover-Crop Experiment in a Compacted Orchard. Front. Environ. Sci. 6: 134.</w:t>
      </w:r>
      <w:r w:rsidR="000D4357">
        <w:t xml:space="preserve"> </w:t>
      </w:r>
      <w:proofErr w:type="gramStart"/>
      <w:r>
        <w:t>doi</w:t>
      </w:r>
      <w:proofErr w:type="gramEnd"/>
      <w:r>
        <w:t>: 10.3389/fenvs.2018.00134.</w:t>
      </w:r>
    </w:p>
    <w:p w14:paraId="60AACE8B" w14:textId="77777777" w:rsidR="00D75358" w:rsidRDefault="00D75358" w:rsidP="00C410A7">
      <w:pPr>
        <w:pStyle w:val="EEALiterature"/>
      </w:pPr>
      <w:r>
        <w:t>Feller, C., E. Blanchart, M. Bernoux, R. Lal and R. Manlay (2012). Soil fertility concepts over the past two centuries: the importance attributed to soil organic matter in developed and developing countries. Archives of Agronomy and Soil Science: 58(suppl 1): S3-S21.</w:t>
      </w:r>
    </w:p>
    <w:p w14:paraId="13C2993E" w14:textId="77777777" w:rsidR="00D75358" w:rsidRDefault="00D75358" w:rsidP="00C410A7">
      <w:pPr>
        <w:pStyle w:val="EEALiterature"/>
      </w:pPr>
      <w:r>
        <w:t xml:space="preserve">Gobin, A., P. Campling. </w:t>
      </w:r>
      <w:r w:rsidRPr="00694C6A">
        <w:rPr>
          <w:lang w:val="de-DE"/>
        </w:rPr>
        <w:t xml:space="preserve">L. Janssen, N. Desmet, H. van Delden, J. Hurkens, P. Lavelle and S. </w:t>
      </w:r>
      <w:proofErr w:type="gramStart"/>
      <w:r w:rsidRPr="00694C6A">
        <w:rPr>
          <w:lang w:val="de-DE"/>
        </w:rPr>
        <w:t>Berman(</w:t>
      </w:r>
      <w:proofErr w:type="gramEnd"/>
      <w:r w:rsidRPr="00694C6A">
        <w:rPr>
          <w:lang w:val="de-DE"/>
        </w:rPr>
        <w:t xml:space="preserve">2011). </w:t>
      </w:r>
      <w:r>
        <w:t xml:space="preserve">Soil organic matter management across the EU – best practices. </w:t>
      </w:r>
      <w:proofErr w:type="gramStart"/>
      <w:r>
        <w:t>constraints</w:t>
      </w:r>
      <w:proofErr w:type="gramEnd"/>
      <w:r>
        <w:t xml:space="preserve"> and trade-offs. Final Report for the European Commission’s DG Environment.</w:t>
      </w:r>
    </w:p>
    <w:p w14:paraId="0858C350" w14:textId="77777777" w:rsidR="00C558B7" w:rsidRDefault="00C558B7" w:rsidP="00C410A7">
      <w:pPr>
        <w:pStyle w:val="EEALiterature"/>
      </w:pPr>
      <w:r w:rsidRPr="00C558B7">
        <w:t>Goidts, E., B. van Wesemael and M. Crucifix (2009). Magnitude and sources of uncertainties in soil organic carbon (SOC) stock assessments at various scales. European Journal of Soil Science 60: 723-739.</w:t>
      </w:r>
    </w:p>
    <w:p w14:paraId="2B7DA4D5" w14:textId="451316A6" w:rsidR="00D75358" w:rsidRDefault="00D75358" w:rsidP="00C410A7">
      <w:pPr>
        <w:pStyle w:val="EEALiterature"/>
      </w:pPr>
      <w:r>
        <w:t>Goulding, K., D. Powlson, A. Whitmore and A. Macdonald (2013). Food security through better soil carbon management. In: Lal, R. et al. (</w:t>
      </w:r>
      <w:proofErr w:type="gramStart"/>
      <w:r>
        <w:t>eds</w:t>
      </w:r>
      <w:proofErr w:type="gramEnd"/>
      <w:r>
        <w:t xml:space="preserve">). Ecosystem services and carbon sequestration in the biosphere. Springer. Dordrecht, </w:t>
      </w:r>
      <w:proofErr w:type="gramStart"/>
      <w:r>
        <w:t>The</w:t>
      </w:r>
      <w:proofErr w:type="gramEnd"/>
      <w:r>
        <w:t xml:space="preserve"> Netherlands.</w:t>
      </w:r>
    </w:p>
    <w:p w14:paraId="13A92AAF" w14:textId="05D6CC3D" w:rsidR="00CB108A" w:rsidRDefault="00CB108A" w:rsidP="00C410A7">
      <w:pPr>
        <w:pStyle w:val="EEALiterature"/>
      </w:pPr>
      <w:r>
        <w:t>Greenland, D.J., Rimmer, D. and Quirk, J.P. (1975). Determination of the structural stability class of English and Welsh soils, using a water coherence test. Journal of Soil Science 26, 294-303.</w:t>
      </w:r>
    </w:p>
    <w:p w14:paraId="6DF06A90" w14:textId="26C5F733" w:rsidR="000940FA" w:rsidRDefault="000940FA" w:rsidP="00C410A7">
      <w:pPr>
        <w:pStyle w:val="EEALiterature"/>
      </w:pPr>
      <w:r>
        <w:t xml:space="preserve">Hijbeek R., van Ittersum M.K., ten Berge H.F.M., Gort G., Spiegel H., Whitmore A.P. (2016): Do organic inputs matter – a meta-analysis of additional yield effects for arable crops in Europe. </w:t>
      </w:r>
      <w:proofErr w:type="gramStart"/>
      <w:r>
        <w:t>in</w:t>
      </w:r>
      <w:proofErr w:type="gramEnd"/>
      <w:r>
        <w:t xml:space="preserve"> Plant Soil  411:293–303; doi 10.1007/s11104-016-3031-x.</w:t>
      </w:r>
    </w:p>
    <w:p w14:paraId="0588A961" w14:textId="77777777" w:rsidR="00483393" w:rsidRDefault="00483393" w:rsidP="00C410A7">
      <w:pPr>
        <w:pStyle w:val="EEALiterature"/>
      </w:pPr>
      <w:r>
        <w:t>Hijbeek, R., A. Cormont, G. Hazeu, L. Bechini, L. Zavattaro, B. Janssen, M. Werner, N. Schlatter, G. Guzmán, J. Bijttebier, A.A. Pronk, M. van Eupen and M.K. van Ittersum (2017). Do farmers perceive a deficiency of soil organic matter? A European and farm level analysis. Ecological Indicators 83: 390-403.</w:t>
      </w:r>
    </w:p>
    <w:p w14:paraId="636A69DA" w14:textId="77777777" w:rsidR="00D75358" w:rsidRDefault="00D75358" w:rsidP="00C410A7">
      <w:pPr>
        <w:pStyle w:val="EEALiterature"/>
      </w:pPr>
      <w:r>
        <w:t>Hollis, J.M., J. Hannam and P.H. Bellamy (2012). Empirically-derived pedotransfer functions for predicting bulk density in European soils. European Journal of Soil Science 63: 96–109.</w:t>
      </w:r>
    </w:p>
    <w:p w14:paraId="6E583ABC" w14:textId="77777777" w:rsidR="00337829" w:rsidRDefault="00337829" w:rsidP="00C410A7">
      <w:pPr>
        <w:pStyle w:val="EEALiterature"/>
      </w:pPr>
      <w:r w:rsidRPr="00C51D7E">
        <w:lastRenderedPageBreak/>
        <w:t>Huber, S., Prokop, G., Arrouays, D., Banko, G., Bispo, A., Jones, R.J.A., Kibblewhite, M.G., Lexer, W., Möller, A., Rickson, R.J., Shishkov, T., Stephens, M., Toth, G. Van den Akker, J.J.H., Varallyay, G., Verheijen, F.G.A. &amp; Jones, A.R. (eds). 2008. Environmental Assessment of Soil for Monitoring: Volume I Indicators &amp; Criteria. EUR23490 EN/1, Office for the Official Publications of the European Communities, Luxembourg, 339pp.</w:t>
      </w:r>
    </w:p>
    <w:p w14:paraId="64C15F17" w14:textId="77777777" w:rsidR="00C558B7" w:rsidRDefault="00C558B7" w:rsidP="00C410A7">
      <w:pPr>
        <w:pStyle w:val="EEALiterature"/>
      </w:pPr>
      <w:r w:rsidRPr="00C558B7">
        <w:t>IPCC (2006). IPCC guidelines for national greenhouse gas inventories. Prepared by the National Greenhouse Gas Inventories Programme. Eggleston, H.S., Buendia, L., Miwa, K., Ngara, T. and K. Tanabe (Eds.). IGES, Japan.</w:t>
      </w:r>
    </w:p>
    <w:p w14:paraId="046BAADD" w14:textId="6BDEFDF4" w:rsidR="00D75358" w:rsidRPr="00806948" w:rsidRDefault="00D75358" w:rsidP="00C410A7">
      <w:pPr>
        <w:pStyle w:val="EEALiterature"/>
        <w:rPr>
          <w:lang w:val="en-US"/>
        </w:rPr>
      </w:pPr>
      <w:r w:rsidRPr="00806948">
        <w:t xml:space="preserve">IPCC (2019). 2019 Refinement to the 2006 IPCC Guidelines for National Greenhouse Gas Inventories, Calvo Buendia, E., Tanabe, K., Kranjc, A., Baasansuren, J., Fukuda, M., Ngarize, S., Osako, A., Pyrozhenko, Y., Shermanau, P. and Federici, S. (eds). </w:t>
      </w:r>
      <w:r w:rsidRPr="00806948">
        <w:rPr>
          <w:lang w:val="en-US"/>
        </w:rPr>
        <w:t>Published: IPCC, Switzerland. ISBN 978-4-88788-232-4</w:t>
      </w:r>
    </w:p>
    <w:p w14:paraId="4C487CFA" w14:textId="4008160E" w:rsidR="000940FA" w:rsidRDefault="000940FA" w:rsidP="00C410A7">
      <w:pPr>
        <w:pStyle w:val="EEALiterature"/>
      </w:pPr>
      <w:r>
        <w:t>Johannes</w:t>
      </w:r>
      <w:r w:rsidR="00C436D6">
        <w:t>,</w:t>
      </w:r>
      <w:r>
        <w:t xml:space="preserve"> A</w:t>
      </w:r>
      <w:r w:rsidR="00C436D6">
        <w:t>.</w:t>
      </w:r>
      <w:r>
        <w:t xml:space="preserve">, Matter A., Schulin R., Weisskopf P., </w:t>
      </w:r>
      <w:proofErr w:type="gramStart"/>
      <w:r>
        <w:t>Baveyed</w:t>
      </w:r>
      <w:proofErr w:type="gramEnd"/>
      <w:r>
        <w:t xml:space="preserve"> Ph., Boivina P. (2017): Optimal organic carbon values for soil structure quality of arable soils. Does clay content matter</w:t>
      </w:r>
      <w:proofErr w:type="gramStart"/>
      <w:r>
        <w:t>?,</w:t>
      </w:r>
      <w:proofErr w:type="gramEnd"/>
      <w:r>
        <w:t xml:space="preserve"> in Geoderma, Volume 302, 15 September 2017, Pages 111; https://doi.org/10.1016/j.geoderma.2017.04.021.</w:t>
      </w:r>
    </w:p>
    <w:p w14:paraId="38878298" w14:textId="34193577" w:rsidR="00CB108A" w:rsidRDefault="00CB108A" w:rsidP="00C410A7">
      <w:pPr>
        <w:pStyle w:val="EEALiterature"/>
        <w:rPr>
          <w:lang w:val="de-DE"/>
        </w:rPr>
      </w:pPr>
      <w:r w:rsidRPr="00CB108A">
        <w:rPr>
          <w:lang w:val="en-US"/>
        </w:rPr>
        <w:t xml:space="preserve">Kemper, W.D. and Koch, E.J. (1966). Aggregate stability of soils from Western United States and Canada. </w:t>
      </w:r>
      <w:r w:rsidRPr="00CB108A">
        <w:rPr>
          <w:lang w:val="de-DE"/>
        </w:rPr>
        <w:t>USDA Technical Bulletin n° 1355, Washington DC, USA.</w:t>
      </w:r>
    </w:p>
    <w:p w14:paraId="09636649" w14:textId="5B5A76AC" w:rsidR="00C436D6" w:rsidRDefault="008F7B97" w:rsidP="00C410A7">
      <w:pPr>
        <w:pStyle w:val="EEALiterature"/>
        <w:rPr>
          <w:lang w:val="en-US"/>
        </w:rPr>
      </w:pPr>
      <w:r w:rsidRPr="008F7B97">
        <w:rPr>
          <w:lang w:val="de-DE"/>
        </w:rPr>
        <w:t xml:space="preserve">Kleber, M., K. Eusterhues, M. Keiluweit, C. Mikutta, R. Mikutta and P.S. Nico </w:t>
      </w:r>
      <w:r w:rsidR="00C436D6" w:rsidRPr="008F7B97">
        <w:rPr>
          <w:lang w:val="de-DE"/>
        </w:rPr>
        <w:t xml:space="preserve">(2015). </w:t>
      </w:r>
      <w:r w:rsidR="00C436D6" w:rsidRPr="00C436D6">
        <w:rPr>
          <w:lang w:val="en-US"/>
        </w:rPr>
        <w:t>Mineral–organic associations: formation, properties, and</w:t>
      </w:r>
      <w:r w:rsidR="00C436D6">
        <w:rPr>
          <w:lang w:val="en-US"/>
        </w:rPr>
        <w:t xml:space="preserve"> </w:t>
      </w:r>
      <w:r w:rsidR="00C436D6" w:rsidRPr="00C436D6">
        <w:rPr>
          <w:lang w:val="en-US"/>
        </w:rPr>
        <w:t>relevance in soil environments. Adv. Agron. 130</w:t>
      </w:r>
      <w:r>
        <w:rPr>
          <w:lang w:val="en-US"/>
        </w:rPr>
        <w:t>:</w:t>
      </w:r>
      <w:r w:rsidR="00C436D6" w:rsidRPr="00C436D6">
        <w:rPr>
          <w:lang w:val="en-US"/>
        </w:rPr>
        <w:t xml:space="preserve"> 1–140.</w:t>
      </w:r>
    </w:p>
    <w:p w14:paraId="31868B85" w14:textId="1142F8DF" w:rsidR="00D75358" w:rsidRDefault="00D75358" w:rsidP="00C410A7">
      <w:pPr>
        <w:pStyle w:val="EEALiterature"/>
      </w:pPr>
      <w:r w:rsidRPr="00C66E1D">
        <w:rPr>
          <w:lang w:val="en-US"/>
        </w:rPr>
        <w:t xml:space="preserve">Körschens, M., A. Weigel and E. Schulze (1998). </w:t>
      </w:r>
      <w:r>
        <w:t xml:space="preserve">Turnover of soil organic matter (SOM) and long-term balances—tools for evaluating sustainable productivity of soils. Z. Pflanzen. Bodenk. 161: 409–424. </w:t>
      </w:r>
    </w:p>
    <w:p w14:paraId="55EA0483" w14:textId="77777777" w:rsidR="00C558B7" w:rsidRPr="00C66E1D" w:rsidRDefault="00C558B7" w:rsidP="00C410A7">
      <w:pPr>
        <w:pStyle w:val="EEALiterature"/>
        <w:rPr>
          <w:lang w:val="en-US"/>
        </w:rPr>
      </w:pPr>
      <w:r w:rsidRPr="00694C6A">
        <w:t xml:space="preserve">Lehmann, J. and M. Kleber (2015). </w:t>
      </w:r>
      <w:r w:rsidRPr="004507D6">
        <w:t xml:space="preserve">The contentious nature of soil organic matter. </w:t>
      </w:r>
      <w:r w:rsidRPr="00C66E1D">
        <w:rPr>
          <w:lang w:val="en-US"/>
        </w:rPr>
        <w:t xml:space="preserve">Nature 528: 60–68. </w:t>
      </w:r>
      <w:hyperlink r:id="rId67" w:history="1">
        <w:r w:rsidRPr="00C66E1D">
          <w:rPr>
            <w:rStyle w:val="Hyperlink"/>
            <w:lang w:val="en-US"/>
          </w:rPr>
          <w:t>https://doi.org/10.1038/nature16069</w:t>
        </w:r>
      </w:hyperlink>
    </w:p>
    <w:p w14:paraId="45B2F148" w14:textId="2704F35F" w:rsidR="006E6A58" w:rsidRDefault="006E6A58" w:rsidP="00C410A7">
      <w:pPr>
        <w:pStyle w:val="EEALiterature"/>
        <w:rPr>
          <w:lang w:val="de-AT"/>
        </w:rPr>
      </w:pPr>
      <w:r w:rsidRPr="006E6A58">
        <w:rPr>
          <w:lang w:val="en-US"/>
        </w:rPr>
        <w:t xml:space="preserve">Lehmann, J., D. Solomon, J. Kinyangi, L. Dathe, S. Wirick and C. Jacobsen (2008). Spatial complexity of soil organic matter forms at nanometre scales. </w:t>
      </w:r>
      <w:r w:rsidRPr="006E6A58">
        <w:rPr>
          <w:lang w:val="de-AT"/>
        </w:rPr>
        <w:t>Nature Geosci. 1, 238–242 (2008).</w:t>
      </w:r>
    </w:p>
    <w:p w14:paraId="4F1D7CA0" w14:textId="7FDFBF18" w:rsidR="0056414B" w:rsidRDefault="00A34CB9" w:rsidP="00C410A7">
      <w:pPr>
        <w:pStyle w:val="EEALiterature"/>
      </w:pPr>
      <w:r w:rsidRPr="00CD55D6">
        <w:rPr>
          <w:lang w:val="de-AT"/>
        </w:rPr>
        <w:t xml:space="preserve">Liang, </w:t>
      </w:r>
      <w:r w:rsidR="009667B8" w:rsidRPr="00CD55D6">
        <w:rPr>
          <w:lang w:val="de-AT"/>
        </w:rPr>
        <w:t xml:space="preserve">C., W. </w:t>
      </w:r>
      <w:r w:rsidRPr="00CD55D6">
        <w:rPr>
          <w:lang w:val="de-AT"/>
        </w:rPr>
        <w:t xml:space="preserve">Amelung, </w:t>
      </w:r>
      <w:r w:rsidR="009667B8" w:rsidRPr="00CD55D6">
        <w:rPr>
          <w:lang w:val="de-AT"/>
        </w:rPr>
        <w:t>J. Lehmann and M. Kaestner (</w:t>
      </w:r>
      <w:r w:rsidR="0056414B" w:rsidRPr="00CD55D6">
        <w:rPr>
          <w:lang w:val="de-AT"/>
        </w:rPr>
        <w:t>2019</w:t>
      </w:r>
      <w:r w:rsidR="00CC05D2" w:rsidRPr="00CD55D6">
        <w:rPr>
          <w:lang w:val="de-AT"/>
        </w:rPr>
        <w:t xml:space="preserve">). </w:t>
      </w:r>
      <w:r w:rsidR="00CC05D2" w:rsidRPr="00CC05D2">
        <w:t>Quantitative assessment of microbial necromass contribution to soil organic matter</w:t>
      </w:r>
      <w:r w:rsidR="00CC05D2">
        <w:t>.</w:t>
      </w:r>
      <w:r w:rsidR="0056414B">
        <w:t xml:space="preserve"> G</w:t>
      </w:r>
      <w:r w:rsidR="0056414B" w:rsidRPr="002A5224">
        <w:t>lob</w:t>
      </w:r>
      <w:r w:rsidR="0056414B">
        <w:t>al</w:t>
      </w:r>
      <w:r w:rsidR="0056414B" w:rsidRPr="002A5224">
        <w:t xml:space="preserve"> Change Biol</w:t>
      </w:r>
      <w:r w:rsidR="0056414B">
        <w:t xml:space="preserve">ogy </w:t>
      </w:r>
      <w:r w:rsidR="0056414B" w:rsidRPr="002A5224">
        <w:t>25:</w:t>
      </w:r>
      <w:r w:rsidR="0056414B">
        <w:t xml:space="preserve"> </w:t>
      </w:r>
      <w:r w:rsidR="0056414B" w:rsidRPr="002A5224">
        <w:t>3578–3590</w:t>
      </w:r>
      <w:r w:rsidR="0056414B">
        <w:t>.</w:t>
      </w:r>
      <w:r w:rsidR="00AC707A">
        <w:t xml:space="preserve"> </w:t>
      </w:r>
      <w:r w:rsidR="00AC707A" w:rsidRPr="00AC707A">
        <w:t>DOI: 10.1111/gcb.14781</w:t>
      </w:r>
    </w:p>
    <w:p w14:paraId="11A33FBE" w14:textId="4A34B5C1" w:rsidR="00D75358" w:rsidRPr="00CD55D6" w:rsidRDefault="00D75358" w:rsidP="00C410A7">
      <w:pPr>
        <w:pStyle w:val="EEALiterature"/>
        <w:rPr>
          <w:lang w:val="es-ES"/>
        </w:rPr>
      </w:pPr>
      <w:r>
        <w:t xml:space="preserve">Loveland, P. and J. Webb (2003). Is there a critical level of organic matter in the agricultural soils of temperate regions: A </w:t>
      </w:r>
      <w:proofErr w:type="gramStart"/>
      <w:r>
        <w:t>review.</w:t>
      </w:r>
      <w:proofErr w:type="gramEnd"/>
      <w:r>
        <w:t xml:space="preserve"> </w:t>
      </w:r>
      <w:r w:rsidRPr="00CD55D6">
        <w:rPr>
          <w:lang w:val="es-ES"/>
        </w:rPr>
        <w:t>Soil Till. Res. 70: 1–18.</w:t>
      </w:r>
    </w:p>
    <w:p w14:paraId="3ED10802" w14:textId="77777777" w:rsidR="00D75358" w:rsidRDefault="00D75358" w:rsidP="00C410A7">
      <w:pPr>
        <w:pStyle w:val="EEALiterature"/>
      </w:pPr>
      <w:r w:rsidRPr="00CD55D6">
        <w:rPr>
          <w:lang w:val="es-ES"/>
        </w:rPr>
        <w:t xml:space="preserve">Lugato, E., F. Bampa, P. Panagos, L. Montanarella and A. Jones (2015). </w:t>
      </w:r>
      <w:r>
        <w:t xml:space="preserve">Potential carbon sequestration of European arable soils estimated by modelling a comprehensive set of management practices. Global Change Biology 20: 3557–3567. </w:t>
      </w:r>
      <w:proofErr w:type="gramStart"/>
      <w:r>
        <w:t>doi</w:t>
      </w:r>
      <w:proofErr w:type="gramEnd"/>
      <w:r>
        <w:t>: 10.1111/gcb.12551</w:t>
      </w:r>
    </w:p>
    <w:p w14:paraId="742D001A" w14:textId="084922D3" w:rsidR="00D75358" w:rsidRPr="00CD55D6" w:rsidRDefault="00D75358" w:rsidP="00C410A7">
      <w:pPr>
        <w:pStyle w:val="EEALiterature"/>
        <w:rPr>
          <w:lang w:val="de-AT"/>
        </w:rPr>
      </w:pPr>
      <w:r>
        <w:t xml:space="preserve">Meersmans, J, D. Arrouays, A.J.J. Van Rompaey, C. Pagé, S. De Baets and T.A. Quine 2016). Future C loss in mid-latitude mineral soils: Climate change exceeds land use mitigation potential in France. </w:t>
      </w:r>
      <w:r w:rsidRPr="00CD55D6">
        <w:rPr>
          <w:lang w:val="de-AT"/>
        </w:rPr>
        <w:t>Scientific Reports 6: 35798. DOI: 10.1038/srep35798.</w:t>
      </w:r>
    </w:p>
    <w:p w14:paraId="7D69DB4E" w14:textId="09CC84B1" w:rsidR="00D75358" w:rsidRPr="00CD55D6" w:rsidRDefault="00BC77FB" w:rsidP="00C410A7">
      <w:pPr>
        <w:pStyle w:val="EEALiterature"/>
        <w:rPr>
          <w:lang w:val="de-AT"/>
        </w:rPr>
      </w:pPr>
      <w:r>
        <w:rPr>
          <w:lang w:val="de-AT"/>
        </w:rPr>
        <w:t xml:space="preserve">BMLFUW, </w:t>
      </w:r>
      <w:r w:rsidR="00D75358" w:rsidRPr="00CD55D6">
        <w:rPr>
          <w:lang w:val="de-AT"/>
        </w:rPr>
        <w:t>Ministerium für ein lebenswertes Österreich (2017): Richtlinie für die sachgerechte Düngung im Ackerbau und Grünland: Richtlinie für die sachgerechte Düngung im Ackerbau und Grünland” (https://www.ages.at/download/0/0/4bfee71413a6aa535d2e753fef27f17769bb2507/fileadmin/AGES2015/Service/Landwirtschaft/Boden_Datein/Broschueren/Richtlinien_fuer_die_sachgerechte_Duengung_im_Ackerbau_und_Gruenland_7_Auflage.pdf)</w:t>
      </w:r>
    </w:p>
    <w:p w14:paraId="610F34E6" w14:textId="77777777" w:rsidR="00D75358" w:rsidRDefault="00D75358" w:rsidP="00C410A7">
      <w:pPr>
        <w:pStyle w:val="EEALiterature"/>
      </w:pPr>
      <w:r w:rsidRPr="00CD55D6">
        <w:rPr>
          <w:lang w:val="de-AT"/>
        </w:rPr>
        <w:t xml:space="preserve">Musinguzi, P., J.S. Tenywa, P. Ebanyat, M.M. Tenywa, D.N. Mubiru, T.A. Basamba and A. Leip (2013). </w:t>
      </w:r>
      <w:r>
        <w:t>Soil Organic Carbon Thresholds and Nitrogen Management in Tropical Agroecosystems: Concepts and Prospects. Journal of Sustainable Development 6 (12): 31-43.</w:t>
      </w:r>
    </w:p>
    <w:p w14:paraId="1F6D353F" w14:textId="77777777" w:rsidR="00D75358" w:rsidRPr="001E5707" w:rsidRDefault="00D75358" w:rsidP="00C410A7">
      <w:pPr>
        <w:pStyle w:val="EEALiterature"/>
      </w:pPr>
      <w:r w:rsidRPr="001E5707">
        <w:t>Nelson, D.W. and L.E. Sommers (1996). Total carbon, organic carbon, and organic matter. In: Sparks, D.L. (Ed). Methods of soil analysis. Part 3: chemical methods. Madison, WI: Soil Science Society of America.</w:t>
      </w:r>
    </w:p>
    <w:p w14:paraId="3BA0759F" w14:textId="77777777" w:rsidR="00D75358" w:rsidRDefault="00D75358" w:rsidP="00C410A7">
      <w:pPr>
        <w:pStyle w:val="EEALiterature"/>
      </w:pPr>
      <w:r>
        <w:t>Oldfield, E.E., M.A. Bradford and S.A. Wood (2019). Global meta-analysis of the relationship between soil organic matter and crop yields. Soil 5: 15–32.</w:t>
      </w:r>
    </w:p>
    <w:p w14:paraId="15CD3665" w14:textId="77777777" w:rsidR="00D75358" w:rsidRDefault="00D75358" w:rsidP="00C410A7">
      <w:pPr>
        <w:pStyle w:val="EEALiterature"/>
      </w:pPr>
      <w:r>
        <w:t>Pan, G., P. Smith and W. Pan (2009). The role of soil organic matter in maintaining the productivity and yield stability of cereals in China. Agriculture. Ecosystems &amp; Environment 129(1-3): 344-348.</w:t>
      </w:r>
    </w:p>
    <w:p w14:paraId="7CAC8E2A" w14:textId="77777777" w:rsidR="00D75358" w:rsidRDefault="00D75358" w:rsidP="00C410A7">
      <w:pPr>
        <w:pStyle w:val="EEALiterature"/>
      </w:pPr>
      <w:r>
        <w:t>Pribyl, D.W. (2010). A critical review of the conventional SOC to SOM conversion factor. Geoderma 156(3-4): 75-83.</w:t>
      </w:r>
    </w:p>
    <w:p w14:paraId="02D6DA6C" w14:textId="77777777" w:rsidR="00D75358" w:rsidRDefault="00D75358" w:rsidP="00C410A7">
      <w:pPr>
        <w:pStyle w:val="EEALiterature"/>
      </w:pPr>
      <w:r>
        <w:lastRenderedPageBreak/>
        <w:t xml:space="preserve">Poeplau, C., C. Vos and A. Don (2017). Soil organic carbon stocks are systematically overestimated by misuse of the parameters bulk density and rock fragment content. Soil 3: 61. </w:t>
      </w:r>
      <w:proofErr w:type="gramStart"/>
      <w:r>
        <w:t>doi</w:t>
      </w:r>
      <w:proofErr w:type="gramEnd"/>
      <w:r>
        <w:t>: 10.5194/soil-3-61-2017</w:t>
      </w:r>
    </w:p>
    <w:p w14:paraId="15926033" w14:textId="77777777" w:rsidR="000940FA" w:rsidRPr="00B569C9" w:rsidRDefault="000940FA" w:rsidP="00C410A7">
      <w:pPr>
        <w:pStyle w:val="EEALiterature"/>
      </w:pPr>
      <w:r w:rsidRPr="00B569C9">
        <w:t>Poeplau, C., A. Don, J. Six, M. Kaiser, D. Benbi, C. Chenu, M.F. Cotrufo, D. Derrien, P. Gioacchini, S. Grand, E. Gregorich, M. Griepentrog, A. Gunina, M. Haddix, Y. Kuzyakov, A. Kühnel, L. Macdonald, J. Soong, S. Trigalet and R. Nieder (2018). Isolating organic carbon fractions with varying turnover rates in temperate agricultural soils – A comprehensive method comparison. Soil Biology and Biochemistry 125: 10-26. DOI: 10.1016/j.soilbio.2018.06.025.</w:t>
      </w:r>
    </w:p>
    <w:p w14:paraId="2B81389B" w14:textId="77777777" w:rsidR="000940FA" w:rsidRDefault="000940FA" w:rsidP="00C410A7">
      <w:pPr>
        <w:pStyle w:val="EEALiterature"/>
      </w:pPr>
      <w:r>
        <w:t>Prout J. M</w:t>
      </w:r>
      <w:proofErr w:type="gramStart"/>
      <w:r>
        <w:t>. ,</w:t>
      </w:r>
      <w:proofErr w:type="gramEnd"/>
      <w:r>
        <w:t xml:space="preserve"> Shepherd K.D,, McGrath S.P., Kirk G.J.D, Haefele S.M. (2020): What is a good level of soil organic matter? An index based on organic carbon to clay ratio. European Journal of Soil Science, </w:t>
      </w:r>
      <w:hyperlink r:id="rId68" w:history="1">
        <w:r w:rsidRPr="008134CF">
          <w:rPr>
            <w:rStyle w:val="Hyperlink"/>
          </w:rPr>
          <w:t>https://doi.org/10.1111/ejss.13012</w:t>
        </w:r>
      </w:hyperlink>
      <w:r>
        <w:t>.</w:t>
      </w:r>
    </w:p>
    <w:p w14:paraId="3537D93C" w14:textId="2947E236" w:rsidR="000940FA" w:rsidRDefault="000940FA" w:rsidP="00C410A7">
      <w:pPr>
        <w:pStyle w:val="EEALiterature"/>
      </w:pPr>
      <w:r>
        <w:t xml:space="preserve">Sanderman J., Hengl T., Fiskea G.J. (2017): Soil carbon debt of 12,000 years of human land use. </w:t>
      </w:r>
      <w:proofErr w:type="gramStart"/>
      <w:r>
        <w:t>published</w:t>
      </w:r>
      <w:proofErr w:type="gramEnd"/>
      <w:r>
        <w:t xml:space="preserve"> in Proceedings of the National Academy of Sciences of the United States of America, www.pnas.org/cgi/doi/10.1073/pnas.1706103114.</w:t>
      </w:r>
    </w:p>
    <w:p w14:paraId="1C6E1EB0" w14:textId="5377978E" w:rsidR="00C558B7" w:rsidRDefault="00C558B7" w:rsidP="00C410A7">
      <w:pPr>
        <w:pStyle w:val="EEALiterature"/>
      </w:pPr>
      <w:r w:rsidRPr="00C558B7">
        <w:t>Schjønning, P., J.L. Jensen, S. Bruun, L.S. Jensen, B.T. Christensen, L.J. Munkholm, M. Oelofse, S. Baby and L. Knudsen (2018). Chapter Two - The Role of Soil Organic Matter for Maintaining Crop Yields: Evidence for a Renewed Conceptual Basis. Advances in Agronomy 150: 35-79.</w:t>
      </w:r>
    </w:p>
    <w:p w14:paraId="3C31AEAC" w14:textId="77777777" w:rsidR="00D75358" w:rsidRDefault="00D75358" w:rsidP="00C410A7">
      <w:pPr>
        <w:pStyle w:val="EEALiterature"/>
      </w:pPr>
      <w:r w:rsidRPr="00694C6A">
        <w:rPr>
          <w:lang w:val="en-US"/>
        </w:rPr>
        <w:t xml:space="preserve">Schrumpf, M., E.D. Schulze, K. Kaiser and J. Schumacher (2011). </w:t>
      </w:r>
      <w:r>
        <w:t xml:space="preserve">How accurately can soil organic carbon stocks and stock changes be quantified by soil inventories? Biogeosciences 8: 1193–1212. </w:t>
      </w:r>
      <w:proofErr w:type="gramStart"/>
      <w:r>
        <w:t>doi</w:t>
      </w:r>
      <w:proofErr w:type="gramEnd"/>
      <w:r>
        <w:t>: 10.5194/bg-8-1193-2011.</w:t>
      </w:r>
    </w:p>
    <w:p w14:paraId="5906E0BA" w14:textId="77777777" w:rsidR="00D75358" w:rsidRDefault="00D75358" w:rsidP="00C410A7">
      <w:pPr>
        <w:pStyle w:val="EEALiterature"/>
      </w:pPr>
      <w:r>
        <w:t>Sparling, G., R. Parfitt, A. Hewitt and L. Schipper (2003). Three approaches to define desired soil organic matter contents. Journal of Environmental Quality 32: 760-766.</w:t>
      </w:r>
    </w:p>
    <w:p w14:paraId="77E831D5" w14:textId="77777777" w:rsidR="00D75358" w:rsidRDefault="00D75358" w:rsidP="00C410A7">
      <w:pPr>
        <w:pStyle w:val="EEALiterature"/>
      </w:pPr>
      <w:r w:rsidRPr="00694C6A">
        <w:rPr>
          <w:lang w:val="en-US"/>
        </w:rPr>
        <w:t xml:space="preserve">Stolte, J., M. Tesfai, L. Øygarden, S. Kværnø, J. Keizer, F. Verheijen and R. Hessel (Eds.) </w:t>
      </w:r>
      <w:r>
        <w:t>(2016). Soil threats in Europe. EUR 27607 EN; doi</w:t>
      </w:r>
      <w:proofErr w:type="gramStart"/>
      <w:r>
        <w:t>:10.2788</w:t>
      </w:r>
      <w:proofErr w:type="gramEnd"/>
      <w:r>
        <w:t>/488054 (print); doi:10.2788/828742 (online)</w:t>
      </w:r>
    </w:p>
    <w:p w14:paraId="21CCB8A9" w14:textId="77777777" w:rsidR="00D75358" w:rsidRDefault="00D75358" w:rsidP="00C410A7">
      <w:pPr>
        <w:pStyle w:val="EEALiterature"/>
      </w:pPr>
      <w:r>
        <w:t>Trombetti, M., G. Prokop, W. de Vries and P.F.A.M. Römkens (2019). Task 1.8.2.2 Integration of spatial data for assessing soil degradation in Europe. KD2. Draft map and methodological description report on soil degradation. ETC-ULS internal report.</w:t>
      </w:r>
    </w:p>
    <w:p w14:paraId="79FEE465" w14:textId="134BB804" w:rsidR="007D3C07" w:rsidRDefault="007D3C07" w:rsidP="00C410A7">
      <w:pPr>
        <w:pStyle w:val="EEALiterature"/>
      </w:pPr>
      <w:r>
        <w:t>Van Groenigen, J.W., D. Huygens, P. Boeckx, T.W. Kuyper, I.M. Lubbers, T. Rütting, and P.M. Groffman (2015). The soil N cycle: new insights and key challanges. Soil 1: 235–256.</w:t>
      </w:r>
    </w:p>
    <w:p w14:paraId="45D4DDAC" w14:textId="77777777" w:rsidR="00D75358" w:rsidRPr="00C66E1D" w:rsidRDefault="00D75358" w:rsidP="00C410A7">
      <w:pPr>
        <w:pStyle w:val="EEALiterature"/>
        <w:rPr>
          <w:lang w:val="de-DE"/>
        </w:rPr>
      </w:pPr>
      <w:r w:rsidRPr="00CD55D6">
        <w:rPr>
          <w:lang w:val="es-ES"/>
        </w:rPr>
        <w:t xml:space="preserve">Van Lynden, G.W.J., S. Mantel and A. van Oostum (2004) (Ed.). </w:t>
      </w:r>
      <w:r>
        <w:t xml:space="preserve">Guiding principles for the quantitative assessment of soil degradation. Food and Agriculture Organization of the United Nations (FAO) and International Soil Reference and Information Centre (ISRIC). </w:t>
      </w:r>
      <w:r w:rsidRPr="00C66E1D">
        <w:rPr>
          <w:lang w:val="de-DE"/>
        </w:rPr>
        <w:t>2004. p. 62.</w:t>
      </w:r>
    </w:p>
    <w:p w14:paraId="20E6A199" w14:textId="77777777" w:rsidR="000940FA" w:rsidRPr="000940FA" w:rsidRDefault="000940FA" w:rsidP="00C410A7">
      <w:pPr>
        <w:pStyle w:val="EEALiterature"/>
        <w:rPr>
          <w:lang w:val="de-AT"/>
        </w:rPr>
      </w:pPr>
      <w:r w:rsidRPr="000940FA">
        <w:rPr>
          <w:lang w:val="de-AT"/>
        </w:rPr>
        <w:t>Wessolek G., Kaupenjohann M., Dominik P., Ilg K., Schmitt A., Zeitz J., Gahre F., Schulz E., Ellerbrock R., Utermann J., Düwel O., Siebner C (2008): Ermittlung von Optimalgehalten an organischer Substanz landwirtschaftlich genutzter Böden nach § 17 (2) Nr. 7 BBodSchG. eds: Umweltbundesamt</w:t>
      </w:r>
      <w:r>
        <w:rPr>
          <w:lang w:val="de-AT"/>
        </w:rPr>
        <w:t>.</w:t>
      </w:r>
    </w:p>
    <w:p w14:paraId="1248E4C2" w14:textId="48CA3D85" w:rsidR="00D75358" w:rsidRPr="00CD55D6" w:rsidRDefault="00D75358" w:rsidP="00C410A7">
      <w:pPr>
        <w:pStyle w:val="EEALiterature"/>
        <w:rPr>
          <w:lang w:val="de-AT"/>
        </w:rPr>
      </w:pPr>
      <w:r w:rsidRPr="000940FA">
        <w:rPr>
          <w:lang w:val="de-AT"/>
        </w:rPr>
        <w:t xml:space="preserve">Wiesmeier, M., P. Spörlein, U. Geuß, E. Hangen, S. Haug, A. Reischl, B. Schilling, M. von Lützow and I. Kögel-Knabner (2012). </w:t>
      </w:r>
      <w:r>
        <w:t xml:space="preserve">Soil organic carbon stocks in southeast Germany (Bavaria) as affected by land use, soil type and sampling depth. </w:t>
      </w:r>
      <w:r w:rsidRPr="00CD55D6">
        <w:rPr>
          <w:lang w:val="de-AT"/>
        </w:rPr>
        <w:t>Global Change Biology 18: 2233-2245.</w:t>
      </w:r>
      <w:r w:rsidR="007D3C07" w:rsidRPr="00CD55D6">
        <w:rPr>
          <w:lang w:val="de-AT"/>
        </w:rPr>
        <w:t xml:space="preserve"> </w:t>
      </w:r>
      <w:hyperlink r:id="rId69" w:history="1">
        <w:r w:rsidR="007D3C07" w:rsidRPr="00CD55D6">
          <w:rPr>
            <w:rStyle w:val="Hyperlink"/>
            <w:lang w:val="de-AT"/>
          </w:rPr>
          <w:t>https://doi.org/10.1111/j.1365-2486.2012.02699.x</w:t>
        </w:r>
      </w:hyperlink>
    </w:p>
    <w:p w14:paraId="6670C675" w14:textId="15ECC0E0" w:rsidR="00C558B7" w:rsidRDefault="00C558B7" w:rsidP="00C410A7">
      <w:pPr>
        <w:pStyle w:val="EEALiterature"/>
      </w:pPr>
      <w:r w:rsidRPr="00CD55D6">
        <w:rPr>
          <w:lang w:val="de-AT"/>
        </w:rPr>
        <w:t xml:space="preserve">Wiesmeier, M., M. von Lützow, P. Spörlein and I. Kögel-Knabner (2014). </w:t>
      </w:r>
      <w:r>
        <w:t xml:space="preserve">Land use effects on organic carbon storage in soils of Bavaria: The importance of soil types. Soil and Tillage Research. DOI: 10.1016/j.still.2014.10.003 </w:t>
      </w:r>
    </w:p>
    <w:p w14:paraId="1A4B57FC" w14:textId="77777777" w:rsidR="00C558B7" w:rsidRDefault="00C558B7" w:rsidP="00C410A7">
      <w:pPr>
        <w:pStyle w:val="EEALiterature"/>
      </w:pPr>
      <w:r>
        <w:t xml:space="preserve">Wiesmeier, M., L. Urbanski, E. Hobley, B. Lang, M.V. Lützow, E. Marin-Spiotta, B. van Wesemael, E. Rabot, M. Ließ, N. Garcia-Franco, U. Wollschläger, H. Vogel and I. Kögel-Knabner (2019). Soil organic carbon storage as a key function of soils - A review of drivers and indicators at various scales. Geoderma 333: 149–162. </w:t>
      </w:r>
      <w:proofErr w:type="gramStart"/>
      <w:r>
        <w:t>doi</w:t>
      </w:r>
      <w:proofErr w:type="gramEnd"/>
      <w:r>
        <w:t>: 10.1016/j.geoderma.2018.07.026</w:t>
      </w:r>
    </w:p>
    <w:p w14:paraId="7C78EFC6" w14:textId="6B47DF06" w:rsidR="008F64E4" w:rsidRDefault="00D75358" w:rsidP="00C410A7">
      <w:pPr>
        <w:pStyle w:val="EEALiterature"/>
      </w:pPr>
      <w:r>
        <w:t>Zhao, Y. N., X.H. He, X.C. Huang, Y.Q. Zhang and X.J. Shi (2016). Increasing soil organic matter enhances inherent soil productivity while offsetting fertilization effect under a rice cropping system. Sustainability 8(9): 879.</w:t>
      </w:r>
    </w:p>
    <w:p w14:paraId="5B3D8739" w14:textId="627979F6" w:rsidR="007D3C07" w:rsidRDefault="007D3C07" w:rsidP="00C410A7">
      <w:pPr>
        <w:pStyle w:val="EEALiterature"/>
      </w:pPr>
    </w:p>
    <w:p w14:paraId="6948AD8D" w14:textId="77777777" w:rsidR="007D3C07" w:rsidRDefault="007D3C07" w:rsidP="00C410A7">
      <w:pPr>
        <w:pStyle w:val="EEALiterature"/>
      </w:pPr>
    </w:p>
    <w:p w14:paraId="144E1241" w14:textId="5533181D" w:rsidR="008F64E4" w:rsidRDefault="008F64E4" w:rsidP="008F64E4">
      <w:pPr>
        <w:pStyle w:val="berschrift2"/>
      </w:pPr>
      <w:bookmarkStart w:id="448" w:name="_Toc83997418"/>
      <w:r w:rsidRPr="008F64E4">
        <w:lastRenderedPageBreak/>
        <w:t>Soil nutrient status</w:t>
      </w:r>
      <w:bookmarkEnd w:id="448"/>
    </w:p>
    <w:p w14:paraId="623B2152" w14:textId="21470BC1" w:rsidR="008F64E4" w:rsidRDefault="008F64E4" w:rsidP="00C410A7">
      <w:pPr>
        <w:pStyle w:val="EEALiterature"/>
      </w:pPr>
    </w:p>
    <w:p w14:paraId="158F5425" w14:textId="64AE6398" w:rsidR="00545516" w:rsidRPr="00261BB8" w:rsidRDefault="00545516" w:rsidP="00C410A7">
      <w:pPr>
        <w:pStyle w:val="EEALiterature"/>
      </w:pPr>
      <w:r w:rsidRPr="00261BB8">
        <w:t xml:space="preserve">Aber, J. D., McDowell, W., Nadelhoffer, K., Magill, A., Berntsen, G., Kamakea, M., McNulty, S., Currie, W., Rustad, L. </w:t>
      </w:r>
      <w:r w:rsidR="0056122B">
        <w:t>and</w:t>
      </w:r>
      <w:r w:rsidR="0056122B" w:rsidRPr="00261BB8">
        <w:t xml:space="preserve"> </w:t>
      </w:r>
      <w:r w:rsidR="0056122B">
        <w:t xml:space="preserve">I. </w:t>
      </w:r>
      <w:r w:rsidRPr="00261BB8">
        <w:t>Fernandez (1998). Nitrogen saturation in temperate forest ecosystems: hypotheses revisited. Bioscience 48</w:t>
      </w:r>
      <w:r w:rsidR="00697FCD">
        <w:t>:</w:t>
      </w:r>
      <w:r w:rsidRPr="00261BB8">
        <w:t xml:space="preserve"> 921-934.</w:t>
      </w:r>
    </w:p>
    <w:p w14:paraId="11355BAD" w14:textId="357AFF59" w:rsidR="00545516" w:rsidRPr="00261BB8" w:rsidRDefault="00545516" w:rsidP="00C410A7">
      <w:pPr>
        <w:pStyle w:val="EEALiterature"/>
        <w:rPr>
          <w:lang w:val="en-US"/>
        </w:rPr>
      </w:pPr>
      <w:r w:rsidRPr="00261BB8">
        <w:t>Bai, Z.H., Li, H.G., Yang, X.Y., Zhou, B.K., Shi, X.J., Wang, B.R., Li, D.C., Shen, J.B., Chen, Q., Qin, W., Oenema, O.</w:t>
      </w:r>
      <w:r w:rsidR="0056122B">
        <w:t xml:space="preserve"> and F.S.</w:t>
      </w:r>
      <w:r w:rsidR="0056122B" w:rsidRPr="00261BB8">
        <w:t xml:space="preserve"> </w:t>
      </w:r>
      <w:r w:rsidRPr="00261BB8">
        <w:t>Zhang</w:t>
      </w:r>
      <w:r w:rsidR="0056122B">
        <w:t xml:space="preserve"> (</w:t>
      </w:r>
      <w:r w:rsidRPr="00261BB8">
        <w:t>2013</w:t>
      </w:r>
      <w:r w:rsidR="0056122B">
        <w:t>)</w:t>
      </w:r>
      <w:r w:rsidRPr="00261BB8">
        <w:t xml:space="preserve">. </w:t>
      </w:r>
      <w:r w:rsidRPr="00261BB8">
        <w:rPr>
          <w:lang w:val="en-US"/>
        </w:rPr>
        <w:t>The critical soil P levels for crop yield, soil fertility and environmental safety in different soil types. Plant Soil 372</w:t>
      </w:r>
      <w:r w:rsidR="00697FCD">
        <w:rPr>
          <w:lang w:val="en-US"/>
        </w:rPr>
        <w:t>:</w:t>
      </w:r>
      <w:r w:rsidRPr="00261BB8">
        <w:rPr>
          <w:lang w:val="en-US"/>
        </w:rPr>
        <w:t xml:space="preserve"> 27-37. </w:t>
      </w:r>
    </w:p>
    <w:p w14:paraId="470AAA27" w14:textId="3A0B1D6D" w:rsidR="00545516" w:rsidRPr="003A4F6E" w:rsidRDefault="00545516" w:rsidP="00C410A7">
      <w:pPr>
        <w:pStyle w:val="EEALiterature"/>
        <w:rPr>
          <w:lang w:val="en-US"/>
        </w:rPr>
      </w:pPr>
      <w:r w:rsidRPr="003A4F6E">
        <w:rPr>
          <w:lang w:val="en-US"/>
        </w:rPr>
        <w:t xml:space="preserve">Beauchemin, S. and </w:t>
      </w:r>
      <w:r w:rsidR="00D97F44" w:rsidRPr="003A4F6E">
        <w:rPr>
          <w:lang w:val="en-US"/>
        </w:rPr>
        <w:t xml:space="preserve">R. </w:t>
      </w:r>
      <w:r w:rsidRPr="003A4F6E">
        <w:rPr>
          <w:lang w:val="en-US"/>
        </w:rPr>
        <w:t>Simard</w:t>
      </w:r>
      <w:r w:rsidR="00D97F44" w:rsidRPr="003A4F6E">
        <w:rPr>
          <w:lang w:val="en-US"/>
        </w:rPr>
        <w:t xml:space="preserve"> (</w:t>
      </w:r>
      <w:r w:rsidRPr="003A4F6E">
        <w:rPr>
          <w:lang w:val="en-US"/>
        </w:rPr>
        <w:t>1999</w:t>
      </w:r>
      <w:r w:rsidR="00D97F44" w:rsidRPr="003A4F6E">
        <w:rPr>
          <w:lang w:val="en-US"/>
        </w:rPr>
        <w:t>)</w:t>
      </w:r>
      <w:r w:rsidRPr="003A4F6E">
        <w:rPr>
          <w:lang w:val="en-US"/>
        </w:rPr>
        <w:t>. Soil phosphorus saturation degree: Review of some indices and their suitability for P management in Quebec, Canada. Canadian Journal of Soil Science 79(4)</w:t>
      </w:r>
      <w:r w:rsidR="00697FCD">
        <w:rPr>
          <w:lang w:val="en-US"/>
        </w:rPr>
        <w:t>:</w:t>
      </w:r>
      <w:r w:rsidRPr="003A4F6E">
        <w:rPr>
          <w:lang w:val="en-US"/>
        </w:rPr>
        <w:t xml:space="preserve"> 615-625.</w:t>
      </w:r>
    </w:p>
    <w:p w14:paraId="7F2E7DBE" w14:textId="58589994" w:rsidR="00545516" w:rsidRPr="00261BB8" w:rsidRDefault="00545516" w:rsidP="00C410A7">
      <w:pPr>
        <w:pStyle w:val="EEALiterature"/>
        <w:rPr>
          <w:lang w:val="en-US"/>
        </w:rPr>
      </w:pPr>
      <w:r w:rsidRPr="00261BB8">
        <w:rPr>
          <w:lang w:val="en-US"/>
        </w:rPr>
        <w:t xml:space="preserve">Bobbink, R. </w:t>
      </w:r>
      <w:r w:rsidR="00D97F44">
        <w:rPr>
          <w:lang w:val="en-US"/>
        </w:rPr>
        <w:t>and</w:t>
      </w:r>
      <w:r w:rsidR="00D97F44" w:rsidRPr="00261BB8">
        <w:rPr>
          <w:lang w:val="en-US"/>
        </w:rPr>
        <w:t xml:space="preserve"> </w:t>
      </w:r>
      <w:r w:rsidR="00D97F44">
        <w:rPr>
          <w:lang w:val="en-US"/>
        </w:rPr>
        <w:t xml:space="preserve">J.P. </w:t>
      </w:r>
      <w:r w:rsidRPr="00261BB8">
        <w:rPr>
          <w:lang w:val="en-US"/>
        </w:rPr>
        <w:t xml:space="preserve">Hettelingh (2011). Review and revision of empirical critical loads and dose-response </w:t>
      </w:r>
      <w:proofErr w:type="gramStart"/>
      <w:r w:rsidRPr="00261BB8">
        <w:rPr>
          <w:lang w:val="en-US"/>
        </w:rPr>
        <w:t>relationships :</w:t>
      </w:r>
      <w:proofErr w:type="gramEnd"/>
      <w:r w:rsidRPr="00261BB8">
        <w:rPr>
          <w:lang w:val="en-US"/>
        </w:rPr>
        <w:t xml:space="preserve"> Proceedings of an expert workshop, Noordwijkerhout, 23-25 June 2010. (Report 680359002/2011). Bilthoven: Coordination Centre for Effects, National Institute for Public Health and the Environment.</w:t>
      </w:r>
    </w:p>
    <w:p w14:paraId="324997BD" w14:textId="7D12A150" w:rsidR="00951CB6" w:rsidRDefault="00951CB6" w:rsidP="00C410A7">
      <w:pPr>
        <w:pStyle w:val="EEALiterature"/>
        <w:rPr>
          <w:lang w:val="en-US"/>
        </w:rPr>
      </w:pPr>
      <w:r w:rsidRPr="00951CB6">
        <w:rPr>
          <w:lang w:val="en-US"/>
        </w:rPr>
        <w:t>Braun, S., V.F.D. Thomas, R. Quiring &amp; W. Flückiger</w:t>
      </w:r>
      <w:r w:rsidR="0081645E">
        <w:rPr>
          <w:lang w:val="en-US"/>
        </w:rPr>
        <w:t xml:space="preserve"> (</w:t>
      </w:r>
      <w:r w:rsidRPr="00951CB6">
        <w:rPr>
          <w:lang w:val="en-US"/>
        </w:rPr>
        <w:t>2010</w:t>
      </w:r>
      <w:r w:rsidR="0081645E">
        <w:rPr>
          <w:lang w:val="en-US"/>
        </w:rPr>
        <w:t>)</w:t>
      </w:r>
      <w:r w:rsidRPr="00951CB6">
        <w:rPr>
          <w:lang w:val="en-US"/>
        </w:rPr>
        <w:t>. Does nitrogen deposition increase forest production? The role of phosphorus. Environ. Pollut. 158 (6)</w:t>
      </w:r>
      <w:r w:rsidR="00697FCD">
        <w:rPr>
          <w:lang w:val="en-US"/>
        </w:rPr>
        <w:t>:</w:t>
      </w:r>
      <w:r w:rsidRPr="00951CB6">
        <w:rPr>
          <w:lang w:val="en-US"/>
        </w:rPr>
        <w:t xml:space="preserve"> 2043-2052.</w:t>
      </w:r>
    </w:p>
    <w:p w14:paraId="359AF196" w14:textId="12B83B2A" w:rsidR="00545516" w:rsidRPr="00261BB8" w:rsidRDefault="00545516" w:rsidP="00C410A7">
      <w:pPr>
        <w:pStyle w:val="EEALiterature"/>
        <w:rPr>
          <w:lang w:val="en-US"/>
        </w:rPr>
      </w:pPr>
      <w:r w:rsidRPr="00261BB8">
        <w:rPr>
          <w:lang w:val="en-US"/>
        </w:rPr>
        <w:t xml:space="preserve">Bray, R.H. </w:t>
      </w:r>
      <w:r w:rsidR="00D97F44">
        <w:rPr>
          <w:lang w:val="en-US"/>
        </w:rPr>
        <w:t>and</w:t>
      </w:r>
      <w:r w:rsidR="00D97F44" w:rsidRPr="00261BB8">
        <w:rPr>
          <w:lang w:val="en-US"/>
        </w:rPr>
        <w:t xml:space="preserve"> </w:t>
      </w:r>
      <w:r w:rsidR="00D97F44">
        <w:rPr>
          <w:lang w:val="en-US"/>
        </w:rPr>
        <w:t xml:space="preserve">L.T. </w:t>
      </w:r>
      <w:r w:rsidRPr="00261BB8">
        <w:rPr>
          <w:lang w:val="en-US"/>
        </w:rPr>
        <w:t>Kurtz</w:t>
      </w:r>
      <w:r w:rsidR="00D97F44">
        <w:rPr>
          <w:lang w:val="en-US"/>
        </w:rPr>
        <w:t xml:space="preserve"> (</w:t>
      </w:r>
      <w:r w:rsidRPr="00261BB8">
        <w:rPr>
          <w:lang w:val="en-US"/>
        </w:rPr>
        <w:t>1945</w:t>
      </w:r>
      <w:r w:rsidR="00D97F44">
        <w:rPr>
          <w:lang w:val="en-US"/>
        </w:rPr>
        <w:t>)</w:t>
      </w:r>
      <w:r w:rsidRPr="00261BB8">
        <w:rPr>
          <w:lang w:val="en-US"/>
        </w:rPr>
        <w:t>. Determination of total, organic and available forms of phosphorus in soils. Soil Science, 59</w:t>
      </w:r>
      <w:r w:rsidR="00697FCD">
        <w:rPr>
          <w:lang w:val="en-US"/>
        </w:rPr>
        <w:t>:</w:t>
      </w:r>
      <w:r w:rsidRPr="00261BB8">
        <w:rPr>
          <w:lang w:val="en-US"/>
        </w:rPr>
        <w:t xml:space="preserve"> 39–45.</w:t>
      </w:r>
    </w:p>
    <w:p w14:paraId="1432E23C" w14:textId="1511A045" w:rsidR="00545516" w:rsidRPr="00261BB8" w:rsidRDefault="00545516" w:rsidP="00C410A7">
      <w:pPr>
        <w:pStyle w:val="EEALiterature"/>
        <w:rPr>
          <w:lang w:val="en-US"/>
        </w:rPr>
      </w:pPr>
      <w:r w:rsidRPr="00261BB8">
        <w:rPr>
          <w:lang w:val="en-US"/>
        </w:rPr>
        <w:t>Camargo</w:t>
      </w:r>
      <w:r w:rsidR="00D97F44">
        <w:rPr>
          <w:lang w:val="en-US"/>
        </w:rPr>
        <w:t>,</w:t>
      </w:r>
      <w:r w:rsidRPr="00261BB8">
        <w:rPr>
          <w:lang w:val="en-US"/>
        </w:rPr>
        <w:t xml:space="preserve"> J</w:t>
      </w:r>
      <w:r w:rsidR="00D97F44">
        <w:rPr>
          <w:lang w:val="en-US"/>
        </w:rPr>
        <w:t>.</w:t>
      </w:r>
      <w:r w:rsidRPr="00261BB8">
        <w:rPr>
          <w:lang w:val="en-US"/>
        </w:rPr>
        <w:t>A</w:t>
      </w:r>
      <w:r w:rsidR="00D97F44">
        <w:rPr>
          <w:lang w:val="en-US"/>
        </w:rPr>
        <w:t>. and A.</w:t>
      </w:r>
      <w:r w:rsidRPr="00261BB8">
        <w:rPr>
          <w:lang w:val="en-US"/>
        </w:rPr>
        <w:t xml:space="preserve"> Alonso </w:t>
      </w:r>
      <w:r w:rsidR="00D97F44">
        <w:rPr>
          <w:lang w:val="en-US"/>
        </w:rPr>
        <w:t>(</w:t>
      </w:r>
      <w:r w:rsidRPr="00261BB8">
        <w:rPr>
          <w:lang w:val="en-US"/>
        </w:rPr>
        <w:t>2006</w:t>
      </w:r>
      <w:r w:rsidR="00D97F44">
        <w:rPr>
          <w:lang w:val="en-US"/>
        </w:rPr>
        <w:t>)</w:t>
      </w:r>
      <w:r w:rsidRPr="00261BB8">
        <w:rPr>
          <w:lang w:val="en-US"/>
        </w:rPr>
        <w:t>. Ecological and toxicological effects of inorganic nitrogen pollution in aquatic ecosystems: A global assessment. Environment International 32: 831-849.</w:t>
      </w:r>
    </w:p>
    <w:p w14:paraId="7F1DC9FF" w14:textId="603E466A" w:rsidR="00545516" w:rsidRPr="00261BB8" w:rsidRDefault="00545516" w:rsidP="00C410A7">
      <w:pPr>
        <w:pStyle w:val="EEALiterature"/>
        <w:rPr>
          <w:lang w:val="en-US"/>
        </w:rPr>
      </w:pPr>
      <w:r w:rsidRPr="00261BB8">
        <w:rPr>
          <w:lang w:val="en-US"/>
        </w:rPr>
        <w:t xml:space="preserve">Cape, J.N., Van der Eerden, L.J., Sheppard, L.J., Leith, I.D. and </w:t>
      </w:r>
      <w:r w:rsidR="00D97F44">
        <w:rPr>
          <w:lang w:val="en-US"/>
        </w:rPr>
        <w:t xml:space="preserve">M.A. </w:t>
      </w:r>
      <w:r w:rsidRPr="00261BB8">
        <w:rPr>
          <w:lang w:val="en-US"/>
        </w:rPr>
        <w:t>Sutton (2009). Evidence for changing the critical level for ammonia. Environmental Pollution 157, 1033-1037.</w:t>
      </w:r>
    </w:p>
    <w:p w14:paraId="34DB304D" w14:textId="43DD1E25" w:rsidR="00545516" w:rsidRPr="00261BB8" w:rsidRDefault="00545516" w:rsidP="00C410A7">
      <w:pPr>
        <w:pStyle w:val="EEALiterature"/>
        <w:rPr>
          <w:lang w:val="nl-NL"/>
        </w:rPr>
      </w:pPr>
      <w:r w:rsidRPr="00261BB8">
        <w:rPr>
          <w:lang w:val="en-US"/>
        </w:rPr>
        <w:t xml:space="preserve">Chardon, W.J. </w:t>
      </w:r>
      <w:r w:rsidR="00D97F44">
        <w:rPr>
          <w:lang w:val="en-US"/>
        </w:rPr>
        <w:t>(</w:t>
      </w:r>
      <w:r w:rsidRPr="00261BB8">
        <w:rPr>
          <w:lang w:val="en-US"/>
        </w:rPr>
        <w:t>1994</w:t>
      </w:r>
      <w:r w:rsidR="00D97F44">
        <w:rPr>
          <w:lang w:val="en-US"/>
        </w:rPr>
        <w:t>)</w:t>
      </w:r>
      <w:r w:rsidRPr="00261BB8">
        <w:rPr>
          <w:lang w:val="en-US"/>
        </w:rPr>
        <w:t xml:space="preserve">. Relationship between phosphorus availability and phosphorus saturation index. </w:t>
      </w:r>
      <w:r w:rsidRPr="00261BB8">
        <w:rPr>
          <w:lang w:val="nl-NL"/>
        </w:rPr>
        <w:t xml:space="preserve">Report no. 19 AB-DLO Haren, </w:t>
      </w:r>
      <w:r w:rsidR="00697FCD">
        <w:rPr>
          <w:lang w:val="nl-NL"/>
        </w:rPr>
        <w:t>T</w:t>
      </w:r>
      <w:r w:rsidRPr="00261BB8">
        <w:rPr>
          <w:lang w:val="nl-NL"/>
        </w:rPr>
        <w:t>he Netherlands</w:t>
      </w:r>
    </w:p>
    <w:p w14:paraId="57D8CCC4" w14:textId="5020380F" w:rsidR="00545516" w:rsidRPr="00261BB8" w:rsidRDefault="00545516" w:rsidP="00C410A7">
      <w:pPr>
        <w:pStyle w:val="EEALiterature"/>
      </w:pPr>
      <w:r w:rsidRPr="00261BB8">
        <w:rPr>
          <w:lang w:val="nl-NL"/>
        </w:rPr>
        <w:t>De Vries, W. and E.E.J.M. Leeters</w:t>
      </w:r>
      <w:r w:rsidR="00D97F44">
        <w:rPr>
          <w:lang w:val="nl-NL"/>
        </w:rPr>
        <w:t xml:space="preserve"> (</w:t>
      </w:r>
      <w:r w:rsidRPr="00261BB8">
        <w:rPr>
          <w:lang w:val="nl-NL"/>
        </w:rPr>
        <w:t>2001</w:t>
      </w:r>
      <w:r w:rsidR="00D97F44">
        <w:rPr>
          <w:lang w:val="nl-NL"/>
        </w:rPr>
        <w:t>)</w:t>
      </w:r>
      <w:r w:rsidRPr="00261BB8">
        <w:rPr>
          <w:lang w:val="nl-NL"/>
        </w:rPr>
        <w:t xml:space="preserve">. </w:t>
      </w:r>
      <w:r w:rsidRPr="00261BB8">
        <w:t>Chemical composition of the humus layer, mineral soil and soil solution of 150 forest stands in the Netherlands in 1990. Wageningen, Alterra Green World Research. Report 424.1. 113 pp.</w:t>
      </w:r>
    </w:p>
    <w:p w14:paraId="33347064" w14:textId="6C591E5F" w:rsidR="00545516" w:rsidRPr="00261BB8" w:rsidRDefault="00545516" w:rsidP="00C410A7">
      <w:pPr>
        <w:pStyle w:val="EEALiterature"/>
        <w:rPr>
          <w:lang w:val="en-US"/>
        </w:rPr>
      </w:pPr>
      <w:r w:rsidRPr="00261BB8">
        <w:t xml:space="preserve">De Vries, W., Kros, J., Reinds, G. J., Wamelink, W., Mol, J., van Dobben, H., Bobbink, R., Emmett, B., Smart, S., Evans, C., Schlutow, A., Kraft, P., Belyazid, S., Sverdrup, H. U., van Hinsberg, A., Posch, M. </w:t>
      </w:r>
      <w:r w:rsidR="00D97F44">
        <w:t>and</w:t>
      </w:r>
      <w:r w:rsidR="00D97F44" w:rsidRPr="00261BB8">
        <w:t xml:space="preserve"> </w:t>
      </w:r>
      <w:r w:rsidR="00D97F44">
        <w:t xml:space="preserve">J.P. </w:t>
      </w:r>
      <w:r w:rsidRPr="00261BB8">
        <w:t xml:space="preserve">Hettelingh (2007). Developments in deriving critical limits and modelling critical loads of nitrogen for terrestrial ecosystems in Europe. </w:t>
      </w:r>
      <w:r w:rsidRPr="00261BB8">
        <w:rPr>
          <w:lang w:val="en-US"/>
        </w:rPr>
        <w:t>(Report 1382). Wageningen, the Netherlands: Alterra Wageningen UR.</w:t>
      </w:r>
    </w:p>
    <w:p w14:paraId="7DC88976" w14:textId="3F08C6BC" w:rsidR="00545516" w:rsidRPr="00261BB8" w:rsidRDefault="00545516" w:rsidP="00C410A7">
      <w:pPr>
        <w:pStyle w:val="EEALiterature"/>
      </w:pPr>
      <w:r w:rsidRPr="00261BB8">
        <w:rPr>
          <w:lang w:val="nl-NL"/>
        </w:rPr>
        <w:t xml:space="preserve">De Vries, F.T., E. Hoffland, N. van Eekeren, L. Brussaard </w:t>
      </w:r>
      <w:r w:rsidR="00D97F44">
        <w:rPr>
          <w:lang w:val="nl-NL"/>
        </w:rPr>
        <w:t>and</w:t>
      </w:r>
      <w:r w:rsidR="00D97F44" w:rsidRPr="00261BB8">
        <w:rPr>
          <w:lang w:val="nl-NL"/>
        </w:rPr>
        <w:t xml:space="preserve"> </w:t>
      </w:r>
      <w:r w:rsidRPr="00261BB8">
        <w:rPr>
          <w:lang w:val="nl-NL"/>
        </w:rPr>
        <w:t>J. Bloem</w:t>
      </w:r>
      <w:r w:rsidR="00D97F44">
        <w:rPr>
          <w:lang w:val="nl-NL"/>
        </w:rPr>
        <w:t xml:space="preserve"> (</w:t>
      </w:r>
      <w:r w:rsidRPr="00261BB8">
        <w:rPr>
          <w:lang w:val="nl-NL"/>
        </w:rPr>
        <w:t>2006</w:t>
      </w:r>
      <w:r w:rsidR="00D97F44">
        <w:rPr>
          <w:lang w:val="nl-NL"/>
        </w:rPr>
        <w:t>)</w:t>
      </w:r>
      <w:r w:rsidRPr="00261BB8">
        <w:rPr>
          <w:lang w:val="nl-NL"/>
        </w:rPr>
        <w:t xml:space="preserve">. </w:t>
      </w:r>
      <w:r w:rsidRPr="00261BB8">
        <w:t>Fungal/bacterial ratios in grasslands with contrasting nitrogen management. Soil biology &amp; biochemistry 38</w:t>
      </w:r>
      <w:r w:rsidR="00697FCD">
        <w:t>:</w:t>
      </w:r>
      <w:r w:rsidRPr="00261BB8">
        <w:t xml:space="preserve"> 2092-2103.</w:t>
      </w:r>
    </w:p>
    <w:p w14:paraId="3E0C2521" w14:textId="6A87DB02" w:rsidR="00951CB6" w:rsidRDefault="00951CB6" w:rsidP="00C410A7">
      <w:pPr>
        <w:pStyle w:val="EEALiterature"/>
        <w:rPr>
          <w:lang w:val="nl-NL"/>
        </w:rPr>
      </w:pPr>
      <w:r w:rsidRPr="00951CB6">
        <w:rPr>
          <w:lang w:val="nl-NL"/>
        </w:rPr>
        <w:t>De Vries, W., S. Solberg, M. Dobbertin, H. Sterba, D. Laubhann, M. van Oijen, C. Evans, P. Gundersen, J. Kros, G.W.W. Wamelink, G.J. Reinds &amp; M.A. Sutton</w:t>
      </w:r>
      <w:r w:rsidR="0081645E">
        <w:rPr>
          <w:lang w:val="nl-NL"/>
        </w:rPr>
        <w:t xml:space="preserve"> (</w:t>
      </w:r>
      <w:r w:rsidRPr="00951CB6">
        <w:rPr>
          <w:lang w:val="nl-NL"/>
        </w:rPr>
        <w:t>2009</w:t>
      </w:r>
      <w:r w:rsidR="0081645E">
        <w:rPr>
          <w:lang w:val="nl-NL"/>
        </w:rPr>
        <w:t>)</w:t>
      </w:r>
      <w:r w:rsidRPr="00951CB6">
        <w:rPr>
          <w:lang w:val="nl-NL"/>
        </w:rPr>
        <w:t>. The impact of nitrogen deposition on carbon sequestration by European forests and heathlands. Forest Ecology and Management 258 (8)</w:t>
      </w:r>
      <w:r w:rsidR="00697FCD">
        <w:rPr>
          <w:lang w:val="nl-NL"/>
        </w:rPr>
        <w:t>:</w:t>
      </w:r>
      <w:r w:rsidRPr="00951CB6">
        <w:rPr>
          <w:lang w:val="nl-NL"/>
        </w:rPr>
        <w:t xml:space="preserve"> 1814-1823.</w:t>
      </w:r>
    </w:p>
    <w:p w14:paraId="114E6B9B" w14:textId="3AD5A2D6" w:rsidR="00545516" w:rsidRPr="00261BB8" w:rsidRDefault="00545516" w:rsidP="00C410A7">
      <w:pPr>
        <w:pStyle w:val="EEALiterature"/>
      </w:pPr>
      <w:r w:rsidRPr="00261BB8">
        <w:rPr>
          <w:lang w:val="nl-NL"/>
        </w:rPr>
        <w:t xml:space="preserve">De Vries, W., Dobbertin, M.H., Solberg, S., van Dobben, H. and </w:t>
      </w:r>
      <w:r w:rsidR="0048706F">
        <w:rPr>
          <w:lang w:val="nl-NL"/>
        </w:rPr>
        <w:t xml:space="preserve">M. </w:t>
      </w:r>
      <w:r w:rsidRPr="00261BB8">
        <w:rPr>
          <w:lang w:val="nl-NL"/>
        </w:rPr>
        <w:t xml:space="preserve">Schaub (2014a). </w:t>
      </w:r>
      <w:r w:rsidRPr="00261BB8">
        <w:t>Impacts of acid deposition, ozone exposure and weather conditions on forest ecosystems in Europe: an overview. Plant and Soil 380</w:t>
      </w:r>
      <w:r w:rsidR="00697FCD">
        <w:t>:</w:t>
      </w:r>
      <w:r w:rsidRPr="00261BB8">
        <w:t xml:space="preserve"> 1-45.</w:t>
      </w:r>
    </w:p>
    <w:p w14:paraId="0882D6FA" w14:textId="4A22168A" w:rsidR="00545516" w:rsidRPr="00261BB8" w:rsidRDefault="00545516" w:rsidP="00C410A7">
      <w:pPr>
        <w:pStyle w:val="EEALiterature"/>
      </w:pPr>
      <w:r w:rsidRPr="00261BB8">
        <w:rPr>
          <w:lang w:val="en-US"/>
        </w:rPr>
        <w:t xml:space="preserve">De Vries, W., Posch, M., Reinds, G.J. and </w:t>
      </w:r>
      <w:r w:rsidR="00D97F44">
        <w:rPr>
          <w:lang w:val="en-US"/>
        </w:rPr>
        <w:t xml:space="preserve">J.P. </w:t>
      </w:r>
      <w:r w:rsidRPr="00261BB8">
        <w:rPr>
          <w:lang w:val="en-US"/>
        </w:rPr>
        <w:t xml:space="preserve">Hettelingh (2014b). </w:t>
      </w:r>
      <w:r w:rsidRPr="00261BB8">
        <w:t>Quantification of impacts of nitrogen deposition on forest ecosystem services in Europe. In M. A. Sutton et al. (eds.) Nitrogen deposition, critical Loads and biodiversity. Chapter 43</w:t>
      </w:r>
      <w:r w:rsidR="00697FCD">
        <w:t>:</w:t>
      </w:r>
      <w:r w:rsidRPr="00261BB8">
        <w:t xml:space="preserve"> 411-424)</w:t>
      </w:r>
      <w:r w:rsidR="00697FCD">
        <w:t>.</w:t>
      </w:r>
      <w:r w:rsidRPr="00261BB8">
        <w:t xml:space="preserve"> Springer.</w:t>
      </w:r>
    </w:p>
    <w:p w14:paraId="29BB29A4" w14:textId="414FB55C" w:rsidR="00951CB6" w:rsidRDefault="00951CB6" w:rsidP="00C410A7">
      <w:pPr>
        <w:pStyle w:val="EEALiterature"/>
        <w:rPr>
          <w:lang w:val="en-US"/>
        </w:rPr>
      </w:pPr>
      <w:r w:rsidRPr="00C66E1D">
        <w:rPr>
          <w:lang w:val="en-US"/>
        </w:rPr>
        <w:t>De Vries, W. &amp; L. Schulte-Uebbing</w:t>
      </w:r>
      <w:r w:rsidR="0081645E" w:rsidRPr="00C66E1D">
        <w:rPr>
          <w:lang w:val="en-US"/>
        </w:rPr>
        <w:t xml:space="preserve"> (</w:t>
      </w:r>
      <w:r w:rsidRPr="00C66E1D">
        <w:rPr>
          <w:lang w:val="en-US"/>
        </w:rPr>
        <w:t>2020</w:t>
      </w:r>
      <w:r w:rsidR="0081645E" w:rsidRPr="00C66E1D">
        <w:rPr>
          <w:lang w:val="en-US"/>
        </w:rPr>
        <w:t>)</w:t>
      </w:r>
      <w:r w:rsidRPr="00C66E1D">
        <w:rPr>
          <w:lang w:val="en-US"/>
        </w:rPr>
        <w:t xml:space="preserve">. </w:t>
      </w:r>
      <w:r w:rsidRPr="00951CB6">
        <w:rPr>
          <w:lang w:val="en-US"/>
        </w:rPr>
        <w:t>Required changes in nitrogen inputs and nitrogen use efficiencies to reconcile agricultural productivity with water and air quality objectives in the EU-27. Proceedings 842 of the International Fertiliser Society</w:t>
      </w:r>
      <w:r>
        <w:rPr>
          <w:lang w:val="en-US"/>
        </w:rPr>
        <w:t>.</w:t>
      </w:r>
    </w:p>
    <w:p w14:paraId="6216FCD2" w14:textId="2EC04950" w:rsidR="00545516" w:rsidRPr="00261BB8" w:rsidRDefault="00545516" w:rsidP="00C410A7">
      <w:pPr>
        <w:pStyle w:val="EEALiterature"/>
        <w:rPr>
          <w:lang w:val="nl-NL"/>
        </w:rPr>
      </w:pPr>
      <w:r w:rsidRPr="00261BB8">
        <w:rPr>
          <w:lang w:val="en-US"/>
        </w:rPr>
        <w:t xml:space="preserve">Dise, N. B., Matzner, E. </w:t>
      </w:r>
      <w:r w:rsidR="0048706F">
        <w:rPr>
          <w:lang w:val="en-US"/>
        </w:rPr>
        <w:t>and</w:t>
      </w:r>
      <w:r w:rsidR="0048706F" w:rsidRPr="00261BB8">
        <w:rPr>
          <w:lang w:val="en-US"/>
        </w:rPr>
        <w:t xml:space="preserve"> </w:t>
      </w:r>
      <w:r w:rsidR="0048706F">
        <w:rPr>
          <w:lang w:val="en-US"/>
        </w:rPr>
        <w:t xml:space="preserve">M. </w:t>
      </w:r>
      <w:r w:rsidRPr="00261BB8">
        <w:rPr>
          <w:lang w:val="en-US"/>
        </w:rPr>
        <w:t>Forsius (1998). Evaluation of organic horizon C</w:t>
      </w:r>
      <w:proofErr w:type="gramStart"/>
      <w:r w:rsidRPr="00261BB8">
        <w:rPr>
          <w:lang w:val="en-US"/>
        </w:rPr>
        <w:t>:N</w:t>
      </w:r>
      <w:proofErr w:type="gramEnd"/>
      <w:r w:rsidRPr="00261BB8">
        <w:rPr>
          <w:lang w:val="en-US"/>
        </w:rPr>
        <w:t xml:space="preserve"> ratio as an indicator of nitrate leaching in conifer forests across Europe. </w:t>
      </w:r>
      <w:r w:rsidRPr="00261BB8">
        <w:rPr>
          <w:lang w:val="nl-NL"/>
        </w:rPr>
        <w:t>Environ. Pollut. 102</w:t>
      </w:r>
      <w:r w:rsidR="00697FCD">
        <w:rPr>
          <w:lang w:val="nl-NL"/>
        </w:rPr>
        <w:t>:</w:t>
      </w:r>
      <w:r w:rsidRPr="00261BB8">
        <w:rPr>
          <w:lang w:val="nl-NL"/>
        </w:rPr>
        <w:t xml:space="preserve"> 453-456.</w:t>
      </w:r>
    </w:p>
    <w:p w14:paraId="617100CC" w14:textId="3C4ACBAB" w:rsidR="0081645E" w:rsidRDefault="00545516" w:rsidP="00C410A7">
      <w:pPr>
        <w:pStyle w:val="EEALiterature"/>
        <w:rPr>
          <w:lang w:val="nl-NL"/>
        </w:rPr>
      </w:pPr>
      <w:r w:rsidRPr="00261BB8">
        <w:rPr>
          <w:lang w:val="nl-NL"/>
        </w:rPr>
        <w:t xml:space="preserve">Dise, N. B., Rothwell, J. J., Gauci, V., van der Salm, C. </w:t>
      </w:r>
      <w:r w:rsidR="0048706F">
        <w:rPr>
          <w:lang w:val="nl-NL"/>
        </w:rPr>
        <w:t>and</w:t>
      </w:r>
      <w:r w:rsidR="0048706F" w:rsidRPr="00261BB8">
        <w:rPr>
          <w:lang w:val="nl-NL"/>
        </w:rPr>
        <w:t xml:space="preserve"> </w:t>
      </w:r>
      <w:r w:rsidR="0048706F">
        <w:rPr>
          <w:lang w:val="nl-NL"/>
        </w:rPr>
        <w:t xml:space="preserve">W. </w:t>
      </w:r>
      <w:r w:rsidRPr="00261BB8">
        <w:rPr>
          <w:lang w:val="nl-NL"/>
        </w:rPr>
        <w:t xml:space="preserve">de Vries (2009). </w:t>
      </w:r>
      <w:r w:rsidRPr="00261BB8">
        <w:rPr>
          <w:lang w:val="en-US"/>
        </w:rPr>
        <w:t xml:space="preserve">Predicting nitrate leaching in European forests using two independent databases. </w:t>
      </w:r>
      <w:r w:rsidRPr="00261BB8">
        <w:rPr>
          <w:lang w:val="nl-NL"/>
        </w:rPr>
        <w:t>Sci. Tot. Environ. 407</w:t>
      </w:r>
      <w:r w:rsidR="00697FCD">
        <w:rPr>
          <w:lang w:val="nl-NL"/>
        </w:rPr>
        <w:t>:</w:t>
      </w:r>
      <w:r w:rsidRPr="00261BB8">
        <w:rPr>
          <w:lang w:val="nl-NL"/>
        </w:rPr>
        <w:t xml:space="preserve"> 1798-1808.</w:t>
      </w:r>
    </w:p>
    <w:p w14:paraId="26EDDF1B" w14:textId="7F741835" w:rsidR="00545516" w:rsidRPr="00BE7C9A" w:rsidRDefault="00545516" w:rsidP="00C410A7">
      <w:pPr>
        <w:pStyle w:val="EEALiterature"/>
        <w:rPr>
          <w:lang w:val="en-US"/>
        </w:rPr>
      </w:pPr>
      <w:r w:rsidRPr="00261BB8">
        <w:rPr>
          <w:lang w:val="nl-NL"/>
        </w:rPr>
        <w:lastRenderedPageBreak/>
        <w:t xml:space="preserve">Erisman, J.W. and de Vries, W. (2000). </w:t>
      </w:r>
      <w:r w:rsidRPr="00261BB8">
        <w:t xml:space="preserve">Nitrogen deposition and effects on European forests. </w:t>
      </w:r>
      <w:r w:rsidRPr="00BE7C9A">
        <w:rPr>
          <w:lang w:val="en-US"/>
        </w:rPr>
        <w:t>Environmental Reviews 8</w:t>
      </w:r>
      <w:r w:rsidR="00697FCD">
        <w:rPr>
          <w:lang w:val="en-US"/>
        </w:rPr>
        <w:t>:</w:t>
      </w:r>
      <w:r w:rsidRPr="00BE7C9A">
        <w:rPr>
          <w:lang w:val="en-US"/>
        </w:rPr>
        <w:t xml:space="preserve"> 65-93.</w:t>
      </w:r>
    </w:p>
    <w:p w14:paraId="2FF06110" w14:textId="5C0E18AF" w:rsidR="00951CB6" w:rsidRPr="00951CB6" w:rsidRDefault="00951CB6" w:rsidP="00C410A7">
      <w:pPr>
        <w:pStyle w:val="EEALiterature"/>
        <w:rPr>
          <w:lang w:val="de-AT"/>
        </w:rPr>
      </w:pPr>
      <w:r w:rsidRPr="00951CB6">
        <w:rPr>
          <w:lang w:val="es-ES"/>
        </w:rPr>
        <w:t>Du, E., W. de Vries, W. Han, X. Liu, Z. Yan &amp; Y. Jiang</w:t>
      </w:r>
      <w:r w:rsidR="0081645E">
        <w:rPr>
          <w:lang w:val="es-ES"/>
        </w:rPr>
        <w:t xml:space="preserve"> (</w:t>
      </w:r>
      <w:r w:rsidRPr="00951CB6">
        <w:rPr>
          <w:lang w:val="es-ES"/>
        </w:rPr>
        <w:t>2016</w:t>
      </w:r>
      <w:r w:rsidR="0081645E">
        <w:rPr>
          <w:lang w:val="es-ES"/>
        </w:rPr>
        <w:t>)</w:t>
      </w:r>
      <w:r w:rsidRPr="00951CB6">
        <w:rPr>
          <w:lang w:val="es-ES"/>
        </w:rPr>
        <w:t xml:space="preserve">. </w:t>
      </w:r>
      <w:r w:rsidRPr="00951CB6">
        <w:rPr>
          <w:lang w:val="en-US"/>
        </w:rPr>
        <w:t xml:space="preserve">Imbalanced phosphorus and nitrogen deposition in China’s forests. </w:t>
      </w:r>
      <w:r w:rsidRPr="00951CB6">
        <w:rPr>
          <w:lang w:val="de-AT"/>
        </w:rPr>
        <w:t>Atmos. Chem. Phys. 16 (13)</w:t>
      </w:r>
      <w:r w:rsidR="00697FCD">
        <w:rPr>
          <w:lang w:val="de-AT"/>
        </w:rPr>
        <w:t>:</w:t>
      </w:r>
      <w:r w:rsidRPr="00951CB6">
        <w:rPr>
          <w:lang w:val="de-AT"/>
        </w:rPr>
        <w:t xml:space="preserve"> 8571-8579.</w:t>
      </w:r>
    </w:p>
    <w:p w14:paraId="0E94C7FB" w14:textId="6089BDE5" w:rsidR="00545516" w:rsidRPr="00261BB8" w:rsidRDefault="00545516" w:rsidP="00C410A7">
      <w:pPr>
        <w:pStyle w:val="EEALiterature"/>
        <w:rPr>
          <w:lang w:val="de-DE"/>
        </w:rPr>
      </w:pPr>
      <w:r w:rsidRPr="00CD55D6">
        <w:rPr>
          <w:lang w:val="de-AT"/>
        </w:rPr>
        <w:t xml:space="preserve">Egner, M.T., Riehm, H. &amp; Domingo, W.R. </w:t>
      </w:r>
      <w:r w:rsidR="0081645E">
        <w:rPr>
          <w:lang w:val="de-AT"/>
        </w:rPr>
        <w:t>(</w:t>
      </w:r>
      <w:r w:rsidRPr="00CD55D6">
        <w:rPr>
          <w:lang w:val="de-AT"/>
        </w:rPr>
        <w:t>1960</w:t>
      </w:r>
      <w:r w:rsidR="0081645E">
        <w:rPr>
          <w:lang w:val="de-AT"/>
        </w:rPr>
        <w:t>)</w:t>
      </w:r>
      <w:r w:rsidRPr="00CD55D6">
        <w:rPr>
          <w:lang w:val="de-AT"/>
        </w:rPr>
        <w:t xml:space="preserve">. </w:t>
      </w:r>
      <w:r w:rsidRPr="00261BB8">
        <w:rPr>
          <w:lang w:val="de-DE"/>
        </w:rPr>
        <w:t xml:space="preserve">Untersuchungen uber die chemishe boden-analyse als grundlage fur die beurteilung des nahrsoffzustandes der boden. II. Chemiche extraktionsmethoden zur phosphor und kalimbestimmung </w:t>
      </w:r>
      <w:proofErr w:type="gramStart"/>
      <w:r w:rsidRPr="00261BB8">
        <w:rPr>
          <w:lang w:val="de-DE"/>
        </w:rPr>
        <w:t>kungl.Lantbrukshoegskolans</w:t>
      </w:r>
      <w:proofErr w:type="gramEnd"/>
      <w:r w:rsidRPr="00261BB8">
        <w:rPr>
          <w:lang w:val="de-DE"/>
        </w:rPr>
        <w:t xml:space="preserve"> Annales, 26</w:t>
      </w:r>
      <w:r w:rsidR="00697FCD">
        <w:rPr>
          <w:lang w:val="de-DE"/>
        </w:rPr>
        <w:t>:</w:t>
      </w:r>
      <w:r w:rsidRPr="00261BB8">
        <w:rPr>
          <w:lang w:val="de-DE"/>
        </w:rPr>
        <w:t xml:space="preserve"> 199–215.</w:t>
      </w:r>
    </w:p>
    <w:p w14:paraId="7CC8B25C" w14:textId="45EC12F2" w:rsidR="00545516" w:rsidRPr="00261BB8" w:rsidRDefault="00545516" w:rsidP="00C410A7">
      <w:pPr>
        <w:pStyle w:val="EEALiterature"/>
        <w:rPr>
          <w:lang w:val="nl-NL"/>
        </w:rPr>
      </w:pPr>
      <w:r w:rsidRPr="00261BB8">
        <w:rPr>
          <w:lang w:val="nl-NL"/>
        </w:rPr>
        <w:t xml:space="preserve">Ehlert, P., C. van der Salm, S. Burgers, J. van Middelkoop, W. van Dijk, R. van der Maas, A. Pronk, H. van Reuler, G. Koopmans </w:t>
      </w:r>
      <w:r w:rsidR="0081645E">
        <w:rPr>
          <w:lang w:val="nl-NL"/>
        </w:rPr>
        <w:t>and</w:t>
      </w:r>
      <w:r w:rsidRPr="00261BB8">
        <w:rPr>
          <w:lang w:val="nl-NL"/>
        </w:rPr>
        <w:t xml:space="preserve"> W. Chardon</w:t>
      </w:r>
      <w:r w:rsidR="0081645E">
        <w:rPr>
          <w:lang w:val="nl-NL"/>
        </w:rPr>
        <w:t xml:space="preserve"> (</w:t>
      </w:r>
      <w:r w:rsidRPr="00261BB8">
        <w:rPr>
          <w:lang w:val="nl-NL"/>
        </w:rPr>
        <w:t>2004</w:t>
      </w:r>
      <w:r w:rsidR="0081645E">
        <w:rPr>
          <w:lang w:val="nl-NL"/>
        </w:rPr>
        <w:t>)</w:t>
      </w:r>
      <w:r w:rsidRPr="00261BB8">
        <w:rPr>
          <w:lang w:val="nl-NL"/>
        </w:rPr>
        <w:t>. Fosfaatklassen voor fosfaatgebruiksnormen van de Meststoffenwet. Landbouwkundige en milieuhygiënische aspecten in samenhang. Alterra-rapport 2499, 96 pp.</w:t>
      </w:r>
    </w:p>
    <w:p w14:paraId="7261B121" w14:textId="0636AC42" w:rsidR="00743C70" w:rsidRDefault="00743C70" w:rsidP="00C410A7">
      <w:pPr>
        <w:pStyle w:val="EEALiterature"/>
        <w:rPr>
          <w:lang w:val="nl-NL"/>
        </w:rPr>
      </w:pPr>
      <w:r w:rsidRPr="00743C70">
        <w:rPr>
          <w:lang w:val="nl-NL"/>
        </w:rPr>
        <w:t>Elser, J.J., M.E.S. Bracken, E.E. Cleland, D.S. Gruner, W.S. Harpole, H. Hillebrand, J.T. Ngai, E.W. Seabloom, J.B. Shurin &amp; J.E. Smith</w:t>
      </w:r>
      <w:r w:rsidR="0081645E">
        <w:rPr>
          <w:lang w:val="nl-NL"/>
        </w:rPr>
        <w:t xml:space="preserve"> (</w:t>
      </w:r>
      <w:r w:rsidRPr="00743C70">
        <w:rPr>
          <w:lang w:val="nl-NL"/>
        </w:rPr>
        <w:t>2007</w:t>
      </w:r>
      <w:r w:rsidR="0081645E">
        <w:rPr>
          <w:lang w:val="nl-NL"/>
        </w:rPr>
        <w:t>)</w:t>
      </w:r>
      <w:r w:rsidRPr="00743C70">
        <w:rPr>
          <w:lang w:val="nl-NL"/>
        </w:rPr>
        <w:t>. Global analysis of nitrogen and phosphorus limitation of primary producers in freshwater, marine and terrestrial ecosystems. Ecol. Lett. 10 (12)</w:t>
      </w:r>
      <w:r w:rsidR="00697FCD">
        <w:rPr>
          <w:lang w:val="nl-NL"/>
        </w:rPr>
        <w:t>:</w:t>
      </w:r>
      <w:r w:rsidRPr="00743C70">
        <w:rPr>
          <w:lang w:val="nl-NL"/>
        </w:rPr>
        <w:t xml:space="preserve"> 1135-1142.</w:t>
      </w:r>
    </w:p>
    <w:p w14:paraId="3C0C01DB" w14:textId="2C9A41BF" w:rsidR="00331CCA" w:rsidRDefault="00331CCA" w:rsidP="00C410A7">
      <w:pPr>
        <w:pStyle w:val="EEALiterature"/>
        <w:rPr>
          <w:lang w:val="nl-NL"/>
        </w:rPr>
      </w:pPr>
      <w:r w:rsidRPr="00331CCA">
        <w:rPr>
          <w:lang w:val="nl-NL"/>
        </w:rPr>
        <w:t>Erisman, J.W. &amp; W. de Vries</w:t>
      </w:r>
      <w:r w:rsidR="0081645E">
        <w:rPr>
          <w:lang w:val="nl-NL"/>
        </w:rPr>
        <w:t xml:space="preserve"> (</w:t>
      </w:r>
      <w:r w:rsidRPr="00331CCA">
        <w:rPr>
          <w:lang w:val="nl-NL"/>
        </w:rPr>
        <w:t>2000</w:t>
      </w:r>
      <w:r w:rsidR="0081645E">
        <w:rPr>
          <w:lang w:val="nl-NL"/>
        </w:rPr>
        <w:t>)</w:t>
      </w:r>
      <w:r w:rsidRPr="00331CCA">
        <w:rPr>
          <w:lang w:val="nl-NL"/>
        </w:rPr>
        <w:t>. Nitrogen deposition and effects on European forests. Environmental Reviews 8 (2)</w:t>
      </w:r>
      <w:r w:rsidR="00697FCD">
        <w:rPr>
          <w:lang w:val="nl-NL"/>
        </w:rPr>
        <w:t>:</w:t>
      </w:r>
      <w:r w:rsidRPr="00331CCA">
        <w:rPr>
          <w:lang w:val="nl-NL"/>
        </w:rPr>
        <w:t xml:space="preserve"> 65-93.</w:t>
      </w:r>
    </w:p>
    <w:p w14:paraId="3A6F6CE2" w14:textId="0EFDDCCB" w:rsidR="00545516" w:rsidRPr="00261BB8" w:rsidRDefault="00545516" w:rsidP="00C410A7">
      <w:pPr>
        <w:pStyle w:val="EEALiterature"/>
      </w:pPr>
      <w:r w:rsidRPr="00261BB8">
        <w:rPr>
          <w:lang w:val="nl-NL"/>
        </w:rPr>
        <w:t xml:space="preserve">Erisman, J.W., Leach, A., Bird, T., Paton, W., Tokuchi, N., Greaver, T., Johansson, M., Perez, T., Agboola, J.I., Awodun, M.A., Hogbom, L., Goodale, C., Adams, M., Ahmetaj, L., Sharma, Y.B., de Vries, W., Dias, T., Alard, D., Emmett, B., Rao, N., Plesnik, J., Bareham, S., Jarvis, P., Bull, K., Harmens, H., Whitfield, C., Masters, Z., McClean, C., S. Schmidt, Austin, A., Davidson, E., Cornell, S. and Bleeker, A. (2014). </w:t>
      </w:r>
      <w:r w:rsidRPr="00261BB8">
        <w:t>Nitrogen deposition effects on ecosystem services and interactions with other pollutants and climate change In M. A. Sutton et al. (eds.) Nitrogen deposition, Critical loads and Biodiversity. Chapter 51, 493-505): Springer.</w:t>
      </w:r>
    </w:p>
    <w:p w14:paraId="5FB0DE82" w14:textId="478089E2" w:rsidR="00545516" w:rsidRPr="00CD55D6" w:rsidRDefault="00545516" w:rsidP="00C410A7">
      <w:pPr>
        <w:pStyle w:val="EEALiterature"/>
        <w:rPr>
          <w:lang w:val="de-AT"/>
        </w:rPr>
      </w:pPr>
      <w:r w:rsidRPr="00261BB8">
        <w:rPr>
          <w:lang w:val="en-US"/>
        </w:rPr>
        <w:t xml:space="preserve">Gundersen, P., Callesen, I. &amp; de Vries, W. (1998). </w:t>
      </w:r>
      <w:r w:rsidRPr="00261BB8">
        <w:t xml:space="preserve">Nitrate leaching in forest ecosystems is related to forest floor C/N ratios. </w:t>
      </w:r>
      <w:r w:rsidRPr="00CD55D6">
        <w:rPr>
          <w:lang w:val="de-AT"/>
        </w:rPr>
        <w:t>Environ. Pollut. 102</w:t>
      </w:r>
      <w:r w:rsidR="00697FCD">
        <w:rPr>
          <w:lang w:val="de-AT"/>
        </w:rPr>
        <w:t>:</w:t>
      </w:r>
      <w:r w:rsidRPr="00CD55D6">
        <w:rPr>
          <w:lang w:val="de-AT"/>
        </w:rPr>
        <w:t xml:space="preserve"> 403-407.</w:t>
      </w:r>
    </w:p>
    <w:p w14:paraId="1F551B36" w14:textId="6D74FF95" w:rsidR="00545516" w:rsidRPr="00261BB8" w:rsidRDefault="00545516" w:rsidP="00C410A7">
      <w:pPr>
        <w:pStyle w:val="EEALiterature"/>
      </w:pPr>
      <w:r w:rsidRPr="00CD55D6">
        <w:rPr>
          <w:lang w:val="de-AT"/>
        </w:rPr>
        <w:t xml:space="preserve">Gundersen, P., Schmidt, I. K. &amp; Raulund-Rasmussen, K. (2006). </w:t>
      </w:r>
      <w:r w:rsidRPr="00261BB8">
        <w:t>Leaching of nitrate from temperate forests – effects of air pollution and forest management. Environmental Reviews 14</w:t>
      </w:r>
      <w:r w:rsidR="00697FCD">
        <w:t>:</w:t>
      </w:r>
      <w:r w:rsidRPr="00261BB8">
        <w:t xml:space="preserve"> 1-57.</w:t>
      </w:r>
    </w:p>
    <w:p w14:paraId="1F01B55F" w14:textId="302DFE3A" w:rsidR="00545516" w:rsidRPr="00261BB8" w:rsidRDefault="00545516" w:rsidP="00C410A7">
      <w:pPr>
        <w:pStyle w:val="EEALiterature"/>
      </w:pPr>
      <w:r w:rsidRPr="00261BB8">
        <w:t>Heckrath G, Brookes PC, Poulton PR, Boulding KWT (1995). Phosphorus leaching from soils containing different phosphorus concentrations in the Broadbalk experiment. J Environ Qual 24:</w:t>
      </w:r>
      <w:r w:rsidR="00697FCD">
        <w:t xml:space="preserve"> </w:t>
      </w:r>
      <w:r w:rsidRPr="00261BB8">
        <w:t xml:space="preserve">904–910 </w:t>
      </w:r>
    </w:p>
    <w:p w14:paraId="1F97AD51" w14:textId="6A96A467" w:rsidR="00545516" w:rsidRPr="00261BB8" w:rsidRDefault="00545516" w:rsidP="00C410A7">
      <w:pPr>
        <w:pStyle w:val="EEALiterature"/>
      </w:pPr>
      <w:r w:rsidRPr="00261BB8">
        <w:t>Hesketh N, Brookes PC (2000)</w:t>
      </w:r>
      <w:r w:rsidR="00697FCD">
        <w:t>.</w:t>
      </w:r>
      <w:r w:rsidRPr="00261BB8">
        <w:t xml:space="preserve"> Development of an indicator for risk of phosphorus leaching. J Environ Qual 29:105–110 \</w:t>
      </w:r>
    </w:p>
    <w:p w14:paraId="18E0D1EC" w14:textId="0B36BFBB" w:rsidR="00545516" w:rsidRPr="00261BB8" w:rsidRDefault="00545516" w:rsidP="00C410A7">
      <w:pPr>
        <w:pStyle w:val="EEALiterature"/>
      </w:pPr>
      <w:r w:rsidRPr="00261BB8">
        <w:t>Hart, M and B. F. Quin</w:t>
      </w:r>
      <w:r w:rsidR="0081645E">
        <w:t xml:space="preserve"> (</w:t>
      </w:r>
      <w:r w:rsidRPr="00261BB8">
        <w:t>2004</w:t>
      </w:r>
      <w:r w:rsidR="0081645E">
        <w:t>)</w:t>
      </w:r>
      <w:r w:rsidRPr="00261BB8">
        <w:t>. Phosphorus runoff from Agricultural Land and Direct Fertilizer Effects.  Journal of Environmental Quality, 33(6), pp. 1954-1972, 2004.</w:t>
      </w:r>
    </w:p>
    <w:p w14:paraId="34CD789E" w14:textId="6DEAFA71" w:rsidR="00951CB6" w:rsidRDefault="00951CB6" w:rsidP="00C410A7">
      <w:pPr>
        <w:pStyle w:val="EEALiterature"/>
      </w:pPr>
      <w:r w:rsidRPr="00C66E1D">
        <w:rPr>
          <w:lang w:val="en-US"/>
        </w:rPr>
        <w:t>Högberg, P., H. Fan, M. Quist, D. Binkley &amp; C.O. Tamm</w:t>
      </w:r>
      <w:r w:rsidR="0081645E" w:rsidRPr="00C66E1D">
        <w:rPr>
          <w:lang w:val="en-US"/>
        </w:rPr>
        <w:t xml:space="preserve"> (</w:t>
      </w:r>
      <w:r w:rsidRPr="00C66E1D">
        <w:rPr>
          <w:lang w:val="en-US"/>
        </w:rPr>
        <w:t>2006</w:t>
      </w:r>
      <w:r w:rsidR="0081645E" w:rsidRPr="00C66E1D">
        <w:rPr>
          <w:lang w:val="en-US"/>
        </w:rPr>
        <w:t>)</w:t>
      </w:r>
      <w:r w:rsidRPr="00C66E1D">
        <w:rPr>
          <w:lang w:val="en-US"/>
        </w:rPr>
        <w:t xml:space="preserve">. </w:t>
      </w:r>
      <w:r w:rsidRPr="00951CB6">
        <w:t>Tree growth and soil acidification in response to 30 years of experimental nitrogen loading on boreal forest. Glob. Change Biol. 12 (3)</w:t>
      </w:r>
      <w:r w:rsidR="00697FCD">
        <w:t>:</w:t>
      </w:r>
      <w:r w:rsidRPr="00951CB6">
        <w:t xml:space="preserve"> 489-499.</w:t>
      </w:r>
    </w:p>
    <w:p w14:paraId="03E207E1" w14:textId="7EAB67E9" w:rsidR="00545516" w:rsidRPr="00261BB8" w:rsidRDefault="00545516" w:rsidP="00C410A7">
      <w:pPr>
        <w:pStyle w:val="EEALiterature"/>
      </w:pPr>
      <w:r w:rsidRPr="00261BB8">
        <w:t>Johansson, J.F., L.R. Paul &amp; R.D. Finlay</w:t>
      </w:r>
      <w:r w:rsidR="0081645E">
        <w:t xml:space="preserve"> (</w:t>
      </w:r>
      <w:r w:rsidRPr="00261BB8">
        <w:t>2004</w:t>
      </w:r>
      <w:r w:rsidR="0081645E">
        <w:t>)</w:t>
      </w:r>
      <w:r w:rsidRPr="00261BB8">
        <w:t>. Microbial interactions in the mycorrhizosphere and their significance for sustainable agriculture. FEMS Microbiol. Ecol. 48</w:t>
      </w:r>
      <w:r w:rsidR="00697FCD">
        <w:t>:</w:t>
      </w:r>
      <w:r w:rsidRPr="00261BB8">
        <w:t xml:space="preserve"> 1-13.</w:t>
      </w:r>
    </w:p>
    <w:p w14:paraId="1154FE9C" w14:textId="0829C114" w:rsidR="00545516" w:rsidRPr="00261BB8" w:rsidRDefault="00545516" w:rsidP="00C410A7">
      <w:pPr>
        <w:pStyle w:val="EEALiterature"/>
      </w:pPr>
      <w:r w:rsidRPr="00261BB8">
        <w:t>Jordan‐Meille, L., Rubæk, G.H., Ehlert, P., Genot, V., Hofman, G., Goulding, K., Recknagel, J., Provolo, G., Barraclough, P. (2012)</w:t>
      </w:r>
      <w:r w:rsidR="00697FCD">
        <w:t>.</w:t>
      </w:r>
      <w:r w:rsidRPr="00261BB8">
        <w:t xml:space="preserve"> An overview of fertilizer‐P recommendations in Europe: soil testing, calibration and fertilizer recommendations. Soil Use and Management 28</w:t>
      </w:r>
      <w:r w:rsidR="00697FCD">
        <w:t>:</w:t>
      </w:r>
      <w:r w:rsidRPr="00261BB8">
        <w:t xml:space="preserve"> 419-435.</w:t>
      </w:r>
    </w:p>
    <w:p w14:paraId="04B85F2C" w14:textId="5B84864A" w:rsidR="00545516" w:rsidRPr="00261BB8" w:rsidRDefault="00545516" w:rsidP="00C410A7">
      <w:pPr>
        <w:pStyle w:val="EEALiterature"/>
        <w:rPr>
          <w:lang w:val="en-US"/>
        </w:rPr>
      </w:pPr>
      <w:r w:rsidRPr="00261BB8">
        <w:rPr>
          <w:lang w:val="en-US"/>
        </w:rPr>
        <w:t xml:space="preserve">Joret, G. &amp; Hebert, J. </w:t>
      </w:r>
      <w:r w:rsidR="0081645E">
        <w:rPr>
          <w:lang w:val="en-US"/>
        </w:rPr>
        <w:t>(</w:t>
      </w:r>
      <w:r w:rsidRPr="00261BB8">
        <w:rPr>
          <w:lang w:val="en-US"/>
        </w:rPr>
        <w:t>1955</w:t>
      </w:r>
      <w:r w:rsidR="0081645E">
        <w:rPr>
          <w:lang w:val="en-US"/>
        </w:rPr>
        <w:t>)</w:t>
      </w:r>
      <w:r w:rsidRPr="00261BB8">
        <w:rPr>
          <w:lang w:val="en-US"/>
        </w:rPr>
        <w:t>. Contribution a` la de´termination du besoin des sols en acide phosphorique. Annals of Agronomy 2</w:t>
      </w:r>
      <w:r w:rsidR="00697FCD">
        <w:rPr>
          <w:lang w:val="en-US"/>
        </w:rPr>
        <w:t>:</w:t>
      </w:r>
      <w:r w:rsidRPr="00261BB8">
        <w:rPr>
          <w:lang w:val="en-US"/>
        </w:rPr>
        <w:t xml:space="preserve"> 233–299.</w:t>
      </w:r>
    </w:p>
    <w:p w14:paraId="3027CCD0" w14:textId="74B4FF4B" w:rsidR="00545516" w:rsidRPr="00261BB8" w:rsidRDefault="00545516" w:rsidP="00C410A7">
      <w:pPr>
        <w:pStyle w:val="EEALiterature"/>
        <w:rPr>
          <w:lang w:val="de-DE"/>
        </w:rPr>
      </w:pPr>
      <w:r w:rsidRPr="00261BB8">
        <w:rPr>
          <w:lang w:val="en-US"/>
        </w:rPr>
        <w:t xml:space="preserve">Krupa, S.V. (2003). Effects of atmospheric ammonia (NH3) on terrestrial vegetation: a review. </w:t>
      </w:r>
      <w:r w:rsidRPr="00261BB8">
        <w:rPr>
          <w:lang w:val="de-DE"/>
        </w:rPr>
        <w:t>Environmental Pollution 124</w:t>
      </w:r>
      <w:r w:rsidR="00697FCD">
        <w:rPr>
          <w:lang w:val="de-DE"/>
        </w:rPr>
        <w:t>:</w:t>
      </w:r>
      <w:r w:rsidRPr="00261BB8">
        <w:rPr>
          <w:lang w:val="de-DE"/>
        </w:rPr>
        <w:t xml:space="preserve"> 179-221.</w:t>
      </w:r>
    </w:p>
    <w:p w14:paraId="01E91963" w14:textId="00DF7EB0" w:rsidR="00545516" w:rsidRDefault="00545516" w:rsidP="00C410A7">
      <w:pPr>
        <w:pStyle w:val="EEALiterature"/>
        <w:rPr>
          <w:lang w:val="de-DE"/>
        </w:rPr>
      </w:pPr>
      <w:r w:rsidRPr="00261BB8">
        <w:rPr>
          <w:lang w:val="de-DE"/>
        </w:rPr>
        <w:t>Jungk, A., N. Claassenz, V. Schulzl and J. Wend</w:t>
      </w:r>
      <w:r w:rsidR="0081645E">
        <w:rPr>
          <w:lang w:val="de-DE"/>
        </w:rPr>
        <w:t xml:space="preserve"> (</w:t>
      </w:r>
      <w:r w:rsidRPr="00261BB8">
        <w:rPr>
          <w:lang w:val="de-DE"/>
        </w:rPr>
        <w:t>1993</w:t>
      </w:r>
      <w:r w:rsidR="0081645E">
        <w:rPr>
          <w:lang w:val="de-DE"/>
        </w:rPr>
        <w:t>)</w:t>
      </w:r>
      <w:r w:rsidRPr="00261BB8">
        <w:rPr>
          <w:lang w:val="de-DE"/>
        </w:rPr>
        <w:t>. Pflanzenverfugbarkeit der Phosphatvorrate ackerbaulich genutzter Boden-Langfristige Feldversuche zur Nutzbarkeit des Bodenphosphors und zur Bewertung der Bodenuntersuchung. Z. Pflanzenernahr. Bodenk.: 156</w:t>
      </w:r>
      <w:r w:rsidR="00697FCD">
        <w:rPr>
          <w:lang w:val="de-DE"/>
        </w:rPr>
        <w:t xml:space="preserve">: </w:t>
      </w:r>
      <w:r w:rsidRPr="00261BB8">
        <w:rPr>
          <w:lang w:val="de-DE"/>
        </w:rPr>
        <w:t>397-406.</w:t>
      </w:r>
    </w:p>
    <w:p w14:paraId="667FABED" w14:textId="3063781A" w:rsidR="00545516" w:rsidRPr="00023D0E" w:rsidRDefault="00545516" w:rsidP="00C410A7">
      <w:pPr>
        <w:pStyle w:val="EEALiterature"/>
        <w:rPr>
          <w:lang w:val="en-US"/>
        </w:rPr>
      </w:pPr>
      <w:r w:rsidRPr="00023D0E">
        <w:rPr>
          <w:lang w:val="de-DE"/>
        </w:rPr>
        <w:t xml:space="preserve">Lang, F., J. Bauhus, E. Frossard, E. George, K. Kaiser, M. Kaupenjohann, J. Krüger, E. Matzner, A. Polle, J. Prietzel, H. Rennenberg and N. Wellbrock (2016). </w:t>
      </w:r>
      <w:r w:rsidRPr="00023D0E">
        <w:rPr>
          <w:lang w:val="en-US"/>
        </w:rPr>
        <w:t xml:space="preserve">Phosphorus in forest </w:t>
      </w:r>
      <w:proofErr w:type="gramStart"/>
      <w:r w:rsidRPr="00023D0E">
        <w:rPr>
          <w:lang w:val="en-US"/>
        </w:rPr>
        <w:t>ecosystems :</w:t>
      </w:r>
      <w:proofErr w:type="gramEnd"/>
      <w:r w:rsidRPr="00023D0E">
        <w:rPr>
          <w:lang w:val="en-US"/>
        </w:rPr>
        <w:t xml:space="preserve"> New insights from an ecosystem nutrition perspective. Journal of Plant Nutrition and Soil Science. Vol. 179 (2): 129-135. ISSN 1436-8730, DOI: </w:t>
      </w:r>
      <w:hyperlink r:id="rId70" w:history="1">
        <w:r w:rsidR="00023D0E" w:rsidRPr="00023D0E">
          <w:rPr>
            <w:rStyle w:val="Hyperlink"/>
            <w:lang w:val="en-US"/>
          </w:rPr>
          <w:t>https://doi.org/10.1002/jpln.201500541</w:t>
        </w:r>
      </w:hyperlink>
    </w:p>
    <w:p w14:paraId="4AF38F72" w14:textId="62DDE164" w:rsidR="00545516" w:rsidRPr="00261BB8" w:rsidRDefault="00545516" w:rsidP="00C410A7">
      <w:pPr>
        <w:pStyle w:val="EEALiterature"/>
      </w:pPr>
      <w:r w:rsidRPr="00F6629C">
        <w:rPr>
          <w:lang w:val="de-DE"/>
        </w:rPr>
        <w:lastRenderedPageBreak/>
        <w:t>Li</w:t>
      </w:r>
      <w:r w:rsidR="002E1DBC" w:rsidRPr="00F6629C">
        <w:rPr>
          <w:lang w:val="de-DE"/>
        </w:rPr>
        <w:t>,</w:t>
      </w:r>
      <w:r w:rsidRPr="00F6629C">
        <w:rPr>
          <w:lang w:val="de-DE"/>
        </w:rPr>
        <w:t xml:space="preserve"> H</w:t>
      </w:r>
      <w:r w:rsidR="002E1DBC" w:rsidRPr="00F6629C">
        <w:rPr>
          <w:lang w:val="de-DE"/>
        </w:rPr>
        <w:t>.</w:t>
      </w:r>
      <w:r w:rsidRPr="00F6629C">
        <w:rPr>
          <w:lang w:val="de-DE"/>
        </w:rPr>
        <w:t xml:space="preserve">, </w:t>
      </w:r>
      <w:r w:rsidR="00F6629C" w:rsidRPr="00F6629C">
        <w:rPr>
          <w:lang w:val="de-DE"/>
        </w:rPr>
        <w:t xml:space="preserve">G. </w:t>
      </w:r>
      <w:r w:rsidRPr="00F6629C">
        <w:rPr>
          <w:lang w:val="de-DE"/>
        </w:rPr>
        <w:t xml:space="preserve">Huang, </w:t>
      </w:r>
      <w:r w:rsidR="00F6629C" w:rsidRPr="00F6629C">
        <w:rPr>
          <w:lang w:val="de-DE"/>
        </w:rPr>
        <w:t xml:space="preserve">Q. </w:t>
      </w:r>
      <w:r w:rsidRPr="00F6629C">
        <w:rPr>
          <w:lang w:val="de-DE"/>
        </w:rPr>
        <w:t xml:space="preserve">Meng, </w:t>
      </w:r>
      <w:r w:rsidR="00F6629C" w:rsidRPr="00F6629C">
        <w:rPr>
          <w:lang w:val="de-DE"/>
        </w:rPr>
        <w:t xml:space="preserve">L. </w:t>
      </w:r>
      <w:r w:rsidRPr="00F6629C">
        <w:rPr>
          <w:lang w:val="de-DE"/>
        </w:rPr>
        <w:t xml:space="preserve">Ma, </w:t>
      </w:r>
      <w:r w:rsidR="00F6629C" w:rsidRPr="00F6629C">
        <w:rPr>
          <w:lang w:val="de-DE"/>
        </w:rPr>
        <w:t xml:space="preserve">L. </w:t>
      </w:r>
      <w:r w:rsidRPr="00F6629C">
        <w:rPr>
          <w:lang w:val="de-DE"/>
        </w:rPr>
        <w:t xml:space="preserve">Yuan, </w:t>
      </w:r>
      <w:r w:rsidR="00F6629C" w:rsidRPr="00F6629C">
        <w:rPr>
          <w:lang w:val="de-DE"/>
        </w:rPr>
        <w:t xml:space="preserve">F. </w:t>
      </w:r>
      <w:r w:rsidRPr="00F6629C">
        <w:rPr>
          <w:lang w:val="de-DE"/>
        </w:rPr>
        <w:t xml:space="preserve">Wang, </w:t>
      </w:r>
      <w:r w:rsidR="00F6629C">
        <w:rPr>
          <w:lang w:val="de-DE"/>
        </w:rPr>
        <w:t xml:space="preserve">W. </w:t>
      </w:r>
      <w:r w:rsidRPr="00F6629C">
        <w:rPr>
          <w:lang w:val="de-DE"/>
        </w:rPr>
        <w:t xml:space="preserve">Zhang, </w:t>
      </w:r>
      <w:r w:rsidR="00F6629C">
        <w:rPr>
          <w:lang w:val="de-DE"/>
        </w:rPr>
        <w:t xml:space="preserve">Z. </w:t>
      </w:r>
      <w:r w:rsidRPr="00F6629C">
        <w:rPr>
          <w:lang w:val="de-DE"/>
        </w:rPr>
        <w:t xml:space="preserve">Cui, </w:t>
      </w:r>
      <w:r w:rsidR="00F6629C">
        <w:rPr>
          <w:lang w:val="de-DE"/>
        </w:rPr>
        <w:t xml:space="preserve">J. </w:t>
      </w:r>
      <w:r w:rsidRPr="00F6629C">
        <w:rPr>
          <w:lang w:val="de-DE"/>
        </w:rPr>
        <w:t xml:space="preserve">Shen, </w:t>
      </w:r>
      <w:r w:rsidR="00F6629C">
        <w:rPr>
          <w:lang w:val="de-DE"/>
        </w:rPr>
        <w:t xml:space="preserve">X. </w:t>
      </w:r>
      <w:r w:rsidRPr="00F6629C">
        <w:rPr>
          <w:lang w:val="de-DE"/>
        </w:rPr>
        <w:t xml:space="preserve">Chen, </w:t>
      </w:r>
      <w:r w:rsidR="00F6629C">
        <w:rPr>
          <w:lang w:val="de-DE"/>
        </w:rPr>
        <w:t xml:space="preserve">R. </w:t>
      </w:r>
      <w:r w:rsidRPr="00F6629C">
        <w:rPr>
          <w:lang w:val="de-DE"/>
        </w:rPr>
        <w:t>Jiang</w:t>
      </w:r>
      <w:r w:rsidR="00F6629C">
        <w:rPr>
          <w:lang w:val="de-DE"/>
        </w:rPr>
        <w:t xml:space="preserve"> and F. </w:t>
      </w:r>
      <w:r w:rsidRPr="00F6629C">
        <w:rPr>
          <w:lang w:val="de-DE"/>
        </w:rPr>
        <w:t>Zhang (2011)</w:t>
      </w:r>
      <w:r w:rsidR="002E1DBC" w:rsidRPr="00F6629C">
        <w:rPr>
          <w:lang w:val="de-DE"/>
        </w:rPr>
        <w:t>.</w:t>
      </w:r>
      <w:r w:rsidRPr="00F6629C">
        <w:rPr>
          <w:lang w:val="de-DE"/>
        </w:rPr>
        <w:t xml:space="preserve"> </w:t>
      </w:r>
      <w:r w:rsidRPr="00261BB8">
        <w:rPr>
          <w:lang w:val="en-US"/>
        </w:rPr>
        <w:t xml:space="preserve">Integrated soil and plant phosphorus management for crop and environment in China. </w:t>
      </w:r>
      <w:r w:rsidRPr="00261BB8">
        <w:t>A review. Plant Soil 349:</w:t>
      </w:r>
      <w:r w:rsidR="00F6629C">
        <w:t xml:space="preserve"> </w:t>
      </w:r>
      <w:r w:rsidRPr="00261BB8">
        <w:t xml:space="preserve">157–167. </w:t>
      </w:r>
    </w:p>
    <w:p w14:paraId="7CD2EBEA" w14:textId="1A8A02A2" w:rsidR="00545516" w:rsidRPr="00261BB8" w:rsidRDefault="00545516" w:rsidP="00C410A7">
      <w:pPr>
        <w:pStyle w:val="EEALiterature"/>
        <w:rPr>
          <w:lang w:val="en-US"/>
        </w:rPr>
      </w:pPr>
      <w:r w:rsidRPr="00C66E1D">
        <w:rPr>
          <w:lang w:val="en-US"/>
        </w:rPr>
        <w:t>Liu</w:t>
      </w:r>
      <w:r w:rsidR="002E1DBC" w:rsidRPr="00C66E1D">
        <w:rPr>
          <w:lang w:val="en-US"/>
        </w:rPr>
        <w:t>,</w:t>
      </w:r>
      <w:r w:rsidRPr="00C66E1D">
        <w:rPr>
          <w:lang w:val="en-US"/>
        </w:rPr>
        <w:t xml:space="preserve"> C</w:t>
      </w:r>
      <w:r w:rsidR="002E1DBC" w:rsidRPr="00C66E1D">
        <w:rPr>
          <w:lang w:val="en-US"/>
        </w:rPr>
        <w:t>.</w:t>
      </w:r>
      <w:r w:rsidRPr="00C66E1D">
        <w:rPr>
          <w:lang w:val="en-US"/>
        </w:rPr>
        <w:t xml:space="preserve">, </w:t>
      </w:r>
      <w:r w:rsidR="002E1DBC" w:rsidRPr="00C66E1D">
        <w:rPr>
          <w:lang w:val="en-US"/>
        </w:rPr>
        <w:t xml:space="preserve">C. </w:t>
      </w:r>
      <w:r w:rsidRPr="00C66E1D">
        <w:rPr>
          <w:lang w:val="en-US"/>
        </w:rPr>
        <w:t xml:space="preserve">Kroeze, </w:t>
      </w:r>
      <w:r w:rsidR="002E1DBC" w:rsidRPr="00C66E1D">
        <w:rPr>
          <w:lang w:val="en-US"/>
        </w:rPr>
        <w:t xml:space="preserve">A.Y. </w:t>
      </w:r>
      <w:r w:rsidRPr="00C66E1D">
        <w:rPr>
          <w:lang w:val="en-US"/>
        </w:rPr>
        <w:t>Hoekstra</w:t>
      </w:r>
      <w:r w:rsidR="00F6629C" w:rsidRPr="00C66E1D">
        <w:rPr>
          <w:lang w:val="en-US"/>
        </w:rPr>
        <w:t xml:space="preserve"> and W.</w:t>
      </w:r>
      <w:r w:rsidRPr="00C66E1D">
        <w:rPr>
          <w:lang w:val="en-US"/>
        </w:rPr>
        <w:t xml:space="preserve"> Gerbens-Leenes</w:t>
      </w:r>
      <w:r w:rsidR="0081645E" w:rsidRPr="00C66E1D">
        <w:rPr>
          <w:lang w:val="en-US"/>
        </w:rPr>
        <w:t xml:space="preserve"> (</w:t>
      </w:r>
      <w:r w:rsidRPr="00C66E1D">
        <w:rPr>
          <w:lang w:val="en-US"/>
        </w:rPr>
        <w:t>2011</w:t>
      </w:r>
      <w:r w:rsidR="0081645E" w:rsidRPr="00C66E1D">
        <w:rPr>
          <w:lang w:val="en-US"/>
        </w:rPr>
        <w:t>)</w:t>
      </w:r>
      <w:r w:rsidRPr="00C66E1D">
        <w:rPr>
          <w:lang w:val="en-US"/>
        </w:rPr>
        <w:t xml:space="preserve">. </w:t>
      </w:r>
      <w:r w:rsidRPr="00261BB8">
        <w:rPr>
          <w:lang w:val="en-US"/>
        </w:rPr>
        <w:t>Past and future trends in grey water footprints of anthropogenic nitrogen and phosphorus inputs to major world rivers. Ecological Indicators 18: 42-49.</w:t>
      </w:r>
    </w:p>
    <w:p w14:paraId="42B1789A" w14:textId="6229A6AF" w:rsidR="00545516" w:rsidRPr="00261BB8" w:rsidRDefault="00545516" w:rsidP="00C410A7">
      <w:pPr>
        <w:pStyle w:val="EEALiterature"/>
      </w:pPr>
      <w:r w:rsidRPr="00CD55D6">
        <w:rPr>
          <w:lang w:val="en-US"/>
        </w:rPr>
        <w:t xml:space="preserve">MacDonald, J. A., Dise, N. B., Matzner, E., Armbruster, M., Gundersen, P. &amp; Forsius, M. (2002). </w:t>
      </w:r>
      <w:r w:rsidRPr="00261BB8">
        <w:t>Nitrogen input together with ecosystem nitrogen enrichment predict nitrate leaching from European forests. Glob. Change Biol. 8</w:t>
      </w:r>
      <w:r w:rsidR="002E1DBC">
        <w:t>:</w:t>
      </w:r>
      <w:r w:rsidRPr="00261BB8">
        <w:t xml:space="preserve"> 1028-1033.</w:t>
      </w:r>
    </w:p>
    <w:p w14:paraId="2D6C8AE2" w14:textId="71A74720" w:rsidR="00545516" w:rsidRPr="00261BB8" w:rsidRDefault="00545516" w:rsidP="00C410A7">
      <w:pPr>
        <w:pStyle w:val="EEALiterature"/>
      </w:pPr>
      <w:r w:rsidRPr="00261BB8">
        <w:t>Mallarino</w:t>
      </w:r>
      <w:r w:rsidR="00F6629C">
        <w:t>,</w:t>
      </w:r>
      <w:r w:rsidRPr="00261BB8">
        <w:t xml:space="preserve"> A</w:t>
      </w:r>
      <w:r w:rsidR="00F6629C">
        <w:t>.</w:t>
      </w:r>
      <w:r w:rsidRPr="00261BB8">
        <w:t>P</w:t>
      </w:r>
      <w:r w:rsidR="00F6629C">
        <w:t xml:space="preserve">. and A. M. </w:t>
      </w:r>
      <w:r w:rsidRPr="00261BB8">
        <w:t>Blackmer (1992)</w:t>
      </w:r>
      <w:r w:rsidR="00F6629C">
        <w:t>.</w:t>
      </w:r>
      <w:r w:rsidRPr="00261BB8">
        <w:t xml:space="preserve"> Comparison of methods for determining critical concentrations of soil test phosphorus for corn. Agron J 84:</w:t>
      </w:r>
      <w:r w:rsidR="002E1DBC">
        <w:t xml:space="preserve"> </w:t>
      </w:r>
      <w:r w:rsidRPr="00261BB8">
        <w:t>850–856</w:t>
      </w:r>
    </w:p>
    <w:p w14:paraId="3818B8E6" w14:textId="3CB7E059" w:rsidR="00545516" w:rsidRPr="00261BB8" w:rsidRDefault="00545516" w:rsidP="00C410A7">
      <w:pPr>
        <w:pStyle w:val="EEALiterature"/>
      </w:pPr>
      <w:r w:rsidRPr="00261BB8">
        <w:t>Matzner, E. &amp; Murach, D. (1995). Soil changes induced by air pollutant deposition and their implication for forests in central Europe. Water Air Soil Pollut. 85</w:t>
      </w:r>
      <w:r w:rsidR="002E1DBC">
        <w:t>:</w:t>
      </w:r>
      <w:r w:rsidRPr="00261BB8">
        <w:t xml:space="preserve"> 63-76.</w:t>
      </w:r>
    </w:p>
    <w:p w14:paraId="277A1D42" w14:textId="0CDA1089" w:rsidR="00545516" w:rsidRPr="00261BB8" w:rsidRDefault="00545516" w:rsidP="00C410A7">
      <w:pPr>
        <w:pStyle w:val="EEALiterature"/>
      </w:pPr>
      <w:r w:rsidRPr="00261BB8">
        <w:t xml:space="preserve">Mehlich, A. </w:t>
      </w:r>
      <w:r w:rsidR="0081645E">
        <w:t>(</w:t>
      </w:r>
      <w:r w:rsidRPr="00261BB8">
        <w:t>1984</w:t>
      </w:r>
      <w:r w:rsidR="0081645E">
        <w:t>)</w:t>
      </w:r>
      <w:r w:rsidRPr="00261BB8">
        <w:t>. Mehlich 3 soil test extractant: a modification of Mehlich 2 extractant. Communications in Soil Science and Plant Analysis, 15</w:t>
      </w:r>
      <w:r w:rsidR="0081645E">
        <w:t>:</w:t>
      </w:r>
      <w:r w:rsidRPr="00261BB8">
        <w:t xml:space="preserve"> 1409–1416.</w:t>
      </w:r>
    </w:p>
    <w:p w14:paraId="12C12E51" w14:textId="1D40FADA" w:rsidR="00545516" w:rsidRPr="00261BB8" w:rsidRDefault="00545516" w:rsidP="00C410A7">
      <w:pPr>
        <w:pStyle w:val="EEALiterature"/>
      </w:pPr>
      <w:r w:rsidRPr="00C66E1D">
        <w:rPr>
          <w:lang w:val="en-US"/>
        </w:rPr>
        <w:t>Mellert</w:t>
      </w:r>
      <w:r w:rsidR="00F6629C" w:rsidRPr="00C66E1D">
        <w:rPr>
          <w:lang w:val="en-US"/>
        </w:rPr>
        <w:t>,</w:t>
      </w:r>
      <w:r w:rsidRPr="00C66E1D">
        <w:rPr>
          <w:lang w:val="en-US"/>
        </w:rPr>
        <w:t xml:space="preserve"> K.H. &amp; Göttlein A. (2012)</w:t>
      </w:r>
      <w:r w:rsidR="00697FCD" w:rsidRPr="00C66E1D">
        <w:rPr>
          <w:lang w:val="en-US"/>
        </w:rPr>
        <w:t>.</w:t>
      </w:r>
      <w:r w:rsidRPr="00C66E1D">
        <w:rPr>
          <w:lang w:val="en-US"/>
        </w:rPr>
        <w:t xml:space="preserve"> </w:t>
      </w:r>
      <w:r w:rsidRPr="00261BB8">
        <w:t>Comparison of new foliar nutrient thresholds derived from van den Burg’s literature compilation with established central European references. European Journal of Forest Research 131</w:t>
      </w:r>
      <w:r w:rsidR="002E1DBC">
        <w:t>:</w:t>
      </w:r>
      <w:r w:rsidRPr="00261BB8">
        <w:t xml:space="preserve"> 1461-1472.</w:t>
      </w:r>
    </w:p>
    <w:p w14:paraId="33CAC43E" w14:textId="3E98C11C" w:rsidR="00951CB6" w:rsidRDefault="00951CB6" w:rsidP="00C410A7">
      <w:pPr>
        <w:pStyle w:val="EEALiterature"/>
      </w:pPr>
      <w:r w:rsidRPr="00951CB6">
        <w:t>Newman, E.I.</w:t>
      </w:r>
      <w:r w:rsidR="0081645E">
        <w:t xml:space="preserve"> (</w:t>
      </w:r>
      <w:r w:rsidRPr="00951CB6">
        <w:t>1995</w:t>
      </w:r>
      <w:r w:rsidR="0081645E">
        <w:t>)</w:t>
      </w:r>
      <w:r w:rsidRPr="00951CB6">
        <w:t>. Phosphorus inputs to terrestrial ecosystems. J. Ecol. 83 (4)</w:t>
      </w:r>
      <w:r w:rsidR="0081645E">
        <w:t>:</w:t>
      </w:r>
      <w:r w:rsidRPr="00951CB6">
        <w:t xml:space="preserve"> 713-726.</w:t>
      </w:r>
    </w:p>
    <w:p w14:paraId="181A9BE4" w14:textId="643C60B5" w:rsidR="00545516" w:rsidRPr="00261BB8" w:rsidRDefault="00545516" w:rsidP="00C410A7">
      <w:pPr>
        <w:pStyle w:val="EEALiterature"/>
      </w:pPr>
      <w:r w:rsidRPr="00261BB8">
        <w:t xml:space="preserve">Olsen, S.R., Cole, C.V., Watanabe, F.S. &amp; Dean, L.A. </w:t>
      </w:r>
      <w:r w:rsidR="0081645E">
        <w:t>(</w:t>
      </w:r>
      <w:r w:rsidRPr="00261BB8">
        <w:t>1954</w:t>
      </w:r>
      <w:r w:rsidR="0081645E">
        <w:t>)</w:t>
      </w:r>
      <w:r w:rsidRPr="00261BB8">
        <w:t>. Estimation of available phosphorus in soils by extraction with sodium bicarbonate. USDA Circ. 939. U.S. Gov. Print. Office, Washington DC.</w:t>
      </w:r>
    </w:p>
    <w:p w14:paraId="1579B845" w14:textId="08DCBE20" w:rsidR="00951CB6" w:rsidRPr="00C66E1D" w:rsidRDefault="00951CB6" w:rsidP="00C410A7">
      <w:pPr>
        <w:pStyle w:val="EEALiterature"/>
        <w:rPr>
          <w:lang w:val="de-DE"/>
        </w:rPr>
      </w:pPr>
      <w:r w:rsidRPr="00C66E1D">
        <w:t>Peñuelas, J., B. Poulter, J. Sardans, P. Ciais, M. van der Velde, L. Bopp, O. Boucher, Y. Godderis, P. Hinsinger, J. Llusia, E. Nardin, S. Vicca, M. Obersteiner &amp; I.A. Janssens</w:t>
      </w:r>
      <w:r w:rsidR="0081645E" w:rsidRPr="00C66E1D">
        <w:t xml:space="preserve"> (</w:t>
      </w:r>
      <w:r w:rsidRPr="00C66E1D">
        <w:t>2013</w:t>
      </w:r>
      <w:r w:rsidR="0081645E" w:rsidRPr="00C66E1D">
        <w:t>)</w:t>
      </w:r>
      <w:r w:rsidRPr="00C66E1D">
        <w:t xml:space="preserve">. </w:t>
      </w:r>
      <w:r w:rsidRPr="00951CB6">
        <w:t xml:space="preserve">Human-induced nitrogen-phosphorus imbalances alter ecosystems across the globe. </w:t>
      </w:r>
      <w:r w:rsidRPr="00C66E1D">
        <w:rPr>
          <w:lang w:val="de-DE"/>
        </w:rPr>
        <w:t>Nat. Commun. 4</w:t>
      </w:r>
      <w:r w:rsidR="002E1DBC" w:rsidRPr="00C66E1D">
        <w:rPr>
          <w:lang w:val="de-DE"/>
        </w:rPr>
        <w:t>:</w:t>
      </w:r>
      <w:r w:rsidRPr="00C66E1D">
        <w:rPr>
          <w:lang w:val="de-DE"/>
        </w:rPr>
        <w:t xml:space="preserve"> 2934.</w:t>
      </w:r>
    </w:p>
    <w:p w14:paraId="1BAD1E2C" w14:textId="3E8EB856" w:rsidR="00951CB6" w:rsidRDefault="00951CB6" w:rsidP="00C410A7">
      <w:pPr>
        <w:pStyle w:val="EEALiterature"/>
      </w:pPr>
      <w:r w:rsidRPr="00951CB6">
        <w:rPr>
          <w:lang w:val="de-AT"/>
        </w:rPr>
        <w:t>Rieger, I., I. Kowarik, D. Ziche, N. Wellbrock &amp; A. Cierjacks</w:t>
      </w:r>
      <w:r w:rsidR="002E1DBC">
        <w:rPr>
          <w:lang w:val="de-AT"/>
        </w:rPr>
        <w:t xml:space="preserve"> (</w:t>
      </w:r>
      <w:r w:rsidRPr="00951CB6">
        <w:rPr>
          <w:lang w:val="de-AT"/>
        </w:rPr>
        <w:t>2019</w:t>
      </w:r>
      <w:r w:rsidR="002E1DBC">
        <w:rPr>
          <w:lang w:val="de-AT"/>
        </w:rPr>
        <w:t>)</w:t>
      </w:r>
      <w:r w:rsidRPr="00951CB6">
        <w:rPr>
          <w:lang w:val="de-AT"/>
        </w:rPr>
        <w:t xml:space="preserve">. </w:t>
      </w:r>
      <w:r w:rsidRPr="00951CB6">
        <w:t>Linkages between Phosphorus and Plant Diversity in Central European Forest Ecosystems-Complementarity or Competition? Forests 10 (12)</w:t>
      </w:r>
      <w:r w:rsidR="002E1DBC">
        <w:t>:</w:t>
      </w:r>
      <w:r w:rsidRPr="00951CB6">
        <w:t xml:space="preserve"> 1156.</w:t>
      </w:r>
    </w:p>
    <w:p w14:paraId="270F7361" w14:textId="736E95B1" w:rsidR="00545516" w:rsidRPr="00261BB8" w:rsidRDefault="00545516" w:rsidP="00C410A7">
      <w:pPr>
        <w:pStyle w:val="EEALiterature"/>
      </w:pPr>
      <w:r w:rsidRPr="00261BB8">
        <w:t>Schoumans, O. F.; Chardon, W. J.</w:t>
      </w:r>
      <w:r w:rsidR="002E1DBC">
        <w:t xml:space="preserve"> (</w:t>
      </w:r>
      <w:r w:rsidRPr="00261BB8">
        <w:t>2015</w:t>
      </w:r>
      <w:r w:rsidR="002E1DBC">
        <w:t>)</w:t>
      </w:r>
      <w:r w:rsidRPr="00261BB8">
        <w:t>. Phosphate saturation degree and accumulation of phosphate in various soil types in The Netherlands. Geoderma 237</w:t>
      </w:r>
      <w:r w:rsidR="002E1DBC">
        <w:t>:</w:t>
      </w:r>
      <w:r w:rsidRPr="00261BB8">
        <w:t xml:space="preserve"> 325-335.</w:t>
      </w:r>
    </w:p>
    <w:p w14:paraId="25AF65FA" w14:textId="11359853" w:rsidR="00951CB6" w:rsidRDefault="00951CB6" w:rsidP="00C410A7">
      <w:pPr>
        <w:pStyle w:val="EEALiterature"/>
      </w:pPr>
      <w:r w:rsidRPr="00951CB6">
        <w:t>Stoddard, J.L.</w:t>
      </w:r>
      <w:r w:rsidR="002E1DBC">
        <w:t xml:space="preserve"> (</w:t>
      </w:r>
      <w:r w:rsidRPr="00951CB6">
        <w:t>1994</w:t>
      </w:r>
      <w:r w:rsidR="002E1DBC">
        <w:t>)</w:t>
      </w:r>
      <w:r w:rsidRPr="00951CB6">
        <w:t>. Long-term changes in watershed retention of nitrogen: Its causes and aquatic consequences. In: Baker, L.A. (Ed). Environmental Chemistry of Lakes and Reservoirs. Washington (DC), American Chemical Society, pp. 223-284.</w:t>
      </w:r>
    </w:p>
    <w:p w14:paraId="29505026" w14:textId="40A17C3F" w:rsidR="00545516" w:rsidRPr="00261BB8" w:rsidRDefault="00545516" w:rsidP="00C410A7">
      <w:pPr>
        <w:pStyle w:val="EEALiterature"/>
      </w:pPr>
      <w:r w:rsidRPr="00261BB8">
        <w:t>Streeter, J.</w:t>
      </w:r>
      <w:r w:rsidR="002E1DBC">
        <w:t xml:space="preserve"> (</w:t>
      </w:r>
      <w:r w:rsidRPr="00261BB8">
        <w:t>1988</w:t>
      </w:r>
      <w:r w:rsidR="002E1DBC">
        <w:t>)</w:t>
      </w:r>
      <w:r w:rsidRPr="00261BB8">
        <w:t>. Inhibition of legume nodule formation and N2 fixation by nitrate. CRC Critical Reviews in Plant Sciences 7</w:t>
      </w:r>
      <w:r w:rsidR="002E1DBC">
        <w:t>:</w:t>
      </w:r>
      <w:r w:rsidRPr="00261BB8">
        <w:t xml:space="preserve"> 1-23.</w:t>
      </w:r>
    </w:p>
    <w:p w14:paraId="091F99B3" w14:textId="1B507F92" w:rsidR="00545516" w:rsidRPr="005114A1" w:rsidRDefault="000D27F4" w:rsidP="00C410A7">
      <w:pPr>
        <w:pStyle w:val="EEALiterature"/>
        <w:rPr>
          <w:lang w:val="en-US"/>
        </w:rPr>
      </w:pPr>
      <w:r w:rsidRPr="00C66E1D">
        <w:t xml:space="preserve">Talkner, U., W. Riek, </w:t>
      </w:r>
      <w:r w:rsidR="008956F5" w:rsidRPr="00C66E1D">
        <w:t>I</w:t>
      </w:r>
      <w:r w:rsidRPr="00C66E1D">
        <w:t xml:space="preserve">. Dammann, </w:t>
      </w:r>
      <w:r w:rsidR="008956F5" w:rsidRPr="00C66E1D">
        <w:t>M</w:t>
      </w:r>
      <w:r w:rsidRPr="00C66E1D">
        <w:t xml:space="preserve">. Kohler, </w:t>
      </w:r>
      <w:r w:rsidR="008956F5" w:rsidRPr="00C66E1D">
        <w:t>A</w:t>
      </w:r>
      <w:r w:rsidRPr="00C66E1D">
        <w:t>. Göttlein, K.</w:t>
      </w:r>
      <w:r w:rsidR="008956F5" w:rsidRPr="00C66E1D">
        <w:t>H</w:t>
      </w:r>
      <w:r w:rsidRPr="00C66E1D">
        <w:t>. Mellert</w:t>
      </w:r>
      <w:r w:rsidR="008956F5" w:rsidRPr="00C66E1D">
        <w:t xml:space="preserve"> and </w:t>
      </w:r>
      <w:r w:rsidRPr="00C66E1D">
        <w:t>K</w:t>
      </w:r>
      <w:r w:rsidR="008956F5" w:rsidRPr="00C66E1D">
        <w:t>.</w:t>
      </w:r>
      <w:r w:rsidRPr="00C66E1D">
        <w:t>J</w:t>
      </w:r>
      <w:r w:rsidR="008956F5" w:rsidRPr="00C66E1D">
        <w:t>.</w:t>
      </w:r>
      <w:r w:rsidRPr="00C66E1D">
        <w:t xml:space="preserve"> Meiwes </w:t>
      </w:r>
      <w:r w:rsidR="008956F5" w:rsidRPr="00C66E1D">
        <w:t>(</w:t>
      </w:r>
      <w:r w:rsidR="00545516" w:rsidRPr="00C66E1D">
        <w:t>20</w:t>
      </w:r>
      <w:r w:rsidR="005114A1" w:rsidRPr="00C66E1D">
        <w:t>19</w:t>
      </w:r>
      <w:r w:rsidR="008956F5" w:rsidRPr="00C66E1D">
        <w:t>)</w:t>
      </w:r>
      <w:r w:rsidR="009F65A0" w:rsidRPr="00C66E1D">
        <w:t xml:space="preserve">. </w:t>
      </w:r>
      <w:r w:rsidR="00545516" w:rsidRPr="005114A1">
        <w:rPr>
          <w:lang w:val="en-US"/>
        </w:rPr>
        <w:t xml:space="preserve">In: Wellbrock and Bolte (2019): </w:t>
      </w:r>
      <w:hyperlink r:id="rId71" w:history="1">
        <w:r w:rsidR="009F65A0" w:rsidRPr="005114A1">
          <w:rPr>
            <w:rStyle w:val="Hyperlink"/>
            <w:lang w:val="en-US"/>
          </w:rPr>
          <w:t>https://link.springer.com/chapter/10.1007/978-3-030-15734-0_9</w:t>
        </w:r>
      </w:hyperlink>
    </w:p>
    <w:p w14:paraId="7D1B5148" w14:textId="4A81DE26" w:rsidR="00951CB6" w:rsidRDefault="00951CB6" w:rsidP="00C410A7">
      <w:pPr>
        <w:pStyle w:val="EEALiterature"/>
        <w:rPr>
          <w:lang w:val="nl-NL"/>
        </w:rPr>
      </w:pPr>
      <w:r w:rsidRPr="00951CB6">
        <w:rPr>
          <w:lang w:val="nl-NL"/>
        </w:rPr>
        <w:t>Thomas, R.Q., C.D. Canham, K.C. Weathers &amp; C.L. Goodale</w:t>
      </w:r>
      <w:r w:rsidR="000B6F84">
        <w:rPr>
          <w:lang w:val="nl-NL"/>
        </w:rPr>
        <w:t xml:space="preserve"> (</w:t>
      </w:r>
      <w:r w:rsidRPr="00951CB6">
        <w:rPr>
          <w:lang w:val="nl-NL"/>
        </w:rPr>
        <w:t>2010</w:t>
      </w:r>
      <w:r w:rsidR="000B6F84">
        <w:rPr>
          <w:lang w:val="nl-NL"/>
        </w:rPr>
        <w:t>)</w:t>
      </w:r>
      <w:r w:rsidRPr="00951CB6">
        <w:rPr>
          <w:lang w:val="nl-NL"/>
        </w:rPr>
        <w:t>. Increased tree carbon storage in response to nitrogen deposition in the US. Nat. Geosci. 3</w:t>
      </w:r>
      <w:r w:rsidR="000B6F84">
        <w:rPr>
          <w:lang w:val="nl-NL"/>
        </w:rPr>
        <w:t>:</w:t>
      </w:r>
      <w:r w:rsidRPr="00951CB6">
        <w:rPr>
          <w:lang w:val="nl-NL"/>
        </w:rPr>
        <w:t xml:space="preserve"> 13-17.</w:t>
      </w:r>
    </w:p>
    <w:p w14:paraId="1C581DFA" w14:textId="35A62A00" w:rsidR="00545516" w:rsidRPr="00261BB8" w:rsidRDefault="00545516" w:rsidP="00C410A7">
      <w:pPr>
        <w:pStyle w:val="EEALiterature"/>
        <w:rPr>
          <w:lang w:val="nl-NL"/>
        </w:rPr>
      </w:pPr>
      <w:r w:rsidRPr="00261BB8">
        <w:rPr>
          <w:lang w:val="nl-NL"/>
        </w:rPr>
        <w:t xml:space="preserve">Van der Salm, C., de Vries, W., Reinds, G. J. &amp; Dise, N. B. (2007). </w:t>
      </w:r>
      <w:r w:rsidRPr="00261BB8">
        <w:t xml:space="preserve">N leaching across European forests: Derivation and validation of empirical relationships using data from intensive monitoring plots. </w:t>
      </w:r>
      <w:r w:rsidRPr="00261BB8">
        <w:rPr>
          <w:lang w:val="nl-NL"/>
        </w:rPr>
        <w:t>Forest Ecol. Manage. 238</w:t>
      </w:r>
      <w:r w:rsidR="000B6F84">
        <w:rPr>
          <w:lang w:val="nl-NL"/>
        </w:rPr>
        <w:t>:</w:t>
      </w:r>
      <w:r w:rsidRPr="00261BB8">
        <w:rPr>
          <w:lang w:val="nl-NL"/>
        </w:rPr>
        <w:t xml:space="preserve"> 81-91.</w:t>
      </w:r>
    </w:p>
    <w:p w14:paraId="7B82D144" w14:textId="6873833D" w:rsidR="00545516" w:rsidRPr="00261BB8" w:rsidRDefault="00545516" w:rsidP="00C410A7">
      <w:pPr>
        <w:pStyle w:val="EEALiterature"/>
      </w:pPr>
      <w:r w:rsidRPr="00261BB8">
        <w:rPr>
          <w:lang w:val="nl-NL"/>
        </w:rPr>
        <w:t>Velthof, G.L., S. Barot, J. Bloem, K. Butterbach-Bahl, W. de Vries, J. Kros, P. Lavelle, J. E. Olesen and O. Oenema</w:t>
      </w:r>
      <w:r w:rsidR="000B6F84">
        <w:rPr>
          <w:lang w:val="nl-NL"/>
        </w:rPr>
        <w:t xml:space="preserve"> (</w:t>
      </w:r>
      <w:r w:rsidRPr="00261BB8">
        <w:rPr>
          <w:lang w:val="nl-NL"/>
        </w:rPr>
        <w:t>2011</w:t>
      </w:r>
      <w:r w:rsidR="000B6F84">
        <w:rPr>
          <w:lang w:val="nl-NL"/>
        </w:rPr>
        <w:t>)</w:t>
      </w:r>
      <w:r w:rsidRPr="00261BB8">
        <w:rPr>
          <w:lang w:val="nl-NL"/>
        </w:rPr>
        <w:t xml:space="preserve">. </w:t>
      </w:r>
      <w:r w:rsidRPr="00261BB8">
        <w:t>Nitrogen as a threat to European soil quality. Chapter 21 in: The European Nitrogen Assessment  (Eds. Sutton M.A., Howard C., Erisman J.W., Billen G., Bleeker A., Grennfelt P., van Grinsven H. and Grizzetti B.), Cambridge University Press: 494-509.</w:t>
      </w:r>
    </w:p>
    <w:p w14:paraId="6A181CC8" w14:textId="6ED70C65" w:rsidR="00743C70" w:rsidRDefault="00743C70" w:rsidP="00C410A7">
      <w:pPr>
        <w:pStyle w:val="EEALiterature"/>
        <w:rPr>
          <w:lang w:val="en-US"/>
        </w:rPr>
      </w:pPr>
      <w:r w:rsidRPr="00743C70">
        <w:rPr>
          <w:lang w:val="en-US"/>
        </w:rPr>
        <w:t xml:space="preserve">Vitousek, P.M., S. Porder, B.Z. Houlton &amp; O.A. Chadwick </w:t>
      </w:r>
      <w:r w:rsidR="000B6F84">
        <w:rPr>
          <w:lang w:val="en-US"/>
        </w:rPr>
        <w:t>(</w:t>
      </w:r>
      <w:r w:rsidRPr="00743C70">
        <w:rPr>
          <w:lang w:val="en-US"/>
        </w:rPr>
        <w:t>2010</w:t>
      </w:r>
      <w:r w:rsidR="000B6F84">
        <w:rPr>
          <w:lang w:val="en-US"/>
        </w:rPr>
        <w:t>)</w:t>
      </w:r>
      <w:r w:rsidRPr="00743C70">
        <w:rPr>
          <w:lang w:val="en-US"/>
        </w:rPr>
        <w:t>. Terrestrial phosphorus limitation: mechanisms, implications, and nitrogen-phosphorus interactions. Ecol. Appl. 20 (1)</w:t>
      </w:r>
      <w:r w:rsidR="000B6F84">
        <w:rPr>
          <w:lang w:val="en-US"/>
        </w:rPr>
        <w:t>:</w:t>
      </w:r>
      <w:r w:rsidRPr="00743C70">
        <w:rPr>
          <w:lang w:val="en-US"/>
        </w:rPr>
        <w:t xml:space="preserve"> 5–15.</w:t>
      </w:r>
    </w:p>
    <w:p w14:paraId="64A3088D" w14:textId="0C42648D" w:rsidR="00545516" w:rsidRPr="0081645E" w:rsidRDefault="00545516" w:rsidP="00C410A7">
      <w:pPr>
        <w:pStyle w:val="EEALiterature"/>
        <w:rPr>
          <w:lang w:val="en-US"/>
        </w:rPr>
      </w:pPr>
      <w:r w:rsidRPr="0081645E">
        <w:rPr>
          <w:lang w:val="en-US"/>
        </w:rPr>
        <w:t>Voss, R. (1998) Fertility recommendations: past and present. Communications in Soil Science and Plant Analysis 29, 1429-1440.</w:t>
      </w:r>
    </w:p>
    <w:p w14:paraId="5D8BE3F6" w14:textId="265EB213" w:rsidR="00545516" w:rsidRPr="00261BB8" w:rsidRDefault="00545516" w:rsidP="00C410A7">
      <w:pPr>
        <w:pStyle w:val="EEALiterature"/>
      </w:pPr>
      <w:r w:rsidRPr="00261BB8">
        <w:rPr>
          <w:lang w:val="nl-NL"/>
        </w:rPr>
        <w:t xml:space="preserve">Wardle, D. A. , </w:t>
      </w:r>
      <w:r w:rsidR="000B6F84">
        <w:rPr>
          <w:lang w:val="nl-NL"/>
        </w:rPr>
        <w:t xml:space="preserve">R.D. </w:t>
      </w:r>
      <w:r w:rsidRPr="00261BB8">
        <w:rPr>
          <w:lang w:val="nl-NL"/>
        </w:rPr>
        <w:t xml:space="preserve">Bardgett, </w:t>
      </w:r>
      <w:r w:rsidR="000B6F84">
        <w:rPr>
          <w:lang w:val="nl-NL"/>
        </w:rPr>
        <w:t xml:space="preserve">J.N. </w:t>
      </w:r>
      <w:r w:rsidRPr="00261BB8">
        <w:rPr>
          <w:lang w:val="nl-NL"/>
        </w:rPr>
        <w:t xml:space="preserve">Klironomos et al. </w:t>
      </w:r>
      <w:r w:rsidRPr="00261BB8">
        <w:t>(2004). Ecological linkages between aboveground and belowground biota. Science 304</w:t>
      </w:r>
      <w:r w:rsidR="000B6F84">
        <w:t>:</w:t>
      </w:r>
      <w:r w:rsidRPr="00261BB8">
        <w:t xml:space="preserve"> 1629 –1633.</w:t>
      </w:r>
    </w:p>
    <w:p w14:paraId="5AB52CEE" w14:textId="71B81747" w:rsidR="00545516" w:rsidRPr="00261BB8" w:rsidRDefault="00545516" w:rsidP="00C410A7">
      <w:pPr>
        <w:pStyle w:val="EEALiterature"/>
      </w:pPr>
      <w:r w:rsidRPr="00261BB8">
        <w:t>WHO</w:t>
      </w:r>
      <w:r w:rsidR="000B6F84">
        <w:t xml:space="preserve"> (</w:t>
      </w:r>
      <w:r w:rsidRPr="00261BB8">
        <w:t>2011</w:t>
      </w:r>
      <w:r w:rsidR="000B6F84">
        <w:t>)</w:t>
      </w:r>
      <w:r w:rsidRPr="00261BB8">
        <w:t>. Nitrate and Nitrite in Drinking-water Background document for development of WHO Guidelines for Drinking-water. WHO/SDE/WSH/07.01/16/Rev/1.</w:t>
      </w:r>
    </w:p>
    <w:p w14:paraId="71936208" w14:textId="1A274695" w:rsidR="00192ACE" w:rsidRDefault="00192ACE" w:rsidP="00C410A7">
      <w:pPr>
        <w:pStyle w:val="EEALiterature"/>
      </w:pPr>
    </w:p>
    <w:p w14:paraId="410787DF" w14:textId="0F7F680E" w:rsidR="00B25271" w:rsidRDefault="00B25271" w:rsidP="00B25271">
      <w:pPr>
        <w:pStyle w:val="berschrift2"/>
      </w:pPr>
      <w:bookmarkStart w:id="449" w:name="_Toc83997419"/>
      <w:r w:rsidRPr="008F64E4">
        <w:t xml:space="preserve">Soil </w:t>
      </w:r>
      <w:r>
        <w:t>acidification</w:t>
      </w:r>
      <w:bookmarkEnd w:id="449"/>
    </w:p>
    <w:p w14:paraId="0493056D" w14:textId="77777777" w:rsidR="00334824" w:rsidRDefault="00334824" w:rsidP="00C410A7">
      <w:pPr>
        <w:pStyle w:val="EEALiterature"/>
      </w:pPr>
    </w:p>
    <w:p w14:paraId="6A36A5E0" w14:textId="28C65286" w:rsidR="00334824" w:rsidRPr="00334824" w:rsidRDefault="00334824" w:rsidP="00C410A7">
      <w:pPr>
        <w:pStyle w:val="EEALiterature"/>
        <w:rPr>
          <w:lang w:val="en-US"/>
        </w:rPr>
      </w:pPr>
      <w:r w:rsidRPr="00334824">
        <w:rPr>
          <w:lang w:val="en-US"/>
        </w:rPr>
        <w:t>Abrahamsen, G., A.O. Stuanes &amp; B. Tveite</w:t>
      </w:r>
      <w:r w:rsidR="003D689A">
        <w:rPr>
          <w:lang w:val="en-US"/>
        </w:rPr>
        <w:t xml:space="preserve"> (</w:t>
      </w:r>
      <w:r w:rsidRPr="00334824">
        <w:rPr>
          <w:lang w:val="en-US"/>
        </w:rPr>
        <w:t>1993</w:t>
      </w:r>
      <w:r w:rsidR="003D689A">
        <w:rPr>
          <w:lang w:val="en-US"/>
        </w:rPr>
        <w:t>)</w:t>
      </w:r>
      <w:r w:rsidRPr="00334824">
        <w:rPr>
          <w:lang w:val="en-US"/>
        </w:rPr>
        <w:t>. Introduction; Study Area; Experimental Design. In: Abrahamsen, G., A.O. Stuanes &amp; B. Tveite (Eds). Long-Term Experiments with Acid Rain in Norwegian Ecosystems. Vol. 104 New York, Springer-Verlag, pp. 3-33.</w:t>
      </w:r>
    </w:p>
    <w:p w14:paraId="4D86740A" w14:textId="40AB8B7B" w:rsidR="00334824" w:rsidRPr="00334824" w:rsidRDefault="00334824" w:rsidP="00C410A7">
      <w:pPr>
        <w:pStyle w:val="EEALiterature"/>
        <w:rPr>
          <w:lang w:val="en-US"/>
        </w:rPr>
      </w:pPr>
      <w:r w:rsidRPr="00334824">
        <w:rPr>
          <w:lang w:val="en-US"/>
        </w:rPr>
        <w:t>Akselsson, C., O. Westling, H. Sverdrup, J. Holmqvist, G. Thelin, E. Uggla &amp; G. Malm</w:t>
      </w:r>
      <w:r w:rsidR="003D689A">
        <w:rPr>
          <w:lang w:val="en-US"/>
        </w:rPr>
        <w:t xml:space="preserve"> (</w:t>
      </w:r>
      <w:r w:rsidRPr="00334824">
        <w:rPr>
          <w:lang w:val="en-US"/>
        </w:rPr>
        <w:t>2007</w:t>
      </w:r>
      <w:r w:rsidR="003D689A">
        <w:rPr>
          <w:lang w:val="en-US"/>
        </w:rPr>
        <w:t>)</w:t>
      </w:r>
      <w:r w:rsidRPr="00334824">
        <w:rPr>
          <w:lang w:val="en-US"/>
        </w:rPr>
        <w:t>. Impact of harvest intensity on long term base cation budgets in Swedish forest soils. Water Air Soil Pollut. Focus 7 (1-3)</w:t>
      </w:r>
      <w:r w:rsidR="003D689A">
        <w:rPr>
          <w:lang w:val="en-US"/>
        </w:rPr>
        <w:t>:</w:t>
      </w:r>
      <w:r w:rsidRPr="00334824">
        <w:rPr>
          <w:lang w:val="en-US"/>
        </w:rPr>
        <w:t xml:space="preserve"> 201-210.</w:t>
      </w:r>
    </w:p>
    <w:p w14:paraId="3A1E9287" w14:textId="735B58E9" w:rsidR="00334824" w:rsidRPr="00334824" w:rsidRDefault="00334824" w:rsidP="00C410A7">
      <w:pPr>
        <w:pStyle w:val="EEALiterature"/>
        <w:rPr>
          <w:lang w:val="de-AT"/>
        </w:rPr>
      </w:pPr>
      <w:r w:rsidRPr="00C66E1D">
        <w:rPr>
          <w:lang w:val="en-US"/>
        </w:rPr>
        <w:t>Alewell, C., B. Manderscheid, P. Gerstberger &amp; E. Matzner</w:t>
      </w:r>
      <w:r w:rsidR="003D689A" w:rsidRPr="00C66E1D">
        <w:rPr>
          <w:lang w:val="en-US"/>
        </w:rPr>
        <w:t xml:space="preserve"> (</w:t>
      </w:r>
      <w:r w:rsidRPr="00C66E1D">
        <w:rPr>
          <w:lang w:val="en-US"/>
        </w:rPr>
        <w:t>2000</w:t>
      </w:r>
      <w:r w:rsidR="003D689A" w:rsidRPr="00C66E1D">
        <w:rPr>
          <w:lang w:val="en-US"/>
        </w:rPr>
        <w:t>)</w:t>
      </w:r>
      <w:r w:rsidRPr="00C66E1D">
        <w:rPr>
          <w:lang w:val="en-US"/>
        </w:rPr>
        <w:t xml:space="preserve">. </w:t>
      </w:r>
      <w:r w:rsidRPr="00334824">
        <w:rPr>
          <w:lang w:val="en-US"/>
        </w:rPr>
        <w:t xml:space="preserve">Effects of reduced atmospheric deposition on soil solution chemistry and elemental contents of spruce needles in NE-Bavaria, Germany. </w:t>
      </w:r>
      <w:r w:rsidRPr="00334824">
        <w:rPr>
          <w:lang w:val="de-AT"/>
        </w:rPr>
        <w:t>Z. Pflanzenernähr. Bodenk. 163 (5)</w:t>
      </w:r>
      <w:r w:rsidR="003D689A">
        <w:rPr>
          <w:lang w:val="de-AT"/>
        </w:rPr>
        <w:t>:</w:t>
      </w:r>
      <w:r w:rsidRPr="00334824">
        <w:rPr>
          <w:lang w:val="de-AT"/>
        </w:rPr>
        <w:t xml:space="preserve"> 509-516.</w:t>
      </w:r>
    </w:p>
    <w:p w14:paraId="41E8184A" w14:textId="3316A7E7" w:rsidR="00334824" w:rsidRPr="00334824" w:rsidRDefault="00334824" w:rsidP="00C410A7">
      <w:pPr>
        <w:pStyle w:val="EEALiterature"/>
        <w:rPr>
          <w:lang w:val="en-US"/>
        </w:rPr>
      </w:pPr>
      <w:r w:rsidRPr="00334824">
        <w:rPr>
          <w:lang w:val="de-AT"/>
        </w:rPr>
        <w:t>Baquy, M., Li, J., Xu, C., Mehmood, K., Xu, R.</w:t>
      </w:r>
      <w:r w:rsidR="003D689A">
        <w:rPr>
          <w:lang w:val="de-AT"/>
        </w:rPr>
        <w:t xml:space="preserve"> (</w:t>
      </w:r>
      <w:r w:rsidRPr="00334824">
        <w:rPr>
          <w:lang w:val="de-AT"/>
        </w:rPr>
        <w:t>2017</w:t>
      </w:r>
      <w:r w:rsidR="003D689A">
        <w:rPr>
          <w:lang w:val="de-AT"/>
        </w:rPr>
        <w:t>)</w:t>
      </w:r>
      <w:r w:rsidRPr="00334824">
        <w:rPr>
          <w:lang w:val="de-AT"/>
        </w:rPr>
        <w:t xml:space="preserve">. </w:t>
      </w:r>
      <w:r w:rsidRPr="00334824">
        <w:rPr>
          <w:lang w:val="en-US"/>
        </w:rPr>
        <w:t>Determination of critical pH and Al concentration of acidic Ultisols for wheat and canola crops. Solid Earth 8, 149-159.</w:t>
      </w:r>
    </w:p>
    <w:p w14:paraId="7FF8A127" w14:textId="2B375F40" w:rsidR="00334824" w:rsidRPr="00334824" w:rsidRDefault="00334824" w:rsidP="00C410A7">
      <w:pPr>
        <w:pStyle w:val="EEALiterature"/>
        <w:rPr>
          <w:lang w:val="en-US"/>
        </w:rPr>
      </w:pPr>
      <w:r w:rsidRPr="000A7E4D">
        <w:rPr>
          <w:lang w:val="en-US"/>
        </w:rPr>
        <w:t>Beier, C., K. Blanck, M. Bredemeier, N. Lamersdorf, L. Rasmussen &amp; Y.J. Xu</w:t>
      </w:r>
      <w:r w:rsidR="003D689A" w:rsidRPr="000A7E4D">
        <w:rPr>
          <w:lang w:val="en-US"/>
        </w:rPr>
        <w:t xml:space="preserve"> (</w:t>
      </w:r>
      <w:r w:rsidRPr="000A7E4D">
        <w:rPr>
          <w:lang w:val="en-US"/>
        </w:rPr>
        <w:t>1998</w:t>
      </w:r>
      <w:r w:rsidR="003D689A" w:rsidRPr="000A7E4D">
        <w:rPr>
          <w:lang w:val="en-US"/>
        </w:rPr>
        <w:t>)</w:t>
      </w:r>
      <w:r w:rsidRPr="000A7E4D">
        <w:rPr>
          <w:lang w:val="en-US"/>
        </w:rPr>
        <w:t xml:space="preserve">. </w:t>
      </w:r>
      <w:r w:rsidRPr="00334824">
        <w:rPr>
          <w:lang w:val="en-US"/>
        </w:rPr>
        <w:t>Field-scale 'clean rain' treatments to two Norway spruce stands within the EXMAN project - effects on soil solution chemistry, foliar nutrition and tree growth. For. Ecol. Manage. 101 (1-3)</w:t>
      </w:r>
      <w:r w:rsidR="003D689A">
        <w:rPr>
          <w:lang w:val="en-US"/>
        </w:rPr>
        <w:t>:</w:t>
      </w:r>
      <w:r w:rsidRPr="00334824">
        <w:rPr>
          <w:lang w:val="en-US"/>
        </w:rPr>
        <w:t xml:space="preserve"> 111-123.</w:t>
      </w:r>
    </w:p>
    <w:p w14:paraId="004B3FF2" w14:textId="39347DDF" w:rsidR="00334824" w:rsidRPr="00334824" w:rsidRDefault="00334824" w:rsidP="00C410A7">
      <w:pPr>
        <w:pStyle w:val="EEALiterature"/>
        <w:rPr>
          <w:lang w:val="en-US"/>
        </w:rPr>
      </w:pPr>
      <w:r w:rsidRPr="00334824">
        <w:rPr>
          <w:lang w:val="en-US"/>
        </w:rPr>
        <w:t>Binkley, D. &amp; P. Hogberg</w:t>
      </w:r>
      <w:r w:rsidR="003D689A">
        <w:rPr>
          <w:lang w:val="en-US"/>
        </w:rPr>
        <w:t xml:space="preserve"> (</w:t>
      </w:r>
      <w:r w:rsidRPr="00334824">
        <w:rPr>
          <w:lang w:val="en-US"/>
        </w:rPr>
        <w:t>1997</w:t>
      </w:r>
      <w:r w:rsidR="003D689A">
        <w:rPr>
          <w:lang w:val="en-US"/>
        </w:rPr>
        <w:t>)</w:t>
      </w:r>
      <w:r w:rsidRPr="00334824">
        <w:rPr>
          <w:lang w:val="en-US"/>
        </w:rPr>
        <w:t>. Does atmospheric deposition of nitrogen threaten Swedish forests? For. Ecol. Manage. 92 (1-3)</w:t>
      </w:r>
      <w:r w:rsidR="003D689A">
        <w:rPr>
          <w:lang w:val="en-US"/>
        </w:rPr>
        <w:t>:</w:t>
      </w:r>
      <w:r w:rsidRPr="00334824">
        <w:rPr>
          <w:lang w:val="en-US"/>
        </w:rPr>
        <w:t xml:space="preserve"> 119-152.</w:t>
      </w:r>
    </w:p>
    <w:p w14:paraId="61E0D43E" w14:textId="56952E46" w:rsidR="00334824" w:rsidRPr="00334824" w:rsidRDefault="00334824" w:rsidP="00C410A7">
      <w:pPr>
        <w:pStyle w:val="EEALiterature"/>
        <w:rPr>
          <w:lang w:val="en-US"/>
        </w:rPr>
      </w:pPr>
      <w:r w:rsidRPr="00334824">
        <w:rPr>
          <w:lang w:val="en-US"/>
        </w:rPr>
        <w:t>Cronan, C.S., R. April, R.J. Bartlett, P.R. Bloom, C.T. Driscoll, S.A. Gherini, G.S. Henderson, J.D. Joslin, J.M. Kelly, R.M. Newton, R.A. Parnell, H.H. Patterson, D.J. Raynall, M. Schaedle, C.T. Schofield, E.I. Sucoff, H.B. Tepper &amp; F.C. Thornton</w:t>
      </w:r>
      <w:r w:rsidR="003D689A">
        <w:rPr>
          <w:lang w:val="en-US"/>
        </w:rPr>
        <w:t xml:space="preserve"> (</w:t>
      </w:r>
      <w:r w:rsidRPr="00334824">
        <w:rPr>
          <w:lang w:val="en-US"/>
        </w:rPr>
        <w:t>1989</w:t>
      </w:r>
      <w:r w:rsidR="003D689A">
        <w:rPr>
          <w:lang w:val="en-US"/>
        </w:rPr>
        <w:t>)</w:t>
      </w:r>
      <w:r w:rsidRPr="00334824">
        <w:rPr>
          <w:lang w:val="en-US"/>
        </w:rPr>
        <w:t>. Aluminum toxicity in forests exposed to acidic deposition: the ALBIOS results. Water Air Soil Pollut. 48 (1-2)</w:t>
      </w:r>
      <w:r w:rsidR="003D689A">
        <w:rPr>
          <w:lang w:val="en-US"/>
        </w:rPr>
        <w:t>:</w:t>
      </w:r>
      <w:r w:rsidRPr="00334824">
        <w:rPr>
          <w:lang w:val="en-US"/>
        </w:rPr>
        <w:t xml:space="preserve"> 181-192.</w:t>
      </w:r>
    </w:p>
    <w:p w14:paraId="093B4A9C" w14:textId="74662248" w:rsidR="00334824" w:rsidRPr="00334824" w:rsidRDefault="00334824" w:rsidP="00C410A7">
      <w:pPr>
        <w:pStyle w:val="EEALiterature"/>
        <w:rPr>
          <w:lang w:val="en-US"/>
        </w:rPr>
      </w:pPr>
      <w:r w:rsidRPr="00334824">
        <w:rPr>
          <w:lang w:val="en-US"/>
        </w:rPr>
        <w:t>Cronan, C.S. &amp; D.F. Grigal</w:t>
      </w:r>
      <w:r w:rsidR="003D689A">
        <w:rPr>
          <w:lang w:val="en-US"/>
        </w:rPr>
        <w:t xml:space="preserve"> (</w:t>
      </w:r>
      <w:r w:rsidRPr="00334824">
        <w:rPr>
          <w:lang w:val="en-US"/>
        </w:rPr>
        <w:t>1995</w:t>
      </w:r>
      <w:r w:rsidR="003D689A">
        <w:rPr>
          <w:lang w:val="en-US"/>
        </w:rPr>
        <w:t>)</w:t>
      </w:r>
      <w:r w:rsidRPr="00334824">
        <w:rPr>
          <w:lang w:val="en-US"/>
        </w:rPr>
        <w:t>. Use of calcium/aluminum ratios as indicators of stress in forest ecosystems. J. Environ. Qual. 24 (2)</w:t>
      </w:r>
      <w:r w:rsidR="003D689A">
        <w:rPr>
          <w:lang w:val="en-US"/>
        </w:rPr>
        <w:t>:</w:t>
      </w:r>
      <w:r w:rsidRPr="00334824">
        <w:rPr>
          <w:lang w:val="en-US"/>
        </w:rPr>
        <w:t xml:space="preserve"> 209-226.</w:t>
      </w:r>
    </w:p>
    <w:p w14:paraId="42A9FCBE" w14:textId="6327A481" w:rsidR="00334824" w:rsidRPr="00334824" w:rsidRDefault="00334824" w:rsidP="00C410A7">
      <w:pPr>
        <w:pStyle w:val="EEALiterature"/>
        <w:rPr>
          <w:lang w:val="en-US"/>
        </w:rPr>
      </w:pPr>
      <w:r w:rsidRPr="00334824">
        <w:rPr>
          <w:lang w:val="en-US"/>
        </w:rPr>
        <w:t>De Vries, W., E. Vel, G.J. Reinds, H. Deelstra, J.M. Klap, E.E.J.M. Leeters, C.M.A. Hendriks, M. Kerkvoorden, G. Landmann, J. Herkendell, T. Haussmann &amp; J.W. Erisman</w:t>
      </w:r>
      <w:r w:rsidR="003D689A">
        <w:rPr>
          <w:lang w:val="en-US"/>
        </w:rPr>
        <w:t xml:space="preserve"> (</w:t>
      </w:r>
      <w:r w:rsidRPr="00334824">
        <w:rPr>
          <w:lang w:val="en-US"/>
        </w:rPr>
        <w:t>2003</w:t>
      </w:r>
      <w:r w:rsidR="003D689A">
        <w:rPr>
          <w:lang w:val="en-US"/>
        </w:rPr>
        <w:t>)</w:t>
      </w:r>
      <w:r w:rsidRPr="00334824">
        <w:rPr>
          <w:lang w:val="en-US"/>
        </w:rPr>
        <w:t>. Intensive monitoring of forest ecosystems in Europe: 1. Objectives, set-up and evaluation strategy. Forest Ecology and Management 174 (1-3)</w:t>
      </w:r>
      <w:r w:rsidR="003D689A">
        <w:rPr>
          <w:lang w:val="en-US"/>
        </w:rPr>
        <w:t>:</w:t>
      </w:r>
      <w:r w:rsidRPr="00334824">
        <w:rPr>
          <w:lang w:val="en-US"/>
        </w:rPr>
        <w:t xml:space="preserve"> 77-95.</w:t>
      </w:r>
    </w:p>
    <w:p w14:paraId="0E51D619" w14:textId="7167560C" w:rsidR="00334824" w:rsidRPr="00334824" w:rsidRDefault="00334824" w:rsidP="00C410A7">
      <w:pPr>
        <w:pStyle w:val="EEALiterature"/>
        <w:rPr>
          <w:lang w:val="en-US"/>
        </w:rPr>
      </w:pPr>
      <w:r w:rsidRPr="00334824">
        <w:rPr>
          <w:lang w:val="en-US"/>
        </w:rPr>
        <w:t>De Vries, W., M. Posch, H.U. Sverdup, T. Larssen, H.A. de Wit, R. Bobbink and J.-P. Hettelingh</w:t>
      </w:r>
      <w:r w:rsidR="003D689A">
        <w:rPr>
          <w:lang w:val="en-US"/>
        </w:rPr>
        <w:t xml:space="preserve"> (</w:t>
      </w:r>
      <w:r w:rsidRPr="00334824">
        <w:rPr>
          <w:lang w:val="en-US"/>
        </w:rPr>
        <w:t>2015</w:t>
      </w:r>
      <w:r w:rsidR="003D689A">
        <w:rPr>
          <w:lang w:val="en-US"/>
        </w:rPr>
        <w:t>)</w:t>
      </w:r>
      <w:r w:rsidRPr="00334824">
        <w:rPr>
          <w:lang w:val="en-US"/>
        </w:rPr>
        <w:t>. Geochemical indicators for use in the computation of critical loads and dynamic risk assessments. In W. de Vries, J.-P. Hettelingh &amp; M. Posch (</w:t>
      </w:r>
      <w:proofErr w:type="gramStart"/>
      <w:r w:rsidRPr="00334824">
        <w:rPr>
          <w:lang w:val="en-US"/>
        </w:rPr>
        <w:t>eds</w:t>
      </w:r>
      <w:proofErr w:type="gramEnd"/>
      <w:r w:rsidRPr="00334824">
        <w:rPr>
          <w:lang w:val="en-US"/>
        </w:rPr>
        <w:t>) Critical Loads and Dynamic Risk Assessments: Nitrogen, Acidity and Metals in Terrestrial and Aquatic Ecosystems, Environmental Pollution Volume 25, Springer ISSN 1566-0745: 15-58.</w:t>
      </w:r>
    </w:p>
    <w:p w14:paraId="748F4516" w14:textId="6B0D6B8C" w:rsidR="00334824" w:rsidRPr="00334824" w:rsidRDefault="00334824" w:rsidP="00C410A7">
      <w:pPr>
        <w:pStyle w:val="EEALiterature"/>
        <w:rPr>
          <w:lang w:val="en-US"/>
        </w:rPr>
      </w:pPr>
      <w:r w:rsidRPr="00BE7C9A">
        <w:rPr>
          <w:lang w:val="de-DE"/>
        </w:rPr>
        <w:t>De Vries, W., Posch, M., Kämäri, J.</w:t>
      </w:r>
      <w:r w:rsidR="003D689A">
        <w:rPr>
          <w:lang w:val="de-DE"/>
        </w:rPr>
        <w:t xml:space="preserve"> (</w:t>
      </w:r>
      <w:r w:rsidRPr="00BE7C9A">
        <w:rPr>
          <w:lang w:val="de-DE"/>
        </w:rPr>
        <w:t>1989</w:t>
      </w:r>
      <w:r w:rsidR="003D689A">
        <w:rPr>
          <w:lang w:val="de-DE"/>
        </w:rPr>
        <w:t>)</w:t>
      </w:r>
      <w:r w:rsidRPr="00BE7C9A">
        <w:rPr>
          <w:lang w:val="de-DE"/>
        </w:rPr>
        <w:t xml:space="preserve">. </w:t>
      </w:r>
      <w:r w:rsidRPr="00334824">
        <w:rPr>
          <w:lang w:val="en-US"/>
        </w:rPr>
        <w:t>Simulation of the long-term soil response to acid deposition in various buffer ranges. Water, Air, &amp; Soil Pollution 48</w:t>
      </w:r>
      <w:r w:rsidR="003D689A">
        <w:rPr>
          <w:lang w:val="en-US"/>
        </w:rPr>
        <w:t>:</w:t>
      </w:r>
      <w:r w:rsidRPr="00334824">
        <w:rPr>
          <w:lang w:val="en-US"/>
        </w:rPr>
        <w:t xml:space="preserve"> 349-390. </w:t>
      </w:r>
    </w:p>
    <w:p w14:paraId="375A4C30" w14:textId="6B9F555E" w:rsidR="00334824" w:rsidRPr="00334824" w:rsidRDefault="00334824" w:rsidP="00C410A7">
      <w:pPr>
        <w:pStyle w:val="EEALiterature"/>
        <w:rPr>
          <w:lang w:val="en-US"/>
        </w:rPr>
      </w:pPr>
      <w:r w:rsidRPr="00334824">
        <w:rPr>
          <w:lang w:val="en-US"/>
        </w:rPr>
        <w:t>De Wit, H.A., J. Mulder, P.H. Nygaard, D. Aamlid, M. Huse, E. Kortnes, G. Wollebæk &amp; R. Brean</w:t>
      </w:r>
      <w:r w:rsidR="003D689A">
        <w:rPr>
          <w:lang w:val="en-US"/>
        </w:rPr>
        <w:t xml:space="preserve"> (</w:t>
      </w:r>
      <w:r w:rsidRPr="00334824">
        <w:rPr>
          <w:lang w:val="en-US"/>
        </w:rPr>
        <w:t>2001</w:t>
      </w:r>
      <w:r w:rsidR="003D689A">
        <w:rPr>
          <w:lang w:val="en-US"/>
        </w:rPr>
        <w:t>)</w:t>
      </w:r>
      <w:r w:rsidRPr="00334824">
        <w:rPr>
          <w:lang w:val="en-US"/>
        </w:rPr>
        <w:t>. Aluminium: The need for a re-evaluation of its toxicity and solubility in mature spruce stands. Water Air and Soil Pollution: Focus 1</w:t>
      </w:r>
      <w:r w:rsidR="003D689A">
        <w:rPr>
          <w:lang w:val="en-US"/>
        </w:rPr>
        <w:t>:</w:t>
      </w:r>
      <w:r w:rsidRPr="00334824">
        <w:rPr>
          <w:lang w:val="en-US"/>
        </w:rPr>
        <w:t xml:space="preserve"> 103-118.</w:t>
      </w:r>
    </w:p>
    <w:p w14:paraId="1E299632" w14:textId="7E447AC9" w:rsidR="00334824" w:rsidRPr="00334824" w:rsidRDefault="00334824" w:rsidP="00C410A7">
      <w:pPr>
        <w:pStyle w:val="EEALiterature"/>
        <w:rPr>
          <w:lang w:val="en-US"/>
        </w:rPr>
      </w:pPr>
      <w:r w:rsidRPr="00334824">
        <w:rPr>
          <w:lang w:val="en-US"/>
        </w:rPr>
        <w:t>Delhaize, E., Ryan, P.R.</w:t>
      </w:r>
      <w:r w:rsidR="003D689A">
        <w:rPr>
          <w:lang w:val="en-US"/>
        </w:rPr>
        <w:t xml:space="preserve"> (</w:t>
      </w:r>
      <w:r w:rsidRPr="00334824">
        <w:rPr>
          <w:lang w:val="en-US"/>
        </w:rPr>
        <w:t>1995</w:t>
      </w:r>
      <w:r w:rsidR="003D689A">
        <w:rPr>
          <w:lang w:val="en-US"/>
        </w:rPr>
        <w:t>)</w:t>
      </w:r>
      <w:r w:rsidRPr="00334824">
        <w:rPr>
          <w:lang w:val="en-US"/>
        </w:rPr>
        <w:t>. Aluminum toxicity and tolerance in plants. Plant Physiology 107, 315-321.</w:t>
      </w:r>
    </w:p>
    <w:p w14:paraId="3C73BDF4" w14:textId="28338681" w:rsidR="00334824" w:rsidRPr="00334824" w:rsidRDefault="00334824" w:rsidP="00C410A7">
      <w:pPr>
        <w:pStyle w:val="EEALiterature"/>
        <w:rPr>
          <w:lang w:val="es-ES"/>
        </w:rPr>
      </w:pPr>
      <w:r w:rsidRPr="00334824">
        <w:rPr>
          <w:lang w:val="en-US"/>
        </w:rPr>
        <w:t>Dise, N.B., J.J. Rothwell, V. Gauci, C. van der Salm &amp; W. de Vries</w:t>
      </w:r>
      <w:r w:rsidR="003D689A">
        <w:rPr>
          <w:lang w:val="en-US"/>
        </w:rPr>
        <w:t xml:space="preserve"> (</w:t>
      </w:r>
      <w:r w:rsidRPr="00334824">
        <w:rPr>
          <w:lang w:val="en-US"/>
        </w:rPr>
        <w:t>2009</w:t>
      </w:r>
      <w:r w:rsidR="003D689A">
        <w:rPr>
          <w:lang w:val="en-US"/>
        </w:rPr>
        <w:t>)</w:t>
      </w:r>
      <w:r w:rsidRPr="00334824">
        <w:rPr>
          <w:lang w:val="en-US"/>
        </w:rPr>
        <w:t xml:space="preserve">. Predicting nitrate leaching in uropean forests using two independent databases. </w:t>
      </w:r>
      <w:r w:rsidRPr="00334824">
        <w:rPr>
          <w:lang w:val="es-ES"/>
        </w:rPr>
        <w:t>Sci. Tot. Environ. 407 (5)</w:t>
      </w:r>
      <w:r w:rsidR="003D689A">
        <w:rPr>
          <w:lang w:val="es-ES"/>
        </w:rPr>
        <w:t>:</w:t>
      </w:r>
      <w:r w:rsidRPr="00334824">
        <w:rPr>
          <w:lang w:val="es-ES"/>
        </w:rPr>
        <w:t xml:space="preserve"> 1798-1808.</w:t>
      </w:r>
    </w:p>
    <w:p w14:paraId="3F4AFF8D" w14:textId="35B032EB" w:rsidR="00334824" w:rsidRPr="00334824" w:rsidRDefault="00334824" w:rsidP="00C410A7">
      <w:pPr>
        <w:pStyle w:val="EEALiterature"/>
        <w:rPr>
          <w:lang w:val="en-US"/>
        </w:rPr>
      </w:pPr>
      <w:r w:rsidRPr="00334824">
        <w:rPr>
          <w:lang w:val="es-ES"/>
        </w:rPr>
        <w:t>Gundersen, P., I. Callesen &amp; W. de Vries</w:t>
      </w:r>
      <w:r w:rsidR="003D689A">
        <w:rPr>
          <w:lang w:val="es-ES"/>
        </w:rPr>
        <w:t xml:space="preserve"> (</w:t>
      </w:r>
      <w:r w:rsidRPr="00334824">
        <w:rPr>
          <w:lang w:val="es-ES"/>
        </w:rPr>
        <w:t>1998</w:t>
      </w:r>
      <w:r w:rsidR="003D689A">
        <w:rPr>
          <w:lang w:val="es-ES"/>
        </w:rPr>
        <w:t>)</w:t>
      </w:r>
      <w:r w:rsidRPr="00334824">
        <w:rPr>
          <w:lang w:val="es-ES"/>
        </w:rPr>
        <w:t xml:space="preserve">. </w:t>
      </w:r>
      <w:r w:rsidRPr="00334824">
        <w:rPr>
          <w:lang w:val="en-US"/>
        </w:rPr>
        <w:t>Nitrate leaching in forest ecosystems is related to forest floor C/N ratios. Environ. Pollut. 102 (1)</w:t>
      </w:r>
      <w:r w:rsidR="003D689A">
        <w:rPr>
          <w:lang w:val="en-US"/>
        </w:rPr>
        <w:t>:</w:t>
      </w:r>
      <w:r w:rsidRPr="00334824">
        <w:rPr>
          <w:lang w:val="en-US"/>
        </w:rPr>
        <w:t xml:space="preserve"> 403-407.</w:t>
      </w:r>
    </w:p>
    <w:p w14:paraId="3B3A89C2" w14:textId="13C63A22" w:rsidR="00334824" w:rsidRPr="00334824" w:rsidRDefault="00334824" w:rsidP="00C410A7">
      <w:pPr>
        <w:pStyle w:val="EEALiterature"/>
        <w:rPr>
          <w:lang w:val="en-US"/>
        </w:rPr>
      </w:pPr>
      <w:r w:rsidRPr="00334824">
        <w:rPr>
          <w:lang w:val="en-US"/>
        </w:rPr>
        <w:t>Guo, J., Liu, X., Zhang, Y., Shen, J., Han, W., Zhang, W., Christie, P., Goulding, K., Vitousek, P., Zhang, F.</w:t>
      </w:r>
      <w:r w:rsidR="003D689A">
        <w:rPr>
          <w:lang w:val="en-US"/>
        </w:rPr>
        <w:t xml:space="preserve"> (</w:t>
      </w:r>
      <w:r w:rsidRPr="00334824">
        <w:rPr>
          <w:lang w:val="en-US"/>
        </w:rPr>
        <w:t>2010</w:t>
      </w:r>
      <w:r w:rsidR="003D689A">
        <w:rPr>
          <w:lang w:val="en-US"/>
        </w:rPr>
        <w:t>)</w:t>
      </w:r>
      <w:r w:rsidRPr="00334824">
        <w:rPr>
          <w:lang w:val="en-US"/>
        </w:rPr>
        <w:t>. Significant acidification in major Chinese croplands. Science 327</w:t>
      </w:r>
      <w:r w:rsidR="003D689A">
        <w:rPr>
          <w:lang w:val="en-US"/>
        </w:rPr>
        <w:t>:</w:t>
      </w:r>
      <w:r w:rsidRPr="00334824">
        <w:rPr>
          <w:lang w:val="en-US"/>
        </w:rPr>
        <w:t xml:space="preserve"> 1008-1010.</w:t>
      </w:r>
    </w:p>
    <w:p w14:paraId="4FC3A088" w14:textId="611FA20A" w:rsidR="00334824" w:rsidRPr="00334824" w:rsidRDefault="00334824" w:rsidP="00C410A7">
      <w:pPr>
        <w:pStyle w:val="EEALiterature"/>
        <w:rPr>
          <w:lang w:val="en-US"/>
        </w:rPr>
      </w:pPr>
      <w:r w:rsidRPr="00334824">
        <w:rPr>
          <w:lang w:val="en-US"/>
        </w:rPr>
        <w:t>Hinsinger, P.</w:t>
      </w:r>
      <w:r w:rsidR="003D689A">
        <w:rPr>
          <w:lang w:val="en-US"/>
        </w:rPr>
        <w:t xml:space="preserve"> (</w:t>
      </w:r>
      <w:r w:rsidRPr="00334824">
        <w:rPr>
          <w:lang w:val="en-US"/>
        </w:rPr>
        <w:t>2001</w:t>
      </w:r>
      <w:r w:rsidR="003D689A">
        <w:rPr>
          <w:lang w:val="en-US"/>
        </w:rPr>
        <w:t>)</w:t>
      </w:r>
      <w:r w:rsidRPr="00334824">
        <w:rPr>
          <w:lang w:val="en-US"/>
        </w:rPr>
        <w:t>. Bioavailability of soil inorganic P in the rhizosphere as affected by root-induced chemical changes: A review. Plant and Soil 237</w:t>
      </w:r>
      <w:r w:rsidR="003D689A">
        <w:rPr>
          <w:lang w:val="en-US"/>
        </w:rPr>
        <w:t>:</w:t>
      </w:r>
      <w:r w:rsidRPr="00334824">
        <w:rPr>
          <w:lang w:val="en-US"/>
        </w:rPr>
        <w:t xml:space="preserve"> 173-195.</w:t>
      </w:r>
    </w:p>
    <w:p w14:paraId="1EF25F12" w14:textId="430BE9E0" w:rsidR="00334824" w:rsidRPr="00334824" w:rsidRDefault="00334824" w:rsidP="00C410A7">
      <w:pPr>
        <w:pStyle w:val="EEALiterature"/>
        <w:rPr>
          <w:lang w:val="en-US"/>
        </w:rPr>
      </w:pPr>
      <w:r w:rsidRPr="00334824">
        <w:rPr>
          <w:lang w:val="en-US"/>
        </w:rPr>
        <w:t>Holland, J., White, P., Glendining, M., Goulding, K., McGrath, S.</w:t>
      </w:r>
      <w:r w:rsidR="003D689A">
        <w:rPr>
          <w:lang w:val="en-US"/>
        </w:rPr>
        <w:t xml:space="preserve"> (</w:t>
      </w:r>
      <w:r w:rsidRPr="00334824">
        <w:rPr>
          <w:lang w:val="en-US"/>
        </w:rPr>
        <w:t>2019</w:t>
      </w:r>
      <w:r w:rsidR="003D689A">
        <w:rPr>
          <w:lang w:val="en-US"/>
        </w:rPr>
        <w:t>)</w:t>
      </w:r>
      <w:r w:rsidRPr="00334824">
        <w:rPr>
          <w:lang w:val="en-US"/>
        </w:rPr>
        <w:t>. Yield responses of arable crops to liming–An evaluation of relationships between yields and soil pH from a long-term liming experiment. European Journal of Agronomy 105</w:t>
      </w:r>
      <w:r w:rsidR="003D689A">
        <w:rPr>
          <w:lang w:val="en-US"/>
        </w:rPr>
        <w:t>:</w:t>
      </w:r>
      <w:r w:rsidRPr="00334824">
        <w:rPr>
          <w:lang w:val="en-US"/>
        </w:rPr>
        <w:t xml:space="preserve"> 176-188.</w:t>
      </w:r>
    </w:p>
    <w:p w14:paraId="5335EAF6" w14:textId="60D73832" w:rsidR="00334824" w:rsidRPr="00334824" w:rsidRDefault="00334824" w:rsidP="00C410A7">
      <w:pPr>
        <w:pStyle w:val="EEALiterature"/>
        <w:rPr>
          <w:lang w:val="en-US"/>
        </w:rPr>
      </w:pPr>
      <w:r w:rsidRPr="00C66E1D">
        <w:rPr>
          <w:lang w:val="en-US"/>
        </w:rPr>
        <w:lastRenderedPageBreak/>
        <w:t>Huber, C., K. Kreutzer, H. Rohle &amp; A. Rothe</w:t>
      </w:r>
      <w:r w:rsidR="003D689A" w:rsidRPr="00C66E1D">
        <w:rPr>
          <w:lang w:val="en-US"/>
        </w:rPr>
        <w:t xml:space="preserve"> (</w:t>
      </w:r>
      <w:r w:rsidRPr="00C66E1D">
        <w:rPr>
          <w:lang w:val="en-US"/>
        </w:rPr>
        <w:t>2004</w:t>
      </w:r>
      <w:r w:rsidR="003D689A" w:rsidRPr="00C66E1D">
        <w:rPr>
          <w:lang w:val="en-US"/>
        </w:rPr>
        <w:t>)</w:t>
      </w:r>
      <w:r w:rsidRPr="00C66E1D">
        <w:rPr>
          <w:lang w:val="en-US"/>
        </w:rPr>
        <w:t xml:space="preserve">. </w:t>
      </w:r>
      <w:r w:rsidRPr="00334824">
        <w:rPr>
          <w:lang w:val="en-US"/>
        </w:rPr>
        <w:t xml:space="preserve">Response of artificial acid irrigation, liming, and N-fertilisation on elemental concentrations in needles, litter fluxes, volume increment, and crown transparency of </w:t>
      </w:r>
      <w:proofErr w:type="gramStart"/>
      <w:r w:rsidRPr="00334824">
        <w:rPr>
          <w:lang w:val="en-US"/>
        </w:rPr>
        <w:t>a</w:t>
      </w:r>
      <w:proofErr w:type="gramEnd"/>
      <w:r w:rsidRPr="00334824">
        <w:rPr>
          <w:lang w:val="en-US"/>
        </w:rPr>
        <w:t xml:space="preserve"> N saturated Norway spruce stand. Forest Ecol. Manage. 200 (1-3)</w:t>
      </w:r>
      <w:r w:rsidR="003D689A">
        <w:rPr>
          <w:lang w:val="en-US"/>
        </w:rPr>
        <w:t>:</w:t>
      </w:r>
      <w:r w:rsidRPr="00334824">
        <w:rPr>
          <w:lang w:val="en-US"/>
        </w:rPr>
        <w:t xml:space="preserve"> 3-21.</w:t>
      </w:r>
    </w:p>
    <w:p w14:paraId="5683CCC3" w14:textId="7ED41239" w:rsidR="00334824" w:rsidRPr="00334824" w:rsidRDefault="00334824" w:rsidP="00C410A7">
      <w:pPr>
        <w:pStyle w:val="EEALiterature"/>
        <w:rPr>
          <w:lang w:val="en-US"/>
        </w:rPr>
      </w:pPr>
      <w:r w:rsidRPr="00334824">
        <w:rPr>
          <w:lang w:val="en-US"/>
        </w:rPr>
        <w:t>Hutchinson, T.C., L. Bozic &amp; G. Munoz-Vega</w:t>
      </w:r>
      <w:r w:rsidR="003D689A">
        <w:rPr>
          <w:lang w:val="en-US"/>
        </w:rPr>
        <w:t xml:space="preserve"> (</w:t>
      </w:r>
      <w:r w:rsidRPr="00334824">
        <w:rPr>
          <w:lang w:val="en-US"/>
        </w:rPr>
        <w:t>1986</w:t>
      </w:r>
      <w:r w:rsidR="003D689A">
        <w:rPr>
          <w:lang w:val="en-US"/>
        </w:rPr>
        <w:t>)</w:t>
      </w:r>
      <w:r w:rsidRPr="00334824">
        <w:rPr>
          <w:lang w:val="en-US"/>
        </w:rPr>
        <w:t>. Responses of five species of conifer seedlings to aluminum stress. Water Air Soil Pollut. 31 (1-2)</w:t>
      </w:r>
      <w:r w:rsidR="003D689A">
        <w:rPr>
          <w:lang w:val="en-US"/>
        </w:rPr>
        <w:t>:</w:t>
      </w:r>
      <w:r w:rsidRPr="00334824">
        <w:rPr>
          <w:lang w:val="en-US"/>
        </w:rPr>
        <w:t xml:space="preserve"> 283-294.</w:t>
      </w:r>
    </w:p>
    <w:p w14:paraId="1953362D" w14:textId="2C771ECD" w:rsidR="00334824" w:rsidRPr="00334824" w:rsidRDefault="00334824" w:rsidP="00C410A7">
      <w:pPr>
        <w:pStyle w:val="EEALiterature"/>
        <w:rPr>
          <w:lang w:val="en-US"/>
        </w:rPr>
      </w:pPr>
      <w:r w:rsidRPr="00334824">
        <w:rPr>
          <w:lang w:val="en-US"/>
        </w:rPr>
        <w:t>Joslin, J.D. &amp; M.H. Wolfe</w:t>
      </w:r>
      <w:r w:rsidR="003D689A">
        <w:rPr>
          <w:lang w:val="en-US"/>
        </w:rPr>
        <w:t xml:space="preserve"> (</w:t>
      </w:r>
      <w:r w:rsidRPr="00334824">
        <w:rPr>
          <w:lang w:val="en-US"/>
        </w:rPr>
        <w:t>1988</w:t>
      </w:r>
      <w:r w:rsidR="003D689A">
        <w:rPr>
          <w:lang w:val="en-US"/>
        </w:rPr>
        <w:t>)</w:t>
      </w:r>
      <w:r w:rsidRPr="00334824">
        <w:rPr>
          <w:lang w:val="en-US"/>
        </w:rPr>
        <w:t>. Responses of red spruce seedlings to changes in soil aluminum in six amended forest soil horizons. Can. J. For. Res. 18 (12)</w:t>
      </w:r>
      <w:r w:rsidR="003D689A">
        <w:rPr>
          <w:lang w:val="en-US"/>
        </w:rPr>
        <w:t>:</w:t>
      </w:r>
      <w:r w:rsidRPr="00334824">
        <w:rPr>
          <w:lang w:val="en-US"/>
        </w:rPr>
        <w:t xml:space="preserve"> 1614-1623.</w:t>
      </w:r>
    </w:p>
    <w:p w14:paraId="28520DF4" w14:textId="37C778A6" w:rsidR="00334824" w:rsidRPr="00BE7C9A" w:rsidRDefault="00334824" w:rsidP="00C410A7">
      <w:pPr>
        <w:pStyle w:val="EEALiterature"/>
        <w:rPr>
          <w:lang w:val="de-DE"/>
        </w:rPr>
      </w:pPr>
      <w:r w:rsidRPr="00C66E1D">
        <w:rPr>
          <w:lang w:val="en-US"/>
        </w:rPr>
        <w:t>Joslin, J.D. &amp; M.H. Wolfe</w:t>
      </w:r>
      <w:r w:rsidR="003D689A" w:rsidRPr="00C66E1D">
        <w:rPr>
          <w:lang w:val="en-US"/>
        </w:rPr>
        <w:t xml:space="preserve"> (</w:t>
      </w:r>
      <w:r w:rsidRPr="00C66E1D">
        <w:rPr>
          <w:lang w:val="en-US"/>
        </w:rPr>
        <w:t>1989</w:t>
      </w:r>
      <w:r w:rsidR="003D689A" w:rsidRPr="00C66E1D">
        <w:rPr>
          <w:lang w:val="en-US"/>
        </w:rPr>
        <w:t>)</w:t>
      </w:r>
      <w:r w:rsidRPr="00C66E1D">
        <w:rPr>
          <w:lang w:val="en-US"/>
        </w:rPr>
        <w:t xml:space="preserve">. </w:t>
      </w:r>
      <w:r w:rsidRPr="00334824">
        <w:rPr>
          <w:lang w:val="en-US"/>
        </w:rPr>
        <w:t xml:space="preserve">Aluminum effects on northern red oak seedling growth in six forest soil horizons. </w:t>
      </w:r>
      <w:r w:rsidRPr="00BE7C9A">
        <w:rPr>
          <w:lang w:val="de-DE"/>
        </w:rPr>
        <w:t>Soil Sci. Soc. Am. J. 53 (1)</w:t>
      </w:r>
      <w:r w:rsidR="003D689A">
        <w:rPr>
          <w:lang w:val="de-DE"/>
        </w:rPr>
        <w:t>:</w:t>
      </w:r>
      <w:r w:rsidRPr="00BE7C9A">
        <w:rPr>
          <w:lang w:val="de-DE"/>
        </w:rPr>
        <w:t xml:space="preserve"> 274-281.</w:t>
      </w:r>
    </w:p>
    <w:p w14:paraId="6EEE068E" w14:textId="13964B51" w:rsidR="00334824" w:rsidRPr="00334824" w:rsidRDefault="00334824" w:rsidP="00C410A7">
      <w:pPr>
        <w:pStyle w:val="EEALiterature"/>
        <w:rPr>
          <w:lang w:val="en-US"/>
        </w:rPr>
      </w:pPr>
      <w:r w:rsidRPr="00BE7C9A">
        <w:rPr>
          <w:lang w:val="de-DE"/>
        </w:rPr>
        <w:t>Keltjens, W.G. &amp; E. van Loenen</w:t>
      </w:r>
      <w:r w:rsidR="003D689A">
        <w:rPr>
          <w:lang w:val="de-DE"/>
        </w:rPr>
        <w:t xml:space="preserve"> (</w:t>
      </w:r>
      <w:r w:rsidRPr="00BE7C9A">
        <w:rPr>
          <w:lang w:val="de-DE"/>
        </w:rPr>
        <w:t>1989</w:t>
      </w:r>
      <w:r w:rsidR="003D689A">
        <w:rPr>
          <w:lang w:val="de-DE"/>
        </w:rPr>
        <w:t>)</w:t>
      </w:r>
      <w:r w:rsidRPr="00BE7C9A">
        <w:rPr>
          <w:lang w:val="de-DE"/>
        </w:rPr>
        <w:t xml:space="preserve">. </w:t>
      </w:r>
      <w:r w:rsidRPr="00334824">
        <w:rPr>
          <w:lang w:val="en-US"/>
        </w:rPr>
        <w:t>Effects of aluminium and mineral nutrition on growth and chemical composition of hydroponically grown seedlings of five different forest tree species. Plant Soil 119 (1)</w:t>
      </w:r>
      <w:r w:rsidR="003D689A">
        <w:rPr>
          <w:lang w:val="en-US"/>
        </w:rPr>
        <w:t>:</w:t>
      </w:r>
      <w:r w:rsidRPr="00334824">
        <w:rPr>
          <w:lang w:val="en-US"/>
        </w:rPr>
        <w:t xml:space="preserve"> 39-50.</w:t>
      </w:r>
    </w:p>
    <w:p w14:paraId="3C7E6947" w14:textId="6C55E2AF" w:rsidR="00334824" w:rsidRPr="00334824" w:rsidRDefault="00334824" w:rsidP="00C410A7">
      <w:pPr>
        <w:pStyle w:val="EEALiterature"/>
        <w:rPr>
          <w:lang w:val="en-US"/>
        </w:rPr>
      </w:pPr>
      <w:r w:rsidRPr="00334824">
        <w:rPr>
          <w:lang w:val="en-US"/>
        </w:rPr>
        <w:t>Kinraide, T.B.</w:t>
      </w:r>
      <w:r w:rsidR="003D689A">
        <w:rPr>
          <w:lang w:val="en-US"/>
        </w:rPr>
        <w:t xml:space="preserve"> (</w:t>
      </w:r>
      <w:r w:rsidRPr="00334824">
        <w:rPr>
          <w:lang w:val="en-US"/>
        </w:rPr>
        <w:t>2003</w:t>
      </w:r>
      <w:r w:rsidR="003D689A">
        <w:rPr>
          <w:lang w:val="en-US"/>
        </w:rPr>
        <w:t>)</w:t>
      </w:r>
      <w:r w:rsidRPr="00334824">
        <w:rPr>
          <w:lang w:val="en-US"/>
        </w:rPr>
        <w:t>. Toxicity factors in acidic forest soils: attempts to evaluate separately the toxic effects of excessive Al3+ and H+ and insufficient Ca2+ and Mg2+ upon root elongation. Eur. J. Soil Sci. 54 (2)</w:t>
      </w:r>
      <w:r w:rsidR="003D689A">
        <w:rPr>
          <w:lang w:val="en-US"/>
        </w:rPr>
        <w:t>:</w:t>
      </w:r>
      <w:r w:rsidRPr="00334824">
        <w:rPr>
          <w:lang w:val="en-US"/>
        </w:rPr>
        <w:t xml:space="preserve"> 323-333.</w:t>
      </w:r>
    </w:p>
    <w:p w14:paraId="58998DA7" w14:textId="0AC30AE9" w:rsidR="00334824" w:rsidRPr="00334824" w:rsidRDefault="00334824" w:rsidP="00C410A7">
      <w:pPr>
        <w:pStyle w:val="EEALiterature"/>
        <w:rPr>
          <w:lang w:val="en-US"/>
        </w:rPr>
      </w:pPr>
      <w:r w:rsidRPr="00334824">
        <w:rPr>
          <w:lang w:val="en-US"/>
        </w:rPr>
        <w:t>Kochian, L.V., O.A. Hoekenga &amp; M.A. Piñeros</w:t>
      </w:r>
      <w:r w:rsidR="003D689A">
        <w:rPr>
          <w:lang w:val="en-US"/>
        </w:rPr>
        <w:t xml:space="preserve"> (2</w:t>
      </w:r>
      <w:r w:rsidRPr="00334824">
        <w:rPr>
          <w:lang w:val="en-US"/>
        </w:rPr>
        <w:t>004</w:t>
      </w:r>
      <w:r w:rsidR="003D689A">
        <w:rPr>
          <w:lang w:val="en-US"/>
        </w:rPr>
        <w:t>)</w:t>
      </w:r>
      <w:r w:rsidRPr="00334824">
        <w:rPr>
          <w:lang w:val="en-US"/>
        </w:rPr>
        <w:t>. How do crop plants tolerate acid soils? Mechanisms of aluminum tolerance and phosphorous efficiency. Annu. Rev. Plant Biol. 55</w:t>
      </w:r>
      <w:r w:rsidR="003D689A">
        <w:rPr>
          <w:lang w:val="en-US"/>
        </w:rPr>
        <w:t>:</w:t>
      </w:r>
      <w:r w:rsidRPr="00334824">
        <w:rPr>
          <w:lang w:val="en-US"/>
        </w:rPr>
        <w:t xml:space="preserve"> 459-493.</w:t>
      </w:r>
    </w:p>
    <w:p w14:paraId="15DC16BD" w14:textId="3047E52A" w:rsidR="00334824" w:rsidRPr="00334824" w:rsidRDefault="00334824" w:rsidP="00C410A7">
      <w:pPr>
        <w:pStyle w:val="EEALiterature"/>
        <w:rPr>
          <w:lang w:val="en-US"/>
        </w:rPr>
      </w:pPr>
      <w:r w:rsidRPr="00334824">
        <w:rPr>
          <w:lang w:val="en-US"/>
        </w:rPr>
        <w:t>Kochian, L.V., Piñeros, M.A., Liu, J., Magalhaes, J.V.</w:t>
      </w:r>
      <w:r w:rsidR="003D689A">
        <w:rPr>
          <w:lang w:val="en-US"/>
        </w:rPr>
        <w:t xml:space="preserve"> (</w:t>
      </w:r>
      <w:r w:rsidRPr="00334824">
        <w:rPr>
          <w:lang w:val="en-US"/>
        </w:rPr>
        <w:t>2015</w:t>
      </w:r>
      <w:r w:rsidR="003D689A">
        <w:rPr>
          <w:lang w:val="en-US"/>
        </w:rPr>
        <w:t>)</w:t>
      </w:r>
      <w:r w:rsidRPr="00334824">
        <w:rPr>
          <w:lang w:val="en-US"/>
        </w:rPr>
        <w:t>. Plant adaptation to acid soils: the molecular basis for crop aluminum resistance. Annual Review of Plant Biology 66</w:t>
      </w:r>
      <w:r w:rsidR="003D689A">
        <w:rPr>
          <w:lang w:val="en-US"/>
        </w:rPr>
        <w:t>:</w:t>
      </w:r>
      <w:r w:rsidRPr="00334824">
        <w:rPr>
          <w:lang w:val="en-US"/>
        </w:rPr>
        <w:t xml:space="preserve"> 571-598.</w:t>
      </w:r>
    </w:p>
    <w:p w14:paraId="376106AF" w14:textId="21510D1A" w:rsidR="00334824" w:rsidRPr="00C66E1D" w:rsidRDefault="00334824" w:rsidP="00C410A7">
      <w:pPr>
        <w:pStyle w:val="EEALiterature"/>
        <w:rPr>
          <w:lang w:val="en-US"/>
        </w:rPr>
      </w:pPr>
      <w:r w:rsidRPr="00334824">
        <w:rPr>
          <w:lang w:val="en-US"/>
        </w:rPr>
        <w:t>Kreutzer, K.</w:t>
      </w:r>
      <w:r w:rsidR="003D689A">
        <w:rPr>
          <w:lang w:val="en-US"/>
        </w:rPr>
        <w:t xml:space="preserve"> (</w:t>
      </w:r>
      <w:r w:rsidRPr="00334824">
        <w:rPr>
          <w:lang w:val="en-US"/>
        </w:rPr>
        <w:t>1995</w:t>
      </w:r>
      <w:r w:rsidR="003D689A">
        <w:rPr>
          <w:lang w:val="en-US"/>
        </w:rPr>
        <w:t>)</w:t>
      </w:r>
      <w:r w:rsidRPr="00334824">
        <w:rPr>
          <w:lang w:val="en-US"/>
        </w:rPr>
        <w:t xml:space="preserve">. Effects of forest liming on soil processes. </w:t>
      </w:r>
      <w:r w:rsidRPr="00C66E1D">
        <w:rPr>
          <w:lang w:val="en-US"/>
        </w:rPr>
        <w:t>Plant and Soil 168</w:t>
      </w:r>
      <w:r w:rsidR="003D689A" w:rsidRPr="00C66E1D">
        <w:rPr>
          <w:lang w:val="en-US"/>
        </w:rPr>
        <w:t>:</w:t>
      </w:r>
      <w:r w:rsidRPr="00C66E1D">
        <w:rPr>
          <w:lang w:val="en-US"/>
        </w:rPr>
        <w:t xml:space="preserve"> 447-470.</w:t>
      </w:r>
    </w:p>
    <w:p w14:paraId="204A3FFE" w14:textId="63FA5EF2" w:rsidR="00334824" w:rsidRPr="00334824" w:rsidRDefault="00334824" w:rsidP="00C410A7">
      <w:pPr>
        <w:pStyle w:val="EEALiterature"/>
        <w:rPr>
          <w:lang w:val="en-US"/>
        </w:rPr>
      </w:pPr>
      <w:r w:rsidRPr="00C66E1D">
        <w:rPr>
          <w:lang w:val="en-US"/>
        </w:rPr>
        <w:t>Kreutzer, K. &amp; T. Weiss</w:t>
      </w:r>
      <w:r w:rsidR="003D689A" w:rsidRPr="00C66E1D">
        <w:rPr>
          <w:lang w:val="en-US"/>
        </w:rPr>
        <w:t xml:space="preserve"> (</w:t>
      </w:r>
      <w:r w:rsidRPr="00C66E1D">
        <w:rPr>
          <w:lang w:val="en-US"/>
        </w:rPr>
        <w:t>1998</w:t>
      </w:r>
      <w:r w:rsidR="003D689A" w:rsidRPr="00C66E1D">
        <w:rPr>
          <w:lang w:val="en-US"/>
        </w:rPr>
        <w:t>)</w:t>
      </w:r>
      <w:r w:rsidRPr="00C66E1D">
        <w:rPr>
          <w:lang w:val="en-US"/>
        </w:rPr>
        <w:t xml:space="preserve">. </w:t>
      </w:r>
      <w:r w:rsidRPr="00334824">
        <w:rPr>
          <w:lang w:val="en-US"/>
        </w:rPr>
        <w:t>The Höglwald field experiments - aims, concept and basic data. Plant Soil 199 (1)</w:t>
      </w:r>
      <w:r w:rsidR="003D689A">
        <w:rPr>
          <w:lang w:val="en-US"/>
        </w:rPr>
        <w:t>:</w:t>
      </w:r>
      <w:r w:rsidRPr="00334824">
        <w:rPr>
          <w:lang w:val="en-US"/>
        </w:rPr>
        <w:t xml:space="preserve"> 1-10.</w:t>
      </w:r>
    </w:p>
    <w:p w14:paraId="5B85B3A3" w14:textId="17DEF949" w:rsidR="00334824" w:rsidRPr="00BE7C9A" w:rsidRDefault="00334824" w:rsidP="00C410A7">
      <w:pPr>
        <w:pStyle w:val="EEALiterature"/>
        <w:rPr>
          <w:lang w:val="en-US"/>
        </w:rPr>
      </w:pPr>
      <w:r w:rsidRPr="00334824">
        <w:rPr>
          <w:lang w:val="en-US"/>
        </w:rPr>
        <w:t>Løkke, H., J. Bak, U. Falkengren-Grerup, R.D. Finlay, H. Ilvesniemi, P.H. Nygaard &amp; M. Starr</w:t>
      </w:r>
      <w:r w:rsidR="003D689A">
        <w:rPr>
          <w:lang w:val="en-US"/>
        </w:rPr>
        <w:t xml:space="preserve"> (</w:t>
      </w:r>
      <w:r w:rsidRPr="00334824">
        <w:rPr>
          <w:lang w:val="en-US"/>
        </w:rPr>
        <w:t>1996</w:t>
      </w:r>
      <w:r w:rsidR="003D689A">
        <w:rPr>
          <w:lang w:val="en-US"/>
        </w:rPr>
        <w:t>)</w:t>
      </w:r>
      <w:r w:rsidRPr="00334824">
        <w:rPr>
          <w:lang w:val="en-US"/>
        </w:rPr>
        <w:t xml:space="preserve">. Critical loads of acidic deposition for forest soils: Is the current approach adequate? </w:t>
      </w:r>
      <w:r w:rsidRPr="00BE7C9A">
        <w:rPr>
          <w:lang w:val="en-US"/>
        </w:rPr>
        <w:t>Ambio 25 (8</w:t>
      </w:r>
      <w:r w:rsidR="003D689A">
        <w:rPr>
          <w:lang w:val="en-US"/>
        </w:rPr>
        <w:t>):</w:t>
      </w:r>
      <w:r w:rsidRPr="00BE7C9A">
        <w:rPr>
          <w:lang w:val="en-US"/>
        </w:rPr>
        <w:t xml:space="preserve"> 510-516.</w:t>
      </w:r>
    </w:p>
    <w:p w14:paraId="33494F2E" w14:textId="69B2EB11" w:rsidR="00334824" w:rsidRPr="00334824" w:rsidRDefault="00334824" w:rsidP="00C410A7">
      <w:pPr>
        <w:pStyle w:val="EEALiterature"/>
        <w:rPr>
          <w:lang w:val="en-US"/>
        </w:rPr>
      </w:pPr>
      <w:r w:rsidRPr="00BE7C9A">
        <w:rPr>
          <w:lang w:val="en-US"/>
        </w:rPr>
        <w:t>Lucas, R., Klaminder, J., Futter, M., Bishop, K.H., Egnell, G., Laudon, H., Högberg, P.</w:t>
      </w:r>
      <w:r w:rsidR="003D689A">
        <w:rPr>
          <w:lang w:val="en-US"/>
        </w:rPr>
        <w:t xml:space="preserve"> (</w:t>
      </w:r>
      <w:r w:rsidRPr="00BE7C9A">
        <w:rPr>
          <w:lang w:val="en-US"/>
        </w:rPr>
        <w:t>2011</w:t>
      </w:r>
      <w:r w:rsidR="003D689A">
        <w:rPr>
          <w:lang w:val="en-US"/>
        </w:rPr>
        <w:t>)</w:t>
      </w:r>
      <w:r w:rsidRPr="00BE7C9A">
        <w:rPr>
          <w:lang w:val="en-US"/>
        </w:rPr>
        <w:t xml:space="preserve">. </w:t>
      </w:r>
      <w:r w:rsidRPr="00334824">
        <w:rPr>
          <w:lang w:val="en-US"/>
        </w:rPr>
        <w:t>A meta-analysis of the effects of nitrogen additions on base cations: Implications for plants, soils, and streams. Forest Ecology and Management 262</w:t>
      </w:r>
      <w:r w:rsidR="003D689A">
        <w:rPr>
          <w:lang w:val="en-US"/>
        </w:rPr>
        <w:t xml:space="preserve">: </w:t>
      </w:r>
      <w:r w:rsidRPr="00334824">
        <w:rPr>
          <w:lang w:val="en-US"/>
        </w:rPr>
        <w:t>95-104.</w:t>
      </w:r>
    </w:p>
    <w:p w14:paraId="1E6F5ED2" w14:textId="2B37239A" w:rsidR="00334824" w:rsidRPr="00334824" w:rsidRDefault="00334824" w:rsidP="00C410A7">
      <w:pPr>
        <w:pStyle w:val="EEALiterature"/>
        <w:rPr>
          <w:lang w:val="en-US"/>
        </w:rPr>
      </w:pPr>
      <w:r w:rsidRPr="00334824">
        <w:rPr>
          <w:lang w:val="en-US"/>
        </w:rPr>
        <w:t>Lucas, R.E., Davis, J.F.</w:t>
      </w:r>
      <w:r w:rsidR="003D689A">
        <w:rPr>
          <w:lang w:val="en-US"/>
        </w:rPr>
        <w:t xml:space="preserve"> (</w:t>
      </w:r>
      <w:r w:rsidRPr="00334824">
        <w:rPr>
          <w:lang w:val="en-US"/>
        </w:rPr>
        <w:t>1961</w:t>
      </w:r>
      <w:r w:rsidR="003D689A">
        <w:rPr>
          <w:lang w:val="en-US"/>
        </w:rPr>
        <w:t>)</w:t>
      </w:r>
      <w:r w:rsidRPr="00334824">
        <w:rPr>
          <w:lang w:val="en-US"/>
        </w:rPr>
        <w:t>. Relationships between pH values of organic soils and availabilities of 12 plant nutrients. Soil Science 92</w:t>
      </w:r>
      <w:r w:rsidR="003D689A">
        <w:rPr>
          <w:lang w:val="en-US"/>
        </w:rPr>
        <w:t>:</w:t>
      </w:r>
      <w:r w:rsidRPr="00334824">
        <w:rPr>
          <w:lang w:val="en-US"/>
        </w:rPr>
        <w:t xml:space="preserve"> 177-182.</w:t>
      </w:r>
    </w:p>
    <w:p w14:paraId="3195603A" w14:textId="186258C1" w:rsidR="00334824" w:rsidRPr="00334824" w:rsidRDefault="00334824" w:rsidP="00C410A7">
      <w:pPr>
        <w:pStyle w:val="EEALiterature"/>
        <w:rPr>
          <w:lang w:val="en-US"/>
        </w:rPr>
      </w:pPr>
      <w:r w:rsidRPr="00334824">
        <w:rPr>
          <w:lang w:val="en-US"/>
        </w:rPr>
        <w:t>MacDonald, J.A., N.B. Dise, E. Matzner, M. Armbruster, P. Gundersen &amp; M. Forsius</w:t>
      </w:r>
      <w:r w:rsidR="003D689A">
        <w:rPr>
          <w:lang w:val="en-US"/>
        </w:rPr>
        <w:t xml:space="preserve"> (</w:t>
      </w:r>
      <w:r w:rsidRPr="00334824">
        <w:rPr>
          <w:lang w:val="en-US"/>
        </w:rPr>
        <w:t>2002</w:t>
      </w:r>
      <w:r w:rsidR="003D689A">
        <w:rPr>
          <w:lang w:val="en-US"/>
        </w:rPr>
        <w:t>)</w:t>
      </w:r>
      <w:r w:rsidRPr="00334824">
        <w:rPr>
          <w:lang w:val="en-US"/>
        </w:rPr>
        <w:t>. Nitrogen input together with ecosystem nitrogen enrichment predict nitrate leaching from European forests. Glob. Change Biol. 8 (10)</w:t>
      </w:r>
      <w:r w:rsidR="003D689A">
        <w:rPr>
          <w:lang w:val="en-US"/>
        </w:rPr>
        <w:t>:</w:t>
      </w:r>
      <w:r w:rsidRPr="00334824">
        <w:rPr>
          <w:lang w:val="en-US"/>
        </w:rPr>
        <w:t xml:space="preserve"> 1028-1033.</w:t>
      </w:r>
    </w:p>
    <w:p w14:paraId="4A9964EA" w14:textId="3CA9DF2D" w:rsidR="00334824" w:rsidRPr="00334824" w:rsidRDefault="00334824" w:rsidP="00C410A7">
      <w:pPr>
        <w:pStyle w:val="EEALiterature"/>
        <w:rPr>
          <w:lang w:val="en-US"/>
        </w:rPr>
      </w:pPr>
      <w:r w:rsidRPr="00334824">
        <w:rPr>
          <w:lang w:val="en-US"/>
        </w:rPr>
        <w:t>Marschner, H.</w:t>
      </w:r>
      <w:r w:rsidR="003D689A">
        <w:rPr>
          <w:lang w:val="en-US"/>
        </w:rPr>
        <w:t xml:space="preserve"> (</w:t>
      </w:r>
      <w:r w:rsidRPr="00334824">
        <w:rPr>
          <w:lang w:val="en-US"/>
        </w:rPr>
        <w:t>1990</w:t>
      </w:r>
      <w:r w:rsidR="003D689A">
        <w:rPr>
          <w:lang w:val="en-US"/>
        </w:rPr>
        <w:t>)</w:t>
      </w:r>
      <w:r w:rsidRPr="00334824">
        <w:rPr>
          <w:lang w:val="en-US"/>
        </w:rPr>
        <w:t>. Mineral Nutrition of Higher Plants. London, San Diego, New York, Boston, Sydney, Tokyo, Academic Press.</w:t>
      </w:r>
    </w:p>
    <w:p w14:paraId="79C148A9" w14:textId="3F075EEC" w:rsidR="00334824" w:rsidRPr="00334824" w:rsidRDefault="00334824" w:rsidP="00C410A7">
      <w:pPr>
        <w:pStyle w:val="EEALiterature"/>
        <w:rPr>
          <w:lang w:val="en-US"/>
        </w:rPr>
      </w:pPr>
      <w:r w:rsidRPr="00334824">
        <w:rPr>
          <w:lang w:val="en-US"/>
        </w:rPr>
        <w:t>Matzner, E. &amp; D. Murach</w:t>
      </w:r>
      <w:r w:rsidR="003D689A">
        <w:rPr>
          <w:lang w:val="en-US"/>
        </w:rPr>
        <w:t xml:space="preserve"> (</w:t>
      </w:r>
      <w:r w:rsidRPr="00334824">
        <w:rPr>
          <w:lang w:val="en-US"/>
        </w:rPr>
        <w:t>1995</w:t>
      </w:r>
      <w:r w:rsidR="003D689A">
        <w:rPr>
          <w:lang w:val="en-US"/>
        </w:rPr>
        <w:t>)</w:t>
      </w:r>
      <w:r w:rsidRPr="00334824">
        <w:rPr>
          <w:lang w:val="en-US"/>
        </w:rPr>
        <w:t>. Soil changes induced by air pollutant deposition and their implication for forests in central Europe. Water Air Soil Pollut. 85 (1)</w:t>
      </w:r>
      <w:r w:rsidR="003D689A">
        <w:rPr>
          <w:lang w:val="en-US"/>
        </w:rPr>
        <w:t>:</w:t>
      </w:r>
      <w:r w:rsidRPr="00334824">
        <w:rPr>
          <w:lang w:val="en-US"/>
        </w:rPr>
        <w:t xml:space="preserve"> 63-76.</w:t>
      </w:r>
    </w:p>
    <w:p w14:paraId="070D6B91" w14:textId="2B3DC5D3" w:rsidR="00334824" w:rsidRPr="00334824" w:rsidRDefault="00334824" w:rsidP="00C410A7">
      <w:pPr>
        <w:pStyle w:val="EEALiterature"/>
        <w:rPr>
          <w:lang w:val="de-AT"/>
        </w:rPr>
      </w:pPr>
      <w:r w:rsidRPr="00334824">
        <w:rPr>
          <w:lang w:val="en-US"/>
        </w:rPr>
        <w:t>McCormick, L.H. &amp; K.C. Steiner</w:t>
      </w:r>
      <w:r w:rsidR="003D689A">
        <w:rPr>
          <w:lang w:val="en-US"/>
        </w:rPr>
        <w:t xml:space="preserve"> (</w:t>
      </w:r>
      <w:r w:rsidRPr="00334824">
        <w:rPr>
          <w:lang w:val="en-US"/>
        </w:rPr>
        <w:t>1978</w:t>
      </w:r>
      <w:r w:rsidR="003D689A">
        <w:rPr>
          <w:lang w:val="en-US"/>
        </w:rPr>
        <w:t>)</w:t>
      </w:r>
      <w:r w:rsidRPr="00334824">
        <w:rPr>
          <w:lang w:val="en-US"/>
        </w:rPr>
        <w:t xml:space="preserve">. Variation in aluminum tolerance among six genera of trees. </w:t>
      </w:r>
      <w:r w:rsidRPr="00334824">
        <w:rPr>
          <w:lang w:val="de-AT"/>
        </w:rPr>
        <w:t>For. Sci. 24 (4)</w:t>
      </w:r>
      <w:r w:rsidR="003D689A">
        <w:rPr>
          <w:lang w:val="de-AT"/>
        </w:rPr>
        <w:t>:</w:t>
      </w:r>
      <w:r w:rsidRPr="00334824">
        <w:rPr>
          <w:lang w:val="de-AT"/>
        </w:rPr>
        <w:t xml:space="preserve"> 565-568.</w:t>
      </w:r>
    </w:p>
    <w:p w14:paraId="28E44A02" w14:textId="628FDCA4" w:rsidR="00334824" w:rsidRPr="00334824" w:rsidRDefault="00334824" w:rsidP="00C410A7">
      <w:pPr>
        <w:pStyle w:val="EEALiterature"/>
        <w:rPr>
          <w:lang w:val="en-US"/>
        </w:rPr>
      </w:pPr>
      <w:r w:rsidRPr="00334824">
        <w:rPr>
          <w:lang w:val="de-AT"/>
        </w:rPr>
        <w:t>Mengel, K.</w:t>
      </w:r>
      <w:r w:rsidR="003D689A">
        <w:rPr>
          <w:lang w:val="de-AT"/>
        </w:rPr>
        <w:t xml:space="preserve"> (</w:t>
      </w:r>
      <w:r w:rsidRPr="00334824">
        <w:rPr>
          <w:lang w:val="de-AT"/>
        </w:rPr>
        <w:t>1991</w:t>
      </w:r>
      <w:r w:rsidR="003D689A">
        <w:rPr>
          <w:lang w:val="de-AT"/>
        </w:rPr>
        <w:t>)</w:t>
      </w:r>
      <w:r w:rsidRPr="00334824">
        <w:rPr>
          <w:lang w:val="de-AT"/>
        </w:rPr>
        <w:t xml:space="preserve">. Ernährung und Stoffwechsel der Pflanze. 7th revised edition. </w:t>
      </w:r>
      <w:r w:rsidRPr="00334824">
        <w:rPr>
          <w:lang w:val="en-US"/>
        </w:rPr>
        <w:t>Jena.</w:t>
      </w:r>
    </w:p>
    <w:p w14:paraId="58F7E845" w14:textId="31A0A8FC" w:rsidR="00334824" w:rsidRPr="00334824" w:rsidRDefault="00334824" w:rsidP="00C410A7">
      <w:pPr>
        <w:pStyle w:val="EEALiterature"/>
        <w:rPr>
          <w:lang w:val="en-US"/>
        </w:rPr>
      </w:pPr>
      <w:r w:rsidRPr="00334824">
        <w:rPr>
          <w:lang w:val="en-US"/>
        </w:rPr>
        <w:t>Rengel, Z.</w:t>
      </w:r>
      <w:r w:rsidR="003D689A">
        <w:rPr>
          <w:lang w:val="en-US"/>
        </w:rPr>
        <w:t xml:space="preserve"> (</w:t>
      </w:r>
      <w:r w:rsidRPr="00334824">
        <w:rPr>
          <w:lang w:val="en-US"/>
        </w:rPr>
        <w:t>1992</w:t>
      </w:r>
      <w:r w:rsidR="003D689A">
        <w:rPr>
          <w:lang w:val="en-US"/>
        </w:rPr>
        <w:t>)</w:t>
      </w:r>
      <w:r w:rsidRPr="00334824">
        <w:rPr>
          <w:lang w:val="en-US"/>
        </w:rPr>
        <w:t>. Role of calcium in aluminum toxicity. New Phytologist 121 (4)</w:t>
      </w:r>
      <w:r w:rsidR="003D689A">
        <w:rPr>
          <w:lang w:val="en-US"/>
        </w:rPr>
        <w:t>:</w:t>
      </w:r>
      <w:r w:rsidRPr="00334824">
        <w:rPr>
          <w:lang w:val="en-US"/>
        </w:rPr>
        <w:t xml:space="preserve"> 499-513.</w:t>
      </w:r>
    </w:p>
    <w:p w14:paraId="39968C16" w14:textId="77777777" w:rsidR="00334824" w:rsidRPr="00334824" w:rsidRDefault="00334824" w:rsidP="00C410A7">
      <w:pPr>
        <w:pStyle w:val="EEALiterature"/>
        <w:rPr>
          <w:lang w:val="en-US"/>
        </w:rPr>
      </w:pPr>
      <w:r w:rsidRPr="00476E18">
        <w:rPr>
          <w:lang w:val="en-US"/>
        </w:rPr>
        <w:t>Roelofs, J.G.M., A.J. Kempers, A.L.F.M. Houdijk &amp; J. Jansen, 1985. The effect of airborne ammonium sulphate on Pinus nigra var. maritima in the Netherlands. Plant Soil 84 (1), 45-56.</w:t>
      </w:r>
    </w:p>
    <w:p w14:paraId="5F890CD8" w14:textId="182E9642" w:rsidR="00334824" w:rsidRPr="00334824" w:rsidRDefault="00334824" w:rsidP="00C410A7">
      <w:pPr>
        <w:pStyle w:val="EEALiterature"/>
        <w:rPr>
          <w:lang w:val="en-US"/>
        </w:rPr>
      </w:pPr>
      <w:r w:rsidRPr="00334824">
        <w:rPr>
          <w:lang w:val="en-US"/>
        </w:rPr>
        <w:t>Ryan, P.J., S.P. Gessel &amp; R.J. Zasoski</w:t>
      </w:r>
      <w:r w:rsidR="00476E18">
        <w:rPr>
          <w:lang w:val="en-US"/>
        </w:rPr>
        <w:t xml:space="preserve"> (</w:t>
      </w:r>
      <w:r w:rsidRPr="00334824">
        <w:rPr>
          <w:lang w:val="en-US"/>
        </w:rPr>
        <w:t>1986a</w:t>
      </w:r>
      <w:r w:rsidR="00476E18">
        <w:rPr>
          <w:lang w:val="en-US"/>
        </w:rPr>
        <w:t>)</w:t>
      </w:r>
      <w:r w:rsidRPr="00334824">
        <w:rPr>
          <w:lang w:val="en-US"/>
        </w:rPr>
        <w:t>. Acid tolerance of Pacific Northwest conifers in solution culture. II: Effect of varying aluminium concentration at constant pH. Plant Soil 96 (2), 259-272.</w:t>
      </w:r>
    </w:p>
    <w:p w14:paraId="27BEA70B" w14:textId="0E2C9B9D" w:rsidR="00334824" w:rsidRPr="00334824" w:rsidRDefault="00334824" w:rsidP="00C410A7">
      <w:pPr>
        <w:pStyle w:val="EEALiterature"/>
        <w:rPr>
          <w:lang w:val="en-US"/>
        </w:rPr>
      </w:pPr>
      <w:r w:rsidRPr="00334824">
        <w:rPr>
          <w:lang w:val="en-US"/>
        </w:rPr>
        <w:t>Ryan, P.J., S.P. Gessel &amp; R.J. Zasoski</w:t>
      </w:r>
      <w:r w:rsidR="00476E18">
        <w:rPr>
          <w:lang w:val="en-US"/>
        </w:rPr>
        <w:t xml:space="preserve"> (1</w:t>
      </w:r>
      <w:r w:rsidRPr="00334824">
        <w:rPr>
          <w:lang w:val="en-US"/>
        </w:rPr>
        <w:t>986b</w:t>
      </w:r>
      <w:r w:rsidR="00476E18">
        <w:rPr>
          <w:lang w:val="en-US"/>
        </w:rPr>
        <w:t>)</w:t>
      </w:r>
      <w:r w:rsidRPr="00334824">
        <w:rPr>
          <w:lang w:val="en-US"/>
        </w:rPr>
        <w:t>. Acid tolerance of Pacific Northwest conifers in solution culture. I: Effect of high aluminium concentration and solution acidity. Plant Soil 96 (2), 239-257.</w:t>
      </w:r>
    </w:p>
    <w:p w14:paraId="581B0C0A" w14:textId="4782CB9F" w:rsidR="00334824" w:rsidRPr="00334824" w:rsidRDefault="00334824" w:rsidP="00C410A7">
      <w:pPr>
        <w:pStyle w:val="EEALiterature"/>
        <w:rPr>
          <w:lang w:val="en-US"/>
        </w:rPr>
      </w:pPr>
      <w:r w:rsidRPr="00334824">
        <w:rPr>
          <w:lang w:val="en-US"/>
        </w:rPr>
        <w:t>Schulze, E.-D.</w:t>
      </w:r>
      <w:r w:rsidR="00476E18">
        <w:rPr>
          <w:lang w:val="en-US"/>
        </w:rPr>
        <w:t xml:space="preserve"> (</w:t>
      </w:r>
      <w:r w:rsidRPr="00334824">
        <w:rPr>
          <w:lang w:val="en-US"/>
        </w:rPr>
        <w:t>1989</w:t>
      </w:r>
      <w:r w:rsidR="00476E18">
        <w:rPr>
          <w:lang w:val="en-US"/>
        </w:rPr>
        <w:t>)</w:t>
      </w:r>
      <w:r w:rsidRPr="00334824">
        <w:rPr>
          <w:lang w:val="en-US"/>
        </w:rPr>
        <w:t>. Air Pollution and Forest Decline in a Spruce (Picea Abies) Forest. Science 244</w:t>
      </w:r>
      <w:r w:rsidR="00476E18">
        <w:rPr>
          <w:lang w:val="en-US"/>
        </w:rPr>
        <w:t>:</w:t>
      </w:r>
      <w:r w:rsidRPr="00334824">
        <w:rPr>
          <w:lang w:val="en-US"/>
        </w:rPr>
        <w:t xml:space="preserve"> 776-783.</w:t>
      </w:r>
    </w:p>
    <w:p w14:paraId="20A9BA92" w14:textId="1D84E818" w:rsidR="00334824" w:rsidRPr="00334824" w:rsidRDefault="00334824" w:rsidP="00C410A7">
      <w:pPr>
        <w:pStyle w:val="EEALiterature"/>
        <w:rPr>
          <w:lang w:val="en-US"/>
        </w:rPr>
      </w:pPr>
      <w:r w:rsidRPr="000A7E4D">
        <w:rPr>
          <w:lang w:val="en-US"/>
        </w:rPr>
        <w:t>Smit, H.P., W.G. Keltjens &amp; N. van Breemen</w:t>
      </w:r>
      <w:r w:rsidR="00476E18" w:rsidRPr="000A7E4D">
        <w:rPr>
          <w:lang w:val="en-US"/>
        </w:rPr>
        <w:t xml:space="preserve"> (</w:t>
      </w:r>
      <w:r w:rsidRPr="000A7E4D">
        <w:rPr>
          <w:lang w:val="en-US"/>
        </w:rPr>
        <w:t>1987</w:t>
      </w:r>
      <w:r w:rsidR="00476E18" w:rsidRPr="000A7E4D">
        <w:rPr>
          <w:lang w:val="en-US"/>
        </w:rPr>
        <w:t>)</w:t>
      </w:r>
      <w:r w:rsidRPr="000A7E4D">
        <w:rPr>
          <w:lang w:val="en-US"/>
        </w:rPr>
        <w:t xml:space="preserve">. </w:t>
      </w:r>
      <w:r w:rsidRPr="00334824">
        <w:rPr>
          <w:lang w:val="en-US"/>
        </w:rPr>
        <w:t>Effects of soil acidity on Douglas fir seedlings. 2. The role of pH, aluminium concentration and nitrogen nutrition (pot experiment). Neth. J. Agric. Sci. 35</w:t>
      </w:r>
      <w:r w:rsidR="00476E18">
        <w:rPr>
          <w:lang w:val="en-US"/>
        </w:rPr>
        <w:t>:</w:t>
      </w:r>
      <w:r w:rsidRPr="00334824">
        <w:rPr>
          <w:lang w:val="en-US"/>
        </w:rPr>
        <w:t xml:space="preserve"> 537-540.</w:t>
      </w:r>
    </w:p>
    <w:p w14:paraId="2A672BD6" w14:textId="0F17002D" w:rsidR="00334824" w:rsidRPr="00334824" w:rsidRDefault="00334824" w:rsidP="00C410A7">
      <w:pPr>
        <w:pStyle w:val="EEALiterature"/>
        <w:rPr>
          <w:lang w:val="en-US"/>
        </w:rPr>
      </w:pPr>
      <w:r w:rsidRPr="00334824">
        <w:rPr>
          <w:lang w:val="en-US"/>
        </w:rPr>
        <w:t>Steiner, K.C., L.H. McCormick &amp; D.S. Canavera</w:t>
      </w:r>
      <w:r w:rsidR="00476E18">
        <w:rPr>
          <w:lang w:val="en-US"/>
        </w:rPr>
        <w:t xml:space="preserve"> (</w:t>
      </w:r>
      <w:r w:rsidRPr="00334824">
        <w:rPr>
          <w:lang w:val="en-US"/>
        </w:rPr>
        <w:t>1980</w:t>
      </w:r>
      <w:r w:rsidR="00476E18">
        <w:rPr>
          <w:lang w:val="en-US"/>
        </w:rPr>
        <w:t>)</w:t>
      </w:r>
      <w:r w:rsidRPr="00334824">
        <w:rPr>
          <w:lang w:val="en-US"/>
        </w:rPr>
        <w:t>. Differential response of paper birch provenances to aluminium in solution culture. Can. J. For. Res. 10 (1)</w:t>
      </w:r>
      <w:r w:rsidR="00476E18">
        <w:rPr>
          <w:lang w:val="en-US"/>
        </w:rPr>
        <w:t>:</w:t>
      </w:r>
      <w:r w:rsidRPr="00334824">
        <w:rPr>
          <w:lang w:val="en-US"/>
        </w:rPr>
        <w:t xml:space="preserve"> 25-29.</w:t>
      </w:r>
    </w:p>
    <w:p w14:paraId="53097E71" w14:textId="54947714" w:rsidR="00334824" w:rsidRPr="00334824" w:rsidRDefault="00334824" w:rsidP="00C410A7">
      <w:pPr>
        <w:pStyle w:val="EEALiterature"/>
        <w:rPr>
          <w:lang w:val="en-US"/>
        </w:rPr>
      </w:pPr>
      <w:r w:rsidRPr="00C66E1D">
        <w:rPr>
          <w:lang w:val="en-US"/>
        </w:rPr>
        <w:lastRenderedPageBreak/>
        <w:t>Sverdrup, H., W. de Vries &amp; A. Henriksen</w:t>
      </w:r>
      <w:r w:rsidR="00476E18" w:rsidRPr="00C66E1D">
        <w:rPr>
          <w:lang w:val="en-US"/>
        </w:rPr>
        <w:t xml:space="preserve"> (</w:t>
      </w:r>
      <w:r w:rsidRPr="00C66E1D">
        <w:rPr>
          <w:lang w:val="en-US"/>
        </w:rPr>
        <w:t>1990</w:t>
      </w:r>
      <w:r w:rsidR="00476E18" w:rsidRPr="00C66E1D">
        <w:rPr>
          <w:lang w:val="en-US"/>
        </w:rPr>
        <w:t>)</w:t>
      </w:r>
      <w:r w:rsidRPr="00C66E1D">
        <w:rPr>
          <w:lang w:val="en-US"/>
        </w:rPr>
        <w:t xml:space="preserve">. </w:t>
      </w:r>
      <w:r w:rsidRPr="00334824">
        <w:rPr>
          <w:lang w:val="en-US"/>
        </w:rPr>
        <w:t>Mapping critical loads. A guidance manual to criteria calculation methods data collection and mapping. Miljø rapport 1990: 14. Nordic Council of Ministers Copenhagen 1990.</w:t>
      </w:r>
    </w:p>
    <w:p w14:paraId="2E449CC1" w14:textId="696459E7" w:rsidR="00334824" w:rsidRPr="00334824" w:rsidRDefault="00334824" w:rsidP="00C410A7">
      <w:pPr>
        <w:pStyle w:val="EEALiterature"/>
        <w:rPr>
          <w:lang w:val="en-US"/>
        </w:rPr>
      </w:pPr>
      <w:r w:rsidRPr="00334824">
        <w:rPr>
          <w:lang w:val="en-US"/>
        </w:rPr>
        <w:t>Sverdrup, H. &amp; P. Warfvinge</w:t>
      </w:r>
      <w:r w:rsidR="00476E18">
        <w:rPr>
          <w:lang w:val="en-US"/>
        </w:rPr>
        <w:t xml:space="preserve"> (</w:t>
      </w:r>
      <w:r w:rsidRPr="00334824">
        <w:rPr>
          <w:lang w:val="en-US"/>
        </w:rPr>
        <w:t>1993</w:t>
      </w:r>
      <w:r w:rsidR="00476E18">
        <w:rPr>
          <w:lang w:val="en-US"/>
        </w:rPr>
        <w:t>)</w:t>
      </w:r>
      <w:r w:rsidRPr="00334824">
        <w:rPr>
          <w:lang w:val="en-US"/>
        </w:rPr>
        <w:t>. The effect of soil acidification on the growth of trees, grass and herbs as expressed by the (Ca+Mg+K)/Al ratio. Lund University, Department of Chemical Engineering II. Reports in Ecology and Environmental Engineering 1993: 2.</w:t>
      </w:r>
    </w:p>
    <w:p w14:paraId="193E5A94" w14:textId="55F9E797" w:rsidR="00334824" w:rsidRPr="00334824" w:rsidRDefault="00334824" w:rsidP="00C410A7">
      <w:pPr>
        <w:pStyle w:val="EEALiterature"/>
        <w:rPr>
          <w:lang w:val="en-US"/>
        </w:rPr>
      </w:pPr>
      <w:r w:rsidRPr="00334824">
        <w:rPr>
          <w:lang w:val="en-US"/>
        </w:rPr>
        <w:t>Sverdrup, H., G. Thelin, M. Robles, I. Stjernquist &amp; J. Sörensen</w:t>
      </w:r>
      <w:r w:rsidR="00476E18">
        <w:rPr>
          <w:lang w:val="en-US"/>
        </w:rPr>
        <w:t xml:space="preserve"> (</w:t>
      </w:r>
      <w:r w:rsidRPr="00334824">
        <w:rPr>
          <w:lang w:val="en-US"/>
        </w:rPr>
        <w:t>2006</w:t>
      </w:r>
      <w:r w:rsidR="00476E18">
        <w:rPr>
          <w:lang w:val="en-US"/>
        </w:rPr>
        <w:t>)</w:t>
      </w:r>
      <w:r w:rsidRPr="00334824">
        <w:rPr>
          <w:lang w:val="en-US"/>
        </w:rPr>
        <w:t>. Assessing sustainability of different tree species considering Ca, Mg, K, N and P at Björnstorp Estate. Biogeochem. 81</w:t>
      </w:r>
      <w:r w:rsidR="00476E18">
        <w:rPr>
          <w:lang w:val="en-US"/>
        </w:rPr>
        <w:t xml:space="preserve">: </w:t>
      </w:r>
      <w:r w:rsidRPr="00334824">
        <w:rPr>
          <w:lang w:val="en-US"/>
        </w:rPr>
        <w:t>219-238.</w:t>
      </w:r>
    </w:p>
    <w:p w14:paraId="082597AA" w14:textId="189B26C2" w:rsidR="00334824" w:rsidRPr="00334824" w:rsidRDefault="00334824" w:rsidP="00C410A7">
      <w:pPr>
        <w:pStyle w:val="EEALiterature"/>
        <w:rPr>
          <w:lang w:val="en-US"/>
        </w:rPr>
      </w:pPr>
      <w:r w:rsidRPr="00C66E1D">
        <w:rPr>
          <w:lang w:val="en-US"/>
        </w:rPr>
        <w:t>Sverdrup, H.U., P. Warfvinge &amp; K. Rosén</w:t>
      </w:r>
      <w:r w:rsidR="00476E18" w:rsidRPr="00C66E1D">
        <w:rPr>
          <w:lang w:val="en-US"/>
        </w:rPr>
        <w:t xml:space="preserve"> (</w:t>
      </w:r>
      <w:r w:rsidRPr="00C66E1D">
        <w:rPr>
          <w:lang w:val="en-US"/>
        </w:rPr>
        <w:t>1992</w:t>
      </w:r>
      <w:r w:rsidR="00476E18" w:rsidRPr="00C66E1D">
        <w:rPr>
          <w:lang w:val="en-US"/>
        </w:rPr>
        <w:t>)</w:t>
      </w:r>
      <w:r w:rsidRPr="00C66E1D">
        <w:rPr>
          <w:lang w:val="en-US"/>
        </w:rPr>
        <w:t xml:space="preserve">. </w:t>
      </w:r>
      <w:r w:rsidRPr="00334824">
        <w:rPr>
          <w:lang w:val="en-US"/>
        </w:rPr>
        <w:t>A model for the impact of soil solution Ca</w:t>
      </w:r>
      <w:proofErr w:type="gramStart"/>
      <w:r w:rsidRPr="00334824">
        <w:rPr>
          <w:lang w:val="en-US"/>
        </w:rPr>
        <w:t>:Al</w:t>
      </w:r>
      <w:proofErr w:type="gramEnd"/>
      <w:r w:rsidRPr="00334824">
        <w:rPr>
          <w:lang w:val="en-US"/>
        </w:rPr>
        <w:t xml:space="preserve"> ratio, soil moisture and temperature on tree base cation uptake. Water Air Soil Pollut. 61 (3-4)</w:t>
      </w:r>
      <w:r w:rsidR="00476E18">
        <w:rPr>
          <w:lang w:val="en-US"/>
        </w:rPr>
        <w:t>:</w:t>
      </w:r>
      <w:r w:rsidRPr="00334824">
        <w:rPr>
          <w:lang w:val="en-US"/>
        </w:rPr>
        <w:t xml:space="preserve"> 365-383.</w:t>
      </w:r>
    </w:p>
    <w:p w14:paraId="25381B91" w14:textId="6771C76E" w:rsidR="00334824" w:rsidRPr="00334824" w:rsidRDefault="00334824" w:rsidP="00C410A7">
      <w:pPr>
        <w:pStyle w:val="EEALiterature"/>
        <w:rPr>
          <w:lang w:val="de-AT"/>
        </w:rPr>
      </w:pPr>
      <w:r w:rsidRPr="00334824">
        <w:rPr>
          <w:lang w:val="en-US"/>
        </w:rPr>
        <w:t>Thornton, F.C., M. Schaedle &amp; D.J. Raynal</w:t>
      </w:r>
      <w:r w:rsidR="00476E18">
        <w:rPr>
          <w:lang w:val="en-US"/>
        </w:rPr>
        <w:t xml:space="preserve"> (</w:t>
      </w:r>
      <w:r w:rsidRPr="00334824">
        <w:rPr>
          <w:lang w:val="en-US"/>
        </w:rPr>
        <w:t>1987</w:t>
      </w:r>
      <w:r w:rsidR="00476E18">
        <w:rPr>
          <w:lang w:val="en-US"/>
        </w:rPr>
        <w:t>)</w:t>
      </w:r>
      <w:r w:rsidRPr="00334824">
        <w:rPr>
          <w:lang w:val="en-US"/>
        </w:rPr>
        <w:t xml:space="preserve">. Effects of aluminum on red spruce seedlings in solution culture. </w:t>
      </w:r>
      <w:r w:rsidRPr="00334824">
        <w:rPr>
          <w:lang w:val="de-AT"/>
        </w:rPr>
        <w:t>Environ. Exp. Bot. 27 (4)</w:t>
      </w:r>
      <w:r w:rsidR="00476E18">
        <w:rPr>
          <w:lang w:val="de-AT"/>
        </w:rPr>
        <w:t>:</w:t>
      </w:r>
      <w:r w:rsidRPr="00334824">
        <w:rPr>
          <w:lang w:val="de-AT"/>
        </w:rPr>
        <w:t xml:space="preserve"> 489-498.</w:t>
      </w:r>
    </w:p>
    <w:p w14:paraId="7486561A" w14:textId="6143867F" w:rsidR="00334824" w:rsidRPr="00334824" w:rsidRDefault="00334824" w:rsidP="00C410A7">
      <w:pPr>
        <w:pStyle w:val="EEALiterature"/>
        <w:rPr>
          <w:lang w:val="de-AT"/>
        </w:rPr>
      </w:pPr>
      <w:r w:rsidRPr="00334824">
        <w:rPr>
          <w:lang w:val="de-AT"/>
        </w:rPr>
        <w:t>Ulrich, B. &amp; E. Matzner</w:t>
      </w:r>
      <w:r w:rsidR="00476E18">
        <w:rPr>
          <w:lang w:val="de-AT"/>
        </w:rPr>
        <w:t xml:space="preserve"> (</w:t>
      </w:r>
      <w:r w:rsidRPr="00334824">
        <w:rPr>
          <w:lang w:val="de-AT"/>
        </w:rPr>
        <w:t>1983</w:t>
      </w:r>
      <w:r w:rsidR="00476E18">
        <w:rPr>
          <w:lang w:val="de-AT"/>
        </w:rPr>
        <w:t>)</w:t>
      </w:r>
      <w:r w:rsidRPr="00334824">
        <w:rPr>
          <w:lang w:val="de-AT"/>
        </w:rPr>
        <w:t>. Abiotische Folgewirkungen der weitraümigen Ausbreitung von Luftverunreinigung. Umweltforschungsplan der Bundesminister des Inneren. BRD. Forschungsbericht 10402615.</w:t>
      </w:r>
    </w:p>
    <w:p w14:paraId="60A207C6" w14:textId="7F2625B7" w:rsidR="00334824" w:rsidRPr="00334824" w:rsidRDefault="00334824" w:rsidP="00C410A7">
      <w:pPr>
        <w:pStyle w:val="EEALiterature"/>
        <w:rPr>
          <w:lang w:val="en-US"/>
        </w:rPr>
      </w:pPr>
      <w:r w:rsidRPr="00334824">
        <w:rPr>
          <w:lang w:val="de-AT"/>
        </w:rPr>
        <w:t>Ulrich, B. &amp; J. Pankrath</w:t>
      </w:r>
      <w:r w:rsidR="00476E18">
        <w:rPr>
          <w:lang w:val="de-AT"/>
        </w:rPr>
        <w:t xml:space="preserve"> (</w:t>
      </w:r>
      <w:r w:rsidRPr="00334824">
        <w:rPr>
          <w:lang w:val="de-AT"/>
        </w:rPr>
        <w:t>1983</w:t>
      </w:r>
      <w:r w:rsidR="00476E18">
        <w:rPr>
          <w:lang w:val="de-AT"/>
        </w:rPr>
        <w:t>)</w:t>
      </w:r>
      <w:r w:rsidRPr="00334824">
        <w:rPr>
          <w:lang w:val="de-AT"/>
        </w:rPr>
        <w:t xml:space="preserve">. </w:t>
      </w:r>
      <w:r w:rsidRPr="00334824">
        <w:rPr>
          <w:lang w:val="en-US"/>
        </w:rPr>
        <w:t xml:space="preserve">Effects of Accumulation of Air Pollutants on Forest Ecosystems. Dordrecht, </w:t>
      </w:r>
      <w:proofErr w:type="gramStart"/>
      <w:r w:rsidRPr="00334824">
        <w:rPr>
          <w:lang w:val="en-US"/>
        </w:rPr>
        <w:t>The</w:t>
      </w:r>
      <w:proofErr w:type="gramEnd"/>
      <w:r w:rsidRPr="00334824">
        <w:rPr>
          <w:lang w:val="en-US"/>
        </w:rPr>
        <w:t xml:space="preserve"> Netherlands, D. Reidel Publ. Co.</w:t>
      </w:r>
    </w:p>
    <w:p w14:paraId="43111929" w14:textId="6C8F4EF6" w:rsidR="00334824" w:rsidRPr="00334824" w:rsidRDefault="00334824" w:rsidP="00C410A7">
      <w:pPr>
        <w:pStyle w:val="EEALiterature"/>
        <w:rPr>
          <w:lang w:val="en-US"/>
        </w:rPr>
      </w:pPr>
      <w:r w:rsidRPr="00C66E1D">
        <w:rPr>
          <w:lang w:val="en-US"/>
        </w:rPr>
        <w:t>Van der Salm, C., W. de Vries, G.J. Reinds &amp; N.B. Dise</w:t>
      </w:r>
      <w:r w:rsidR="00476E18" w:rsidRPr="00C66E1D">
        <w:rPr>
          <w:lang w:val="en-US"/>
        </w:rPr>
        <w:t xml:space="preserve"> (</w:t>
      </w:r>
      <w:r w:rsidRPr="00C66E1D">
        <w:rPr>
          <w:lang w:val="en-US"/>
        </w:rPr>
        <w:t>2007</w:t>
      </w:r>
      <w:r w:rsidR="00476E18" w:rsidRPr="00C66E1D">
        <w:rPr>
          <w:lang w:val="en-US"/>
        </w:rPr>
        <w:t>)</w:t>
      </w:r>
      <w:r w:rsidRPr="00C66E1D">
        <w:rPr>
          <w:lang w:val="en-US"/>
        </w:rPr>
        <w:t xml:space="preserve">. </w:t>
      </w:r>
      <w:r w:rsidRPr="00334824">
        <w:rPr>
          <w:lang w:val="en-US"/>
        </w:rPr>
        <w:t>N leaching across European forests: Derivation and validation of empirical relationships using data from intensive monitoring plots. Forest Ecol. Manage. 238</w:t>
      </w:r>
      <w:r w:rsidR="00476E18">
        <w:rPr>
          <w:lang w:val="en-US"/>
        </w:rPr>
        <w:t>:</w:t>
      </w:r>
      <w:r w:rsidRPr="00334824">
        <w:rPr>
          <w:lang w:val="en-US"/>
        </w:rPr>
        <w:t xml:space="preserve"> 81-91.</w:t>
      </w:r>
    </w:p>
    <w:p w14:paraId="01FF18C2" w14:textId="7F931560" w:rsidR="00334824" w:rsidRPr="00334824" w:rsidRDefault="00334824" w:rsidP="00C410A7">
      <w:pPr>
        <w:pStyle w:val="EEALiterature"/>
        <w:rPr>
          <w:lang w:val="en-US"/>
        </w:rPr>
      </w:pPr>
      <w:r w:rsidRPr="00334824">
        <w:rPr>
          <w:lang w:val="en-US"/>
        </w:rPr>
        <w:t>Walker, R., Watson, C., Edwards, A.</w:t>
      </w:r>
      <w:r w:rsidR="00476E18">
        <w:rPr>
          <w:lang w:val="en-US"/>
        </w:rPr>
        <w:t xml:space="preserve"> (</w:t>
      </w:r>
      <w:r w:rsidRPr="00334824">
        <w:rPr>
          <w:lang w:val="en-US"/>
        </w:rPr>
        <w:t>2011</w:t>
      </w:r>
      <w:r w:rsidR="00476E18">
        <w:rPr>
          <w:lang w:val="en-US"/>
        </w:rPr>
        <w:t>)</w:t>
      </w:r>
      <w:r w:rsidRPr="00334824">
        <w:rPr>
          <w:lang w:val="en-US"/>
        </w:rPr>
        <w:t>. The long-term effects of widely differing soil pH on the yields of an eight course crop rotation established in 1961. Aspects of Applied Biology</w:t>
      </w:r>
      <w:r w:rsidR="00476E18">
        <w:rPr>
          <w:lang w:val="en-US"/>
        </w:rPr>
        <w:t>:</w:t>
      </w:r>
      <w:r w:rsidRPr="00334824">
        <w:rPr>
          <w:lang w:val="en-US"/>
        </w:rPr>
        <w:t xml:space="preserve"> 111-115.</w:t>
      </w:r>
    </w:p>
    <w:p w14:paraId="32657C4E" w14:textId="4BDA8036" w:rsidR="00334824" w:rsidRPr="00334824" w:rsidRDefault="00334824" w:rsidP="00C410A7">
      <w:pPr>
        <w:pStyle w:val="EEALiterature"/>
        <w:rPr>
          <w:lang w:val="de-AT"/>
        </w:rPr>
      </w:pPr>
      <w:r w:rsidRPr="00C66E1D">
        <w:rPr>
          <w:lang w:val="en-US"/>
        </w:rPr>
        <w:t>Wang, B., J. Shen, W. Zhang, F. Zhang &amp; G. Neumann</w:t>
      </w:r>
      <w:r w:rsidR="00476E18" w:rsidRPr="00C66E1D">
        <w:rPr>
          <w:lang w:val="en-US"/>
        </w:rPr>
        <w:t xml:space="preserve"> (</w:t>
      </w:r>
      <w:r w:rsidRPr="00C66E1D">
        <w:rPr>
          <w:lang w:val="en-US"/>
        </w:rPr>
        <w:t>2007</w:t>
      </w:r>
      <w:r w:rsidR="00476E18" w:rsidRPr="00C66E1D">
        <w:rPr>
          <w:lang w:val="en-US"/>
        </w:rPr>
        <w:t>)</w:t>
      </w:r>
      <w:r w:rsidRPr="00C66E1D">
        <w:rPr>
          <w:lang w:val="en-US"/>
        </w:rPr>
        <w:t xml:space="preserve">. </w:t>
      </w:r>
      <w:r w:rsidRPr="00334824">
        <w:rPr>
          <w:lang w:val="en-US"/>
        </w:rPr>
        <w:t xml:space="preserve">Citrate exudation from white lupin induced by phosphorus deficiency differs from that induced by aluminum. </w:t>
      </w:r>
      <w:r w:rsidRPr="00334824">
        <w:rPr>
          <w:lang w:val="de-AT"/>
        </w:rPr>
        <w:t>New phytologist 176 (3)</w:t>
      </w:r>
      <w:r w:rsidR="00476E18">
        <w:rPr>
          <w:lang w:val="de-AT"/>
        </w:rPr>
        <w:t>:</w:t>
      </w:r>
      <w:r w:rsidRPr="00334824">
        <w:rPr>
          <w:lang w:val="de-AT"/>
        </w:rPr>
        <w:t xml:space="preserve"> 581-58c9.</w:t>
      </w:r>
    </w:p>
    <w:p w14:paraId="7A5E8E28" w14:textId="4C5BD137" w:rsidR="00334824" w:rsidRPr="00334824" w:rsidRDefault="00334824" w:rsidP="00C410A7">
      <w:pPr>
        <w:pStyle w:val="EEALiterature"/>
        <w:rPr>
          <w:lang w:val="en-US"/>
        </w:rPr>
      </w:pPr>
      <w:r w:rsidRPr="00334824">
        <w:rPr>
          <w:lang w:val="de-AT"/>
        </w:rPr>
        <w:t>Warfvinge, P., U. Falkengren-Grerup, H. Sverdrup &amp; B. Andersen</w:t>
      </w:r>
      <w:r w:rsidR="00476E18">
        <w:rPr>
          <w:lang w:val="de-AT"/>
        </w:rPr>
        <w:t xml:space="preserve"> (</w:t>
      </w:r>
      <w:r w:rsidRPr="00334824">
        <w:rPr>
          <w:lang w:val="de-AT"/>
        </w:rPr>
        <w:t>1993</w:t>
      </w:r>
      <w:r w:rsidR="00476E18">
        <w:rPr>
          <w:lang w:val="de-AT"/>
        </w:rPr>
        <w:t>)</w:t>
      </w:r>
      <w:r w:rsidRPr="00334824">
        <w:rPr>
          <w:lang w:val="de-AT"/>
        </w:rPr>
        <w:t xml:space="preserve">. </w:t>
      </w:r>
      <w:r w:rsidRPr="00334824">
        <w:rPr>
          <w:lang w:val="en-US"/>
        </w:rPr>
        <w:t>Modelling long-term cation supply in acidified forest stands. Environ. Pollut. 80 (3)</w:t>
      </w:r>
      <w:r w:rsidR="00476E18">
        <w:rPr>
          <w:lang w:val="en-US"/>
        </w:rPr>
        <w:t>:</w:t>
      </w:r>
      <w:r w:rsidRPr="00334824">
        <w:rPr>
          <w:lang w:val="en-US"/>
        </w:rPr>
        <w:t xml:space="preserve"> 209-221.</w:t>
      </w:r>
    </w:p>
    <w:p w14:paraId="188092DD" w14:textId="56171FBE" w:rsidR="00334824" w:rsidRPr="00334824" w:rsidRDefault="00334824" w:rsidP="00C410A7">
      <w:pPr>
        <w:pStyle w:val="EEALiterature"/>
        <w:rPr>
          <w:lang w:val="en-US"/>
        </w:rPr>
      </w:pPr>
      <w:r w:rsidRPr="00334824">
        <w:rPr>
          <w:lang w:val="en-US"/>
        </w:rPr>
        <w:t>Watmough, S.A., J. Aherne, C. Alewell, P. Arp, S. Bailey, T. Clair, P. Dillon, L. Duchesne, C. Eimers, I. Fernandez, N. Foster, T. Larssen, E. Miller, M. Mitchell &amp; S. Page</w:t>
      </w:r>
      <w:r w:rsidR="00476E18">
        <w:rPr>
          <w:lang w:val="en-US"/>
        </w:rPr>
        <w:t xml:space="preserve"> (</w:t>
      </w:r>
      <w:r w:rsidRPr="00334824">
        <w:rPr>
          <w:lang w:val="en-US"/>
        </w:rPr>
        <w:t>2005</w:t>
      </w:r>
      <w:r w:rsidR="00476E18">
        <w:rPr>
          <w:lang w:val="en-US"/>
        </w:rPr>
        <w:t>)</w:t>
      </w:r>
      <w:r w:rsidRPr="00334824">
        <w:rPr>
          <w:lang w:val="en-US"/>
        </w:rPr>
        <w:t xml:space="preserve">. Sulphate, nitrogen and base cation budgets at 21 forested catchments in Canada, the United States and Europe. Environmental Monitoring </w:t>
      </w:r>
      <w:proofErr w:type="gramStart"/>
      <w:r w:rsidRPr="00334824">
        <w:rPr>
          <w:lang w:val="en-US"/>
        </w:rPr>
        <w:t>And</w:t>
      </w:r>
      <w:proofErr w:type="gramEnd"/>
      <w:r w:rsidRPr="00334824">
        <w:rPr>
          <w:lang w:val="en-US"/>
        </w:rPr>
        <w:t xml:space="preserve"> Assessment 109 (1-3)</w:t>
      </w:r>
      <w:r w:rsidR="00476E18">
        <w:rPr>
          <w:lang w:val="en-US"/>
        </w:rPr>
        <w:t>:</w:t>
      </w:r>
      <w:r w:rsidRPr="00334824">
        <w:rPr>
          <w:lang w:val="en-US"/>
        </w:rPr>
        <w:t xml:space="preserve"> 1-36.</w:t>
      </w:r>
    </w:p>
    <w:p w14:paraId="178EE55B" w14:textId="4D11E123" w:rsidR="00334824" w:rsidRPr="00334824" w:rsidRDefault="00334824" w:rsidP="00C410A7">
      <w:pPr>
        <w:pStyle w:val="EEALiterature"/>
        <w:rPr>
          <w:lang w:val="en-US"/>
        </w:rPr>
      </w:pPr>
      <w:r w:rsidRPr="00C66E1D">
        <w:rPr>
          <w:lang w:val="en-US"/>
        </w:rPr>
        <w:t>Zhu, Q., X. Liu, T. Hao, M. Zeng, J. Shen, F. Zhang and W. de Vries</w:t>
      </w:r>
      <w:r w:rsidR="00476E18" w:rsidRPr="00C66E1D">
        <w:rPr>
          <w:lang w:val="en-US"/>
        </w:rPr>
        <w:t xml:space="preserve"> (</w:t>
      </w:r>
      <w:r w:rsidRPr="00C66E1D">
        <w:rPr>
          <w:lang w:val="en-US"/>
        </w:rPr>
        <w:t>2020</w:t>
      </w:r>
      <w:r w:rsidR="00476E18" w:rsidRPr="00C66E1D">
        <w:rPr>
          <w:lang w:val="en-US"/>
        </w:rPr>
        <w:t>)</w:t>
      </w:r>
      <w:r w:rsidRPr="00C66E1D">
        <w:rPr>
          <w:lang w:val="en-US"/>
        </w:rPr>
        <w:t xml:space="preserve">. </w:t>
      </w:r>
      <w:r w:rsidRPr="00334824">
        <w:rPr>
          <w:lang w:val="en-US"/>
        </w:rPr>
        <w:t>Cropland acidification increases risk of yield losses and food insecurity in China. Environmental pollution 256 https://www.sciencedirect.com/science/article/pii/S0269749119322560</w:t>
      </w:r>
    </w:p>
    <w:p w14:paraId="0E900F8F" w14:textId="42900A57" w:rsidR="00B25271" w:rsidRDefault="00334824" w:rsidP="00C410A7">
      <w:pPr>
        <w:pStyle w:val="EEALiterature"/>
        <w:rPr>
          <w:lang w:val="en-US"/>
        </w:rPr>
      </w:pPr>
      <w:r w:rsidRPr="00334824">
        <w:rPr>
          <w:lang w:val="en-US"/>
        </w:rPr>
        <w:t>Zöttl, H.W. &amp; E. Mies</w:t>
      </w:r>
      <w:r w:rsidR="00476E18">
        <w:rPr>
          <w:lang w:val="en-US"/>
        </w:rPr>
        <w:t xml:space="preserve"> (</w:t>
      </w:r>
      <w:r w:rsidRPr="00334824">
        <w:rPr>
          <w:lang w:val="en-US"/>
        </w:rPr>
        <w:t>1983</w:t>
      </w:r>
      <w:r w:rsidR="00476E18">
        <w:rPr>
          <w:lang w:val="en-US"/>
        </w:rPr>
        <w:t>)</w:t>
      </w:r>
      <w:r w:rsidRPr="00334824">
        <w:rPr>
          <w:lang w:val="en-US"/>
        </w:rPr>
        <w:t xml:space="preserve">. </w:t>
      </w:r>
      <w:r w:rsidRPr="00334824">
        <w:rPr>
          <w:lang w:val="de-AT"/>
        </w:rPr>
        <w:t xml:space="preserve">Nährelementversorgung und Schadstoffbelastung von Fichtenökosystemen im Südschwarzwald unter Immissionseinfluß. </w:t>
      </w:r>
      <w:r w:rsidRPr="00334824">
        <w:rPr>
          <w:lang w:val="en-US"/>
        </w:rPr>
        <w:t>Mitteilungen der Deutschen Botanischen Gesellschaft 38</w:t>
      </w:r>
      <w:r w:rsidR="007E3AC0">
        <w:rPr>
          <w:lang w:val="en-US"/>
        </w:rPr>
        <w:t>:</w:t>
      </w:r>
      <w:r w:rsidRPr="00334824">
        <w:rPr>
          <w:lang w:val="en-US"/>
        </w:rPr>
        <w:t xml:space="preserve"> 429-434.</w:t>
      </w:r>
    </w:p>
    <w:p w14:paraId="1EC74D72" w14:textId="77777777" w:rsidR="006F3AFD" w:rsidRPr="00B25271" w:rsidRDefault="006F3AFD" w:rsidP="00C410A7">
      <w:pPr>
        <w:pStyle w:val="EEALiterature"/>
        <w:rPr>
          <w:lang w:val="en-US"/>
        </w:rPr>
      </w:pPr>
    </w:p>
    <w:p w14:paraId="50F07725" w14:textId="58C2F7B6" w:rsidR="008F64E4" w:rsidRDefault="002D6BB3" w:rsidP="00192ACE">
      <w:pPr>
        <w:pStyle w:val="berschrift2"/>
      </w:pPr>
      <w:bookmarkStart w:id="450" w:name="_Toc83997420"/>
      <w:r>
        <w:t>S</w:t>
      </w:r>
      <w:r w:rsidR="00B25271">
        <w:t>oil pollution</w:t>
      </w:r>
      <w:bookmarkEnd w:id="450"/>
    </w:p>
    <w:p w14:paraId="1DCDC6AC" w14:textId="28A75D4A" w:rsidR="009E645B" w:rsidRDefault="009E645B" w:rsidP="00C410A7">
      <w:pPr>
        <w:pStyle w:val="EEALiterature"/>
        <w:rPr>
          <w:lang w:val="es-ES"/>
        </w:rPr>
      </w:pPr>
    </w:p>
    <w:p w14:paraId="5AAF5900" w14:textId="77777777" w:rsidR="006F3AFD" w:rsidRDefault="006F3AFD" w:rsidP="00C410A7">
      <w:pPr>
        <w:pStyle w:val="EEALiterature"/>
        <w:rPr>
          <w:lang w:val="es-ES"/>
        </w:rPr>
      </w:pPr>
      <w:r w:rsidRPr="00846538">
        <w:rPr>
          <w:lang w:val="es-ES"/>
        </w:rPr>
        <w:t>Alphenaar. P.A. and M. van Houten (2016). Inventory of awareness, approaches and policy - Insight in emerging contaminants in Europe. Ministry of Infrastructure and Environment, the Netherlands, and Public Waste Agency of Flanders, Belgium. © Witteveen+Bos Raadgevende ingenieurs B.V., Deventer, The Netherlands.</w:t>
      </w:r>
    </w:p>
    <w:p w14:paraId="13F64A1E" w14:textId="77777777" w:rsidR="006F3AFD" w:rsidRDefault="006F3AFD" w:rsidP="00C410A7">
      <w:pPr>
        <w:pStyle w:val="EEALiterature"/>
        <w:rPr>
          <w:rFonts w:asciiTheme="majorHAnsi" w:hAnsiTheme="majorHAnsi" w:cstheme="majorHAnsi"/>
          <w:szCs w:val="22"/>
          <w:lang w:val="en-US"/>
        </w:rPr>
      </w:pPr>
      <w:r w:rsidRPr="001E00D9">
        <w:rPr>
          <w:rFonts w:asciiTheme="majorHAnsi" w:hAnsiTheme="majorHAnsi" w:cstheme="majorHAnsi"/>
          <w:szCs w:val="22"/>
          <w:lang w:val="en-US"/>
        </w:rPr>
        <w:t>Ballabio</w:t>
      </w:r>
      <w:r>
        <w:rPr>
          <w:rFonts w:asciiTheme="majorHAnsi" w:hAnsiTheme="majorHAnsi" w:cstheme="majorHAnsi"/>
          <w:szCs w:val="22"/>
          <w:lang w:val="en-US"/>
        </w:rPr>
        <w:t>, C.</w:t>
      </w:r>
      <w:r w:rsidRPr="001E00D9">
        <w:rPr>
          <w:rFonts w:asciiTheme="majorHAnsi" w:hAnsiTheme="majorHAnsi" w:cstheme="majorHAnsi"/>
          <w:szCs w:val="22"/>
          <w:lang w:val="en-US"/>
        </w:rPr>
        <w:t>, P</w:t>
      </w:r>
      <w:r>
        <w:rPr>
          <w:rFonts w:asciiTheme="majorHAnsi" w:hAnsiTheme="majorHAnsi" w:cstheme="majorHAnsi"/>
          <w:szCs w:val="22"/>
          <w:lang w:val="en-US"/>
        </w:rPr>
        <w:t>.</w:t>
      </w:r>
      <w:r w:rsidRPr="001E00D9">
        <w:rPr>
          <w:rFonts w:asciiTheme="majorHAnsi" w:hAnsiTheme="majorHAnsi" w:cstheme="majorHAnsi"/>
          <w:szCs w:val="22"/>
          <w:lang w:val="en-US"/>
        </w:rPr>
        <w:t xml:space="preserve"> Panagos, E</w:t>
      </w:r>
      <w:r>
        <w:rPr>
          <w:rFonts w:asciiTheme="majorHAnsi" w:hAnsiTheme="majorHAnsi" w:cstheme="majorHAnsi"/>
          <w:szCs w:val="22"/>
          <w:lang w:val="en-US"/>
        </w:rPr>
        <w:t>.</w:t>
      </w:r>
      <w:r w:rsidRPr="001E00D9">
        <w:rPr>
          <w:rFonts w:asciiTheme="majorHAnsi" w:hAnsiTheme="majorHAnsi" w:cstheme="majorHAnsi"/>
          <w:szCs w:val="22"/>
          <w:lang w:val="en-US"/>
        </w:rPr>
        <w:t xml:space="preserve"> Lugato, J</w:t>
      </w:r>
      <w:r>
        <w:rPr>
          <w:rFonts w:asciiTheme="majorHAnsi" w:hAnsiTheme="majorHAnsi" w:cstheme="majorHAnsi"/>
          <w:szCs w:val="22"/>
          <w:lang w:val="en-US"/>
        </w:rPr>
        <w:t>.</w:t>
      </w:r>
      <w:r w:rsidRPr="001E00D9">
        <w:rPr>
          <w:rFonts w:asciiTheme="majorHAnsi" w:hAnsiTheme="majorHAnsi" w:cstheme="majorHAnsi"/>
          <w:szCs w:val="22"/>
          <w:lang w:val="en-US"/>
        </w:rPr>
        <w:t>-H</w:t>
      </w:r>
      <w:r>
        <w:rPr>
          <w:rFonts w:asciiTheme="majorHAnsi" w:hAnsiTheme="majorHAnsi" w:cstheme="majorHAnsi"/>
          <w:szCs w:val="22"/>
          <w:lang w:val="en-US"/>
        </w:rPr>
        <w:t>.</w:t>
      </w:r>
      <w:r w:rsidRPr="001E00D9">
        <w:rPr>
          <w:rFonts w:asciiTheme="majorHAnsi" w:hAnsiTheme="majorHAnsi" w:cstheme="majorHAnsi"/>
          <w:szCs w:val="22"/>
          <w:lang w:val="en-US"/>
        </w:rPr>
        <w:t xml:space="preserve"> Huang, A</w:t>
      </w:r>
      <w:r>
        <w:rPr>
          <w:rFonts w:asciiTheme="majorHAnsi" w:hAnsiTheme="majorHAnsi" w:cstheme="majorHAnsi"/>
          <w:szCs w:val="22"/>
          <w:lang w:val="en-US"/>
        </w:rPr>
        <w:t>.</w:t>
      </w:r>
      <w:r w:rsidRPr="001E00D9">
        <w:rPr>
          <w:rFonts w:asciiTheme="majorHAnsi" w:hAnsiTheme="majorHAnsi" w:cstheme="majorHAnsi"/>
          <w:szCs w:val="22"/>
          <w:lang w:val="en-US"/>
        </w:rPr>
        <w:t xml:space="preserve"> Orgiazzi, A</w:t>
      </w:r>
      <w:r>
        <w:rPr>
          <w:rFonts w:asciiTheme="majorHAnsi" w:hAnsiTheme="majorHAnsi" w:cstheme="majorHAnsi"/>
          <w:szCs w:val="22"/>
          <w:lang w:val="en-US"/>
        </w:rPr>
        <w:t xml:space="preserve">. </w:t>
      </w:r>
      <w:r w:rsidRPr="001E00D9">
        <w:rPr>
          <w:rFonts w:asciiTheme="majorHAnsi" w:hAnsiTheme="majorHAnsi" w:cstheme="majorHAnsi"/>
          <w:szCs w:val="22"/>
          <w:lang w:val="en-US"/>
        </w:rPr>
        <w:t>Jones,</w:t>
      </w:r>
      <w:r>
        <w:rPr>
          <w:rFonts w:asciiTheme="majorHAnsi" w:hAnsiTheme="majorHAnsi" w:cstheme="majorHAnsi"/>
          <w:szCs w:val="22"/>
          <w:lang w:val="en-US"/>
        </w:rPr>
        <w:t xml:space="preserve"> </w:t>
      </w:r>
      <w:r w:rsidRPr="001E00D9">
        <w:rPr>
          <w:rFonts w:asciiTheme="majorHAnsi" w:hAnsiTheme="majorHAnsi" w:cstheme="majorHAnsi"/>
          <w:szCs w:val="22"/>
          <w:lang w:val="en-US"/>
        </w:rPr>
        <w:t>O</w:t>
      </w:r>
      <w:r>
        <w:rPr>
          <w:rFonts w:asciiTheme="majorHAnsi" w:hAnsiTheme="majorHAnsi" w:cstheme="majorHAnsi"/>
          <w:szCs w:val="22"/>
          <w:lang w:val="en-US"/>
        </w:rPr>
        <w:t>.</w:t>
      </w:r>
      <w:r w:rsidRPr="001E00D9">
        <w:rPr>
          <w:rFonts w:asciiTheme="majorHAnsi" w:hAnsiTheme="majorHAnsi" w:cstheme="majorHAnsi"/>
          <w:szCs w:val="22"/>
          <w:lang w:val="en-US"/>
        </w:rPr>
        <w:t xml:space="preserve"> Fernández-Ugalde, P</w:t>
      </w:r>
      <w:r>
        <w:rPr>
          <w:rFonts w:asciiTheme="majorHAnsi" w:hAnsiTheme="majorHAnsi" w:cstheme="majorHAnsi"/>
          <w:szCs w:val="22"/>
          <w:lang w:val="en-US"/>
        </w:rPr>
        <w:t>.</w:t>
      </w:r>
      <w:r w:rsidRPr="001E00D9">
        <w:rPr>
          <w:rFonts w:asciiTheme="majorHAnsi" w:hAnsiTheme="majorHAnsi" w:cstheme="majorHAnsi"/>
          <w:szCs w:val="22"/>
          <w:lang w:val="en-US"/>
        </w:rPr>
        <w:t xml:space="preserve"> Borrelli</w:t>
      </w:r>
      <w:r>
        <w:rPr>
          <w:rFonts w:asciiTheme="majorHAnsi" w:hAnsiTheme="majorHAnsi" w:cstheme="majorHAnsi"/>
          <w:szCs w:val="22"/>
          <w:lang w:val="en-US"/>
        </w:rPr>
        <w:t xml:space="preserve"> and </w:t>
      </w:r>
      <w:r w:rsidRPr="001E00D9">
        <w:rPr>
          <w:rFonts w:asciiTheme="majorHAnsi" w:hAnsiTheme="majorHAnsi" w:cstheme="majorHAnsi"/>
          <w:szCs w:val="22"/>
          <w:lang w:val="en-US"/>
        </w:rPr>
        <w:t>L</w:t>
      </w:r>
      <w:r>
        <w:rPr>
          <w:rFonts w:asciiTheme="majorHAnsi" w:hAnsiTheme="majorHAnsi" w:cstheme="majorHAnsi"/>
          <w:szCs w:val="22"/>
          <w:lang w:val="en-US"/>
        </w:rPr>
        <w:t>.</w:t>
      </w:r>
      <w:r w:rsidRPr="001E00D9">
        <w:rPr>
          <w:rFonts w:asciiTheme="majorHAnsi" w:hAnsiTheme="majorHAnsi" w:cstheme="majorHAnsi"/>
          <w:szCs w:val="22"/>
          <w:lang w:val="en-US"/>
        </w:rPr>
        <w:t xml:space="preserve"> Montanarella</w:t>
      </w:r>
      <w:r>
        <w:rPr>
          <w:rFonts w:asciiTheme="majorHAnsi" w:hAnsiTheme="majorHAnsi" w:cstheme="majorHAnsi"/>
          <w:szCs w:val="22"/>
          <w:lang w:val="en-US"/>
        </w:rPr>
        <w:t xml:space="preserve"> (2018). </w:t>
      </w:r>
      <w:r w:rsidRPr="005859D5">
        <w:rPr>
          <w:rFonts w:asciiTheme="majorHAnsi" w:hAnsiTheme="majorHAnsi" w:cstheme="majorHAnsi"/>
          <w:szCs w:val="22"/>
          <w:lang w:val="en-US"/>
        </w:rPr>
        <w:t>Copper distribution in European topsoils: An assessment based on LUCAS</w:t>
      </w:r>
      <w:r>
        <w:rPr>
          <w:rFonts w:asciiTheme="majorHAnsi" w:hAnsiTheme="majorHAnsi" w:cstheme="majorHAnsi"/>
          <w:szCs w:val="22"/>
          <w:lang w:val="en-US"/>
        </w:rPr>
        <w:t xml:space="preserve"> </w:t>
      </w:r>
      <w:r w:rsidRPr="005859D5">
        <w:rPr>
          <w:rFonts w:asciiTheme="majorHAnsi" w:hAnsiTheme="majorHAnsi" w:cstheme="majorHAnsi"/>
          <w:szCs w:val="22"/>
          <w:lang w:val="en-US"/>
        </w:rPr>
        <w:t>soil survey</w:t>
      </w:r>
      <w:r>
        <w:rPr>
          <w:rFonts w:asciiTheme="majorHAnsi" w:hAnsiTheme="majorHAnsi" w:cstheme="majorHAnsi"/>
          <w:szCs w:val="22"/>
          <w:lang w:val="en-US"/>
        </w:rPr>
        <w:t xml:space="preserve">. </w:t>
      </w:r>
      <w:r w:rsidRPr="00E97B38">
        <w:rPr>
          <w:rFonts w:asciiTheme="majorHAnsi" w:hAnsiTheme="majorHAnsi" w:cstheme="majorHAnsi"/>
          <w:szCs w:val="22"/>
          <w:lang w:val="en-US"/>
        </w:rPr>
        <w:t>Science of the Total Environment</w:t>
      </w:r>
      <w:r>
        <w:rPr>
          <w:rFonts w:asciiTheme="majorHAnsi" w:hAnsiTheme="majorHAnsi" w:cstheme="majorHAnsi"/>
          <w:szCs w:val="22"/>
          <w:lang w:val="en-US"/>
        </w:rPr>
        <w:t xml:space="preserve"> 636: 282-298. </w:t>
      </w:r>
      <w:r w:rsidRPr="00197F5F">
        <w:rPr>
          <w:rFonts w:asciiTheme="majorHAnsi" w:hAnsiTheme="majorHAnsi" w:cstheme="majorHAnsi"/>
          <w:szCs w:val="22"/>
          <w:lang w:val="en-US"/>
        </w:rPr>
        <w:t>doi.org/10.1016/j.scitotenv.2018.04.268</w:t>
      </w:r>
    </w:p>
    <w:p w14:paraId="6A8610B3" w14:textId="77777777" w:rsidR="006F3AFD" w:rsidRPr="00C15622" w:rsidRDefault="006F3AFD" w:rsidP="00C410A7">
      <w:pPr>
        <w:pStyle w:val="EEALiterature"/>
        <w:rPr>
          <w:rFonts w:asciiTheme="majorHAnsi" w:hAnsiTheme="majorHAnsi" w:cstheme="majorHAnsi"/>
          <w:szCs w:val="22"/>
        </w:rPr>
      </w:pPr>
      <w:r w:rsidRPr="00087750">
        <w:rPr>
          <w:rFonts w:asciiTheme="majorHAnsi" w:hAnsiTheme="majorHAnsi" w:cstheme="majorHAnsi"/>
          <w:szCs w:val="22"/>
          <w:lang w:val="en-US"/>
        </w:rPr>
        <w:t xml:space="preserve">Becking, G.C., M. Nordberg and G.F. Nordberg </w:t>
      </w:r>
      <w:r w:rsidRPr="00C15622">
        <w:rPr>
          <w:rFonts w:asciiTheme="majorHAnsi" w:hAnsiTheme="majorHAnsi" w:cstheme="majorHAnsi"/>
          <w:szCs w:val="22"/>
        </w:rPr>
        <w:t xml:space="preserve">(2007). Essential Metals: Assessing Risks from Deficiency and Toxicity. </w:t>
      </w:r>
      <w:r w:rsidRPr="00926511">
        <w:rPr>
          <w:rFonts w:asciiTheme="majorHAnsi" w:hAnsiTheme="majorHAnsi" w:cstheme="majorHAnsi"/>
          <w:szCs w:val="22"/>
        </w:rPr>
        <w:t>In: Nordberg, G</w:t>
      </w:r>
      <w:r>
        <w:rPr>
          <w:rFonts w:asciiTheme="majorHAnsi" w:hAnsiTheme="majorHAnsi" w:cstheme="majorHAnsi"/>
          <w:szCs w:val="22"/>
        </w:rPr>
        <w:t>.</w:t>
      </w:r>
      <w:r w:rsidRPr="00926511">
        <w:rPr>
          <w:rFonts w:asciiTheme="majorHAnsi" w:hAnsiTheme="majorHAnsi" w:cstheme="majorHAnsi"/>
          <w:szCs w:val="22"/>
        </w:rPr>
        <w:t>F.</w:t>
      </w:r>
      <w:r>
        <w:rPr>
          <w:rFonts w:asciiTheme="majorHAnsi" w:hAnsiTheme="majorHAnsi" w:cstheme="majorHAnsi"/>
          <w:szCs w:val="22"/>
        </w:rPr>
        <w:t xml:space="preserve">, </w:t>
      </w:r>
      <w:r w:rsidRPr="00926511">
        <w:rPr>
          <w:rFonts w:asciiTheme="majorHAnsi" w:hAnsiTheme="majorHAnsi" w:cstheme="majorHAnsi"/>
          <w:szCs w:val="22"/>
        </w:rPr>
        <w:t>B</w:t>
      </w:r>
      <w:r>
        <w:rPr>
          <w:rFonts w:asciiTheme="majorHAnsi" w:hAnsiTheme="majorHAnsi" w:cstheme="majorHAnsi"/>
          <w:szCs w:val="22"/>
        </w:rPr>
        <w:t>.</w:t>
      </w:r>
      <w:r w:rsidRPr="00926511">
        <w:rPr>
          <w:rFonts w:asciiTheme="majorHAnsi" w:hAnsiTheme="majorHAnsi" w:cstheme="majorHAnsi"/>
          <w:szCs w:val="22"/>
        </w:rPr>
        <w:t>A. Fowler, M</w:t>
      </w:r>
      <w:r>
        <w:rPr>
          <w:rFonts w:asciiTheme="majorHAnsi" w:hAnsiTheme="majorHAnsi" w:cstheme="majorHAnsi"/>
          <w:szCs w:val="22"/>
        </w:rPr>
        <w:t>.</w:t>
      </w:r>
      <w:r w:rsidRPr="00926511">
        <w:rPr>
          <w:rFonts w:asciiTheme="majorHAnsi" w:hAnsiTheme="majorHAnsi" w:cstheme="majorHAnsi"/>
          <w:szCs w:val="22"/>
        </w:rPr>
        <w:t xml:space="preserve"> Nordberg and L</w:t>
      </w:r>
      <w:r>
        <w:rPr>
          <w:rFonts w:asciiTheme="majorHAnsi" w:hAnsiTheme="majorHAnsi" w:cstheme="majorHAnsi"/>
          <w:szCs w:val="22"/>
        </w:rPr>
        <w:t>.</w:t>
      </w:r>
      <w:r w:rsidRPr="00926511">
        <w:rPr>
          <w:rFonts w:asciiTheme="majorHAnsi" w:hAnsiTheme="majorHAnsi" w:cstheme="majorHAnsi"/>
          <w:szCs w:val="22"/>
        </w:rPr>
        <w:t>T. Friberg</w:t>
      </w:r>
      <w:r>
        <w:rPr>
          <w:rFonts w:asciiTheme="majorHAnsi" w:hAnsiTheme="majorHAnsi" w:cstheme="majorHAnsi"/>
          <w:szCs w:val="22"/>
        </w:rPr>
        <w:t xml:space="preserve"> (</w:t>
      </w:r>
      <w:proofErr w:type="gramStart"/>
      <w:r>
        <w:rPr>
          <w:rFonts w:asciiTheme="majorHAnsi" w:hAnsiTheme="majorHAnsi" w:cstheme="majorHAnsi"/>
          <w:szCs w:val="22"/>
        </w:rPr>
        <w:t>eds</w:t>
      </w:r>
      <w:proofErr w:type="gramEnd"/>
      <w:r>
        <w:rPr>
          <w:rFonts w:asciiTheme="majorHAnsi" w:hAnsiTheme="majorHAnsi" w:cstheme="majorHAnsi"/>
          <w:szCs w:val="22"/>
        </w:rPr>
        <w:t xml:space="preserve">). </w:t>
      </w:r>
      <w:r w:rsidRPr="00926511">
        <w:rPr>
          <w:rFonts w:asciiTheme="majorHAnsi" w:hAnsiTheme="majorHAnsi" w:cstheme="majorHAnsi"/>
          <w:szCs w:val="22"/>
        </w:rPr>
        <w:t>Handbook on the Toxicology of Metals</w:t>
      </w:r>
      <w:r>
        <w:rPr>
          <w:rFonts w:asciiTheme="majorHAnsi" w:hAnsiTheme="majorHAnsi" w:cstheme="majorHAnsi"/>
          <w:szCs w:val="22"/>
        </w:rPr>
        <w:t>.</w:t>
      </w:r>
      <w:r w:rsidRPr="00926511">
        <w:rPr>
          <w:rFonts w:asciiTheme="majorHAnsi" w:hAnsiTheme="majorHAnsi" w:cstheme="majorHAnsi"/>
          <w:szCs w:val="22"/>
        </w:rPr>
        <w:t xml:space="preserve"> 3rd Edition</w:t>
      </w:r>
      <w:r>
        <w:rPr>
          <w:rFonts w:asciiTheme="majorHAnsi" w:hAnsiTheme="majorHAnsi" w:cstheme="majorHAnsi"/>
          <w:szCs w:val="22"/>
        </w:rPr>
        <w:t xml:space="preserve">. </w:t>
      </w:r>
      <w:r w:rsidRPr="00926511">
        <w:rPr>
          <w:rFonts w:asciiTheme="majorHAnsi" w:hAnsiTheme="majorHAnsi" w:cstheme="majorHAnsi"/>
          <w:szCs w:val="22"/>
        </w:rPr>
        <w:t>San Diego</w:t>
      </w:r>
      <w:r>
        <w:rPr>
          <w:rFonts w:asciiTheme="majorHAnsi" w:hAnsiTheme="majorHAnsi" w:cstheme="majorHAnsi"/>
          <w:szCs w:val="22"/>
        </w:rPr>
        <w:t>.</w:t>
      </w:r>
      <w:r w:rsidRPr="00926511">
        <w:rPr>
          <w:rFonts w:asciiTheme="majorHAnsi" w:hAnsiTheme="majorHAnsi" w:cstheme="majorHAnsi"/>
          <w:szCs w:val="22"/>
        </w:rPr>
        <w:t xml:space="preserve"> Elsevier, 2007</w:t>
      </w:r>
      <w:r>
        <w:rPr>
          <w:rFonts w:asciiTheme="majorHAnsi" w:hAnsiTheme="majorHAnsi" w:cstheme="majorHAnsi"/>
          <w:szCs w:val="22"/>
        </w:rPr>
        <w:t>:</w:t>
      </w:r>
      <w:r w:rsidRPr="00926511">
        <w:rPr>
          <w:rFonts w:asciiTheme="majorHAnsi" w:hAnsiTheme="majorHAnsi" w:cstheme="majorHAnsi"/>
          <w:szCs w:val="22"/>
        </w:rPr>
        <w:t xml:space="preserve"> p. 163-176</w:t>
      </w:r>
      <w:r w:rsidRPr="00C15622">
        <w:rPr>
          <w:rFonts w:asciiTheme="majorHAnsi" w:hAnsiTheme="majorHAnsi" w:cstheme="majorHAnsi"/>
          <w:szCs w:val="22"/>
        </w:rPr>
        <w:t>.</w:t>
      </w:r>
    </w:p>
    <w:p w14:paraId="343B9EE3" w14:textId="77777777" w:rsidR="006F3AFD" w:rsidRDefault="006F3AFD" w:rsidP="00C410A7">
      <w:pPr>
        <w:pStyle w:val="EEALiterature"/>
        <w:rPr>
          <w:rFonts w:asciiTheme="majorHAnsi" w:hAnsiTheme="majorHAnsi" w:cstheme="majorHAnsi"/>
          <w:szCs w:val="22"/>
        </w:rPr>
      </w:pPr>
      <w:r>
        <w:rPr>
          <w:rFonts w:asciiTheme="majorHAnsi" w:hAnsiTheme="majorHAnsi" w:cstheme="majorHAnsi"/>
          <w:szCs w:val="22"/>
        </w:rPr>
        <w:lastRenderedPageBreak/>
        <w:t>BMU [</w:t>
      </w:r>
      <w:r w:rsidRPr="00076417">
        <w:rPr>
          <w:rFonts w:asciiTheme="majorHAnsi" w:hAnsiTheme="majorHAnsi" w:cstheme="majorHAnsi"/>
          <w:szCs w:val="22"/>
        </w:rPr>
        <w:t>Federal Ministry for the Environment, Nature Conversation and Nuclear Safety</w:t>
      </w:r>
      <w:r>
        <w:rPr>
          <w:rFonts w:asciiTheme="majorHAnsi" w:hAnsiTheme="majorHAnsi" w:cstheme="majorHAnsi"/>
          <w:szCs w:val="22"/>
        </w:rPr>
        <w:t>] (1999, 2020)</w:t>
      </w:r>
      <w:r w:rsidRPr="00076417">
        <w:rPr>
          <w:rFonts w:asciiTheme="majorHAnsi" w:hAnsiTheme="majorHAnsi" w:cstheme="majorHAnsi"/>
          <w:szCs w:val="22"/>
        </w:rPr>
        <w:t>. Federal Soil Protection and Contaminated Sites Ordinance (BBodSchV)</w:t>
      </w:r>
      <w:r>
        <w:rPr>
          <w:rFonts w:asciiTheme="majorHAnsi" w:hAnsiTheme="majorHAnsi" w:cstheme="majorHAnsi"/>
          <w:szCs w:val="22"/>
        </w:rPr>
        <w:t>.</w:t>
      </w:r>
      <w:r w:rsidRPr="00076417">
        <w:rPr>
          <w:rFonts w:asciiTheme="majorHAnsi" w:hAnsiTheme="majorHAnsi" w:cstheme="majorHAnsi"/>
          <w:szCs w:val="22"/>
        </w:rPr>
        <w:t xml:space="preserve"> Bonn, Germany, 1999 (updated 2020)</w:t>
      </w:r>
      <w:r>
        <w:rPr>
          <w:rFonts w:asciiTheme="majorHAnsi" w:hAnsiTheme="majorHAnsi" w:cstheme="majorHAnsi"/>
          <w:szCs w:val="22"/>
        </w:rPr>
        <w:t>.</w:t>
      </w:r>
    </w:p>
    <w:p w14:paraId="6E4B279B" w14:textId="77777777" w:rsidR="006F3AFD" w:rsidRDefault="006F3AFD" w:rsidP="00C410A7">
      <w:pPr>
        <w:pStyle w:val="EEALiterature"/>
        <w:rPr>
          <w:lang w:val="es-ES"/>
        </w:rPr>
      </w:pPr>
      <w:r w:rsidRPr="002E01BE">
        <w:rPr>
          <w:lang w:val="es-ES"/>
        </w:rPr>
        <w:t>Bünemann E.K., Bongiorno G., Baic Z., Creamer R.E., De Deynb G., de Goede R., Fleskens L., Geissen V., Kuyper T.W., Mädera P., Pulleman M., Sukke W., van Groenigen J.W., Brussaard L. (2018): Soil quality – A critical review. Soil Biology and Biochemistry</w:t>
      </w:r>
      <w:r>
        <w:rPr>
          <w:lang w:val="es-ES"/>
        </w:rPr>
        <w:t xml:space="preserve"> </w:t>
      </w:r>
      <w:r w:rsidRPr="002E01BE">
        <w:rPr>
          <w:lang w:val="es-ES"/>
        </w:rPr>
        <w:t>120</w:t>
      </w:r>
      <w:r>
        <w:rPr>
          <w:lang w:val="es-ES"/>
        </w:rPr>
        <w:t>:</w:t>
      </w:r>
      <w:r w:rsidRPr="002E01BE">
        <w:rPr>
          <w:lang w:val="es-ES"/>
        </w:rPr>
        <w:t xml:space="preserve"> 105-125. </w:t>
      </w:r>
      <w:hyperlink r:id="rId72" w:history="1">
        <w:r w:rsidRPr="006F5338">
          <w:rPr>
            <w:rStyle w:val="Hyperlink"/>
            <w:lang w:val="es-ES"/>
          </w:rPr>
          <w:t>https://doi.org/10.1016/j.soilbio.2018.01.030</w:t>
        </w:r>
      </w:hyperlink>
      <w:r w:rsidRPr="002E01BE">
        <w:rPr>
          <w:lang w:val="es-ES"/>
        </w:rPr>
        <w:t>.</w:t>
      </w:r>
    </w:p>
    <w:p w14:paraId="543B478A" w14:textId="77777777" w:rsidR="006F3AFD" w:rsidRPr="00C51D7E" w:rsidRDefault="006F3AFD" w:rsidP="00C410A7">
      <w:pPr>
        <w:pStyle w:val="EEALiterature"/>
      </w:pPr>
      <w:r w:rsidRPr="00C51D7E">
        <w:rPr>
          <w:lang w:val="es-ES"/>
        </w:rPr>
        <w:t>Carlon</w:t>
      </w:r>
      <w:r>
        <w:rPr>
          <w:lang w:val="es-ES"/>
        </w:rPr>
        <w:t>,</w:t>
      </w:r>
      <w:r w:rsidRPr="00C51D7E">
        <w:rPr>
          <w:lang w:val="es-ES"/>
        </w:rPr>
        <w:t xml:space="preserve"> C</w:t>
      </w:r>
      <w:r>
        <w:rPr>
          <w:lang w:val="es-ES"/>
        </w:rPr>
        <w:t>.,</w:t>
      </w:r>
      <w:r w:rsidRPr="00C51D7E">
        <w:rPr>
          <w:lang w:val="es-ES"/>
        </w:rPr>
        <w:t xml:space="preserve"> </w:t>
      </w:r>
      <w:r>
        <w:rPr>
          <w:lang w:val="es-ES"/>
        </w:rPr>
        <w:t xml:space="preserve">M. </w:t>
      </w:r>
      <w:r w:rsidRPr="00C51D7E">
        <w:rPr>
          <w:lang w:val="es-ES"/>
        </w:rPr>
        <w:t xml:space="preserve">D’Alessandro </w:t>
      </w:r>
      <w:r>
        <w:rPr>
          <w:lang w:val="es-ES"/>
        </w:rPr>
        <w:t xml:space="preserve">and F. </w:t>
      </w:r>
      <w:r w:rsidRPr="00C51D7E">
        <w:rPr>
          <w:lang w:val="es-ES"/>
        </w:rPr>
        <w:t>Swartjes</w:t>
      </w:r>
      <w:r>
        <w:rPr>
          <w:lang w:val="es-ES"/>
        </w:rPr>
        <w:t xml:space="preserve"> (</w:t>
      </w:r>
      <w:r w:rsidRPr="00C51D7E">
        <w:rPr>
          <w:lang w:val="es-ES"/>
        </w:rPr>
        <w:t>2007</w:t>
      </w:r>
      <w:r>
        <w:rPr>
          <w:lang w:val="es-ES"/>
        </w:rPr>
        <w:t>).</w:t>
      </w:r>
      <w:r w:rsidRPr="00C51D7E">
        <w:rPr>
          <w:lang w:val="es-ES"/>
        </w:rPr>
        <w:t xml:space="preserve"> </w:t>
      </w:r>
      <w:r w:rsidRPr="00C51D7E">
        <w:t xml:space="preserve">Derivation methods of soil screening values in </w:t>
      </w:r>
      <w:r>
        <w:t>E</w:t>
      </w:r>
      <w:r w:rsidRPr="00C51D7E">
        <w:t>urope</w:t>
      </w:r>
      <w:r>
        <w:t>.</w:t>
      </w:r>
      <w:r w:rsidRPr="00C51D7E">
        <w:t xml:space="preserve"> A review and evaluation of national procedures towards harmonisation</w:t>
      </w:r>
      <w:r>
        <w:t>.</w:t>
      </w:r>
      <w:r w:rsidRPr="00C51D7E">
        <w:t xml:space="preserve"> European Commission Joint Research Centre</w:t>
      </w:r>
      <w:r>
        <w:t>,</w:t>
      </w:r>
      <w:r w:rsidRPr="00C51D7E">
        <w:t xml:space="preserve"> Ispra</w:t>
      </w:r>
      <w:r>
        <w:t>,</w:t>
      </w:r>
      <w:r w:rsidRPr="00C51D7E">
        <w:t xml:space="preserve"> Italy</w:t>
      </w:r>
      <w:r>
        <w:t>.</w:t>
      </w:r>
      <w:r w:rsidRPr="00C51D7E">
        <w:t xml:space="preserve"> </w:t>
      </w:r>
      <w:r>
        <w:t>EUR</w:t>
      </w:r>
      <w:r w:rsidRPr="00C51D7E">
        <w:t xml:space="preserve"> 22805 en–2007</w:t>
      </w:r>
      <w:r>
        <w:t>.</w:t>
      </w:r>
      <w:r w:rsidRPr="00C51D7E">
        <w:t xml:space="preserve"> </w:t>
      </w:r>
      <w:r>
        <w:t xml:space="preserve">p. </w:t>
      </w:r>
      <w:r w:rsidRPr="00C51D7E">
        <w:t>320</w:t>
      </w:r>
      <w:r>
        <w:t>.</w:t>
      </w:r>
    </w:p>
    <w:p w14:paraId="01345812" w14:textId="77777777" w:rsidR="006F3AFD" w:rsidRPr="00B40E61" w:rsidRDefault="006F3AFD" w:rsidP="00C410A7">
      <w:pPr>
        <w:pStyle w:val="EEALiterature"/>
        <w:rPr>
          <w:szCs w:val="22"/>
          <w:lang w:val="en-US"/>
        </w:rPr>
      </w:pPr>
      <w:r w:rsidRPr="000B156F">
        <w:rPr>
          <w:rFonts w:eastAsiaTheme="minorEastAsia"/>
          <w:iCs/>
          <w:szCs w:val="22"/>
          <w:lang w:val="en-US" w:eastAsia="en-US"/>
        </w:rPr>
        <w:t>Carlon, C.</w:t>
      </w:r>
      <w:r>
        <w:rPr>
          <w:rFonts w:eastAsiaTheme="minorEastAsia"/>
          <w:iCs/>
          <w:szCs w:val="22"/>
          <w:lang w:val="en-US" w:eastAsia="en-US"/>
        </w:rPr>
        <w:t xml:space="preserve"> and F.</w:t>
      </w:r>
      <w:r w:rsidRPr="000B156F">
        <w:rPr>
          <w:rFonts w:eastAsiaTheme="minorEastAsia"/>
          <w:iCs/>
          <w:szCs w:val="22"/>
          <w:lang w:val="en-US" w:eastAsia="en-US"/>
        </w:rPr>
        <w:t xml:space="preserve"> Swartjes</w:t>
      </w:r>
      <w:r w:rsidRPr="000B156F">
        <w:rPr>
          <w:rFonts w:eastAsiaTheme="minorEastAsia"/>
          <w:i/>
          <w:iCs/>
          <w:szCs w:val="22"/>
          <w:lang w:val="en-US" w:eastAsia="en-US"/>
        </w:rPr>
        <w:t xml:space="preserve"> </w:t>
      </w:r>
      <w:r>
        <w:rPr>
          <w:rFonts w:eastAsiaTheme="minorEastAsia"/>
          <w:bCs/>
          <w:szCs w:val="22"/>
          <w:lang w:val="en-US" w:eastAsia="en-US"/>
        </w:rPr>
        <w:t xml:space="preserve">(2007). Chapter 3. </w:t>
      </w:r>
      <w:r w:rsidRPr="000B156F">
        <w:rPr>
          <w:rFonts w:eastAsiaTheme="minorEastAsia"/>
          <w:bCs/>
          <w:szCs w:val="22"/>
          <w:lang w:val="en-US" w:eastAsia="en-US"/>
        </w:rPr>
        <w:t>Analysis of variability and</w:t>
      </w:r>
      <w:r>
        <w:rPr>
          <w:rFonts w:eastAsiaTheme="minorEastAsia"/>
          <w:bCs/>
          <w:szCs w:val="22"/>
          <w:lang w:val="en-US" w:eastAsia="en-US"/>
        </w:rPr>
        <w:t xml:space="preserve"> </w:t>
      </w:r>
      <w:r w:rsidRPr="000B156F">
        <w:rPr>
          <w:rFonts w:eastAsiaTheme="minorEastAsia"/>
          <w:bCs/>
          <w:szCs w:val="22"/>
          <w:lang w:val="en-US" w:eastAsia="en-US"/>
        </w:rPr>
        <w:t xml:space="preserve">reasons of differences. </w:t>
      </w:r>
      <w:r>
        <w:rPr>
          <w:rFonts w:eastAsiaTheme="minorEastAsia"/>
          <w:bCs/>
          <w:szCs w:val="22"/>
          <w:lang w:val="en-US" w:eastAsia="en-US"/>
        </w:rPr>
        <w:t>I</w:t>
      </w:r>
      <w:r w:rsidRPr="000B156F">
        <w:rPr>
          <w:rFonts w:eastAsiaTheme="minorEastAsia"/>
          <w:bCs/>
          <w:szCs w:val="22"/>
          <w:lang w:val="en-US" w:eastAsia="en-US"/>
        </w:rPr>
        <w:t>n</w:t>
      </w:r>
      <w:r>
        <w:rPr>
          <w:rFonts w:eastAsiaTheme="minorEastAsia"/>
          <w:bCs/>
          <w:szCs w:val="22"/>
          <w:lang w:val="en-US" w:eastAsia="en-US"/>
        </w:rPr>
        <w:t>:</w:t>
      </w:r>
      <w:r w:rsidRPr="000B156F">
        <w:rPr>
          <w:rFonts w:eastAsiaTheme="minorEastAsia"/>
          <w:bCs/>
          <w:szCs w:val="22"/>
          <w:lang w:val="en-US" w:eastAsia="en-US"/>
        </w:rPr>
        <w:t xml:space="preserve"> </w:t>
      </w:r>
      <w:r w:rsidRPr="000B156F">
        <w:rPr>
          <w:rFonts w:eastAsiaTheme="minorEastAsia"/>
          <w:color w:val="000081"/>
          <w:szCs w:val="22"/>
          <w:lang w:val="en-US" w:eastAsia="en-US"/>
        </w:rPr>
        <w:t>Carlon, C. (</w:t>
      </w:r>
      <w:r>
        <w:rPr>
          <w:rFonts w:eastAsiaTheme="minorEastAsia"/>
          <w:color w:val="000081"/>
          <w:szCs w:val="22"/>
          <w:u w:val="single"/>
          <w:lang w:val="en-US" w:eastAsia="en-US"/>
        </w:rPr>
        <w:t>e</w:t>
      </w:r>
      <w:r w:rsidRPr="000B156F">
        <w:rPr>
          <w:rFonts w:eastAsiaTheme="minorEastAsia"/>
          <w:color w:val="000081"/>
          <w:szCs w:val="22"/>
          <w:u w:val="single"/>
          <w:lang w:val="en-US" w:eastAsia="en-US"/>
        </w:rPr>
        <w:t>d.</w:t>
      </w:r>
      <w:r w:rsidRPr="000B156F">
        <w:rPr>
          <w:rFonts w:eastAsiaTheme="minorEastAsia"/>
          <w:color w:val="000081"/>
          <w:szCs w:val="22"/>
          <w:lang w:val="en-US" w:eastAsia="en-US"/>
        </w:rPr>
        <w:t>) (2007). Derivation methods of soil screening values in Europe. A review and</w:t>
      </w:r>
      <w:r>
        <w:rPr>
          <w:rFonts w:eastAsiaTheme="minorEastAsia"/>
          <w:color w:val="000081"/>
          <w:szCs w:val="22"/>
          <w:lang w:val="en-US" w:eastAsia="en-US"/>
        </w:rPr>
        <w:t xml:space="preserve"> </w:t>
      </w:r>
      <w:r w:rsidRPr="000B156F">
        <w:rPr>
          <w:rFonts w:eastAsiaTheme="minorEastAsia"/>
          <w:color w:val="000081"/>
          <w:szCs w:val="22"/>
          <w:lang w:val="en-US" w:eastAsia="en-US"/>
        </w:rPr>
        <w:t>evaluation of national procedures towards harmonization.</w:t>
      </w:r>
      <w:r>
        <w:rPr>
          <w:rFonts w:eastAsiaTheme="minorEastAsia"/>
          <w:color w:val="000081"/>
          <w:szCs w:val="22"/>
          <w:lang w:val="en-US" w:eastAsia="en-US"/>
        </w:rPr>
        <w:t xml:space="preserve"> </w:t>
      </w:r>
      <w:r w:rsidRPr="000B156F">
        <w:rPr>
          <w:rFonts w:eastAsiaTheme="minorEastAsia"/>
          <w:color w:val="000081"/>
          <w:szCs w:val="22"/>
          <w:lang w:val="en-US" w:eastAsia="en-US"/>
        </w:rPr>
        <w:t>European Commission, Joint Research Centre, Ispra,</w:t>
      </w:r>
      <w:r>
        <w:rPr>
          <w:rFonts w:eastAsiaTheme="minorEastAsia"/>
          <w:color w:val="000081"/>
          <w:szCs w:val="22"/>
          <w:lang w:val="en-US" w:eastAsia="en-US"/>
        </w:rPr>
        <w:t xml:space="preserve"> </w:t>
      </w:r>
      <w:r w:rsidRPr="000B156F">
        <w:rPr>
          <w:rFonts w:eastAsiaTheme="minorEastAsia"/>
          <w:color w:val="000081"/>
          <w:szCs w:val="22"/>
          <w:lang w:val="en-US" w:eastAsia="en-US"/>
        </w:rPr>
        <w:t>EUR 22805-EN</w:t>
      </w:r>
    </w:p>
    <w:p w14:paraId="50236356" w14:textId="77777777" w:rsidR="006F3AFD" w:rsidRDefault="006F3AFD" w:rsidP="00C410A7">
      <w:pPr>
        <w:pStyle w:val="EEALiterature"/>
      </w:pPr>
      <w:r w:rsidRPr="00087750">
        <w:rPr>
          <w:lang w:val="nl-NL"/>
        </w:rPr>
        <w:t xml:space="preserve">De Vries, W., P.F.A.M. Römkens, J.C.H. Voogd (2004). </w:t>
      </w:r>
      <w:r>
        <w:t>Prediction of the long term accumulation and leaching of zinc in Dutch agricultural soils: a risk assessment study. https://edepot.wur.nl/41912.</w:t>
      </w:r>
    </w:p>
    <w:p w14:paraId="78A6A7F1" w14:textId="77777777" w:rsidR="006F3AFD" w:rsidRDefault="006F3AFD" w:rsidP="00C410A7">
      <w:pPr>
        <w:pStyle w:val="EEALiterature"/>
      </w:pPr>
      <w:r w:rsidRPr="00087750">
        <w:rPr>
          <w:lang w:val="nl-NL"/>
        </w:rPr>
        <w:t xml:space="preserve">De Vries, W., P.F.A.M. Römkens and G. Schütze (2007). </w:t>
      </w:r>
      <w:r>
        <w:t xml:space="preserve">Impact of soil properties on critical concentrations of cadmium, lead and mercury in soil in view of health effects on animals and humans. Reviews of Environmental Contamination and </w:t>
      </w:r>
      <w:proofErr w:type="gramStart"/>
      <w:r>
        <w:t>Toxicology  191</w:t>
      </w:r>
      <w:proofErr w:type="gramEnd"/>
      <w:r>
        <w:t>: 91-130.</w:t>
      </w:r>
    </w:p>
    <w:p w14:paraId="2C85BBB8" w14:textId="77777777" w:rsidR="006F3AFD" w:rsidRDefault="006F3AFD" w:rsidP="00C410A7">
      <w:pPr>
        <w:pStyle w:val="EEALiterature"/>
      </w:pPr>
      <w:r>
        <w:t xml:space="preserve">EFSA (2009). Scientific Opinion on Arsenic in Food. The EFSA Journal 7:199. European Food Safety Authority (EFSA), Parma, Italy. </w:t>
      </w:r>
    </w:p>
    <w:p w14:paraId="217F3C5D" w14:textId="7FEB404E" w:rsidR="006F3AFD" w:rsidRPr="00087750" w:rsidRDefault="006F3AFD" w:rsidP="00C410A7">
      <w:pPr>
        <w:pStyle w:val="EEALiterature"/>
        <w:rPr>
          <w:lang w:val="en-US"/>
        </w:rPr>
      </w:pPr>
      <w:r>
        <w:t>EFSA (2014)</w:t>
      </w:r>
      <w:r w:rsidR="00AB06B4">
        <w:t>.</w:t>
      </w:r>
      <w:r>
        <w:t xml:space="preserve"> Dietary exposure to inorganic arsenic in the European population. </w:t>
      </w:r>
      <w:r w:rsidRPr="00087750">
        <w:rPr>
          <w:lang w:val="en-US"/>
        </w:rPr>
        <w:t>EFSA Journal</w:t>
      </w:r>
      <w:r w:rsidR="00AB06B4">
        <w:rPr>
          <w:lang w:val="en-US"/>
        </w:rPr>
        <w:t xml:space="preserve"> </w:t>
      </w:r>
      <w:r w:rsidRPr="00087750">
        <w:rPr>
          <w:lang w:val="en-US"/>
        </w:rPr>
        <w:t>12(3):</w:t>
      </w:r>
      <w:r w:rsidR="00AB06B4">
        <w:rPr>
          <w:lang w:val="en-US"/>
        </w:rPr>
        <w:t xml:space="preserve"> </w:t>
      </w:r>
      <w:r w:rsidRPr="00087750">
        <w:rPr>
          <w:lang w:val="en-US"/>
        </w:rPr>
        <w:t>3597</w:t>
      </w:r>
      <w:r w:rsidR="00AB06B4">
        <w:rPr>
          <w:lang w:val="en-US"/>
        </w:rPr>
        <w:t>.</w:t>
      </w:r>
    </w:p>
    <w:p w14:paraId="293B904E" w14:textId="77777777" w:rsidR="006F3AFD" w:rsidRPr="00087750" w:rsidRDefault="006F3AFD" w:rsidP="00C410A7">
      <w:pPr>
        <w:pStyle w:val="EEALiterature"/>
        <w:rPr>
          <w:rFonts w:asciiTheme="majorHAnsi" w:hAnsiTheme="majorHAnsi" w:cstheme="majorHAnsi"/>
          <w:szCs w:val="22"/>
          <w:lang w:val="en-US"/>
        </w:rPr>
      </w:pPr>
      <w:r w:rsidRPr="00087750">
        <w:rPr>
          <w:rFonts w:asciiTheme="majorHAnsi" w:hAnsiTheme="majorHAnsi" w:cstheme="majorHAnsi"/>
          <w:szCs w:val="22"/>
          <w:lang w:val="en-US"/>
        </w:rPr>
        <w:t>EU (2008). Directive 2008/105/EC of the European Parliament and of the Council of 16 December 2008 on environmental quality standards in the field of water policy, amending and subsequently repealing Council Directives 82/176/EEC, 83/513/EEC, 84/156/EEC, 84/491/EEC, 86/280/EEC and amending Directive 2000/60/EC of the European Parliament and of the Council (OJ L 348, 24.12.2008, p. 84-97).</w:t>
      </w:r>
    </w:p>
    <w:p w14:paraId="6D1BD5FA" w14:textId="77777777" w:rsidR="006F3AFD" w:rsidRDefault="006F3AFD" w:rsidP="00C410A7">
      <w:pPr>
        <w:pStyle w:val="EEALiterature"/>
        <w:rPr>
          <w:rFonts w:asciiTheme="majorHAnsi" w:hAnsiTheme="majorHAnsi" w:cstheme="majorHAnsi"/>
          <w:szCs w:val="22"/>
          <w:lang w:val="nl-NL"/>
        </w:rPr>
      </w:pPr>
      <w:r w:rsidRPr="00087750">
        <w:rPr>
          <w:rFonts w:asciiTheme="majorHAnsi" w:hAnsiTheme="majorHAnsi" w:cstheme="majorHAnsi"/>
          <w:szCs w:val="22"/>
          <w:lang w:val="en-US"/>
        </w:rPr>
        <w:t xml:space="preserve">EU (2020a). </w:t>
      </w:r>
      <w:bookmarkStart w:id="451" w:name="_Hlk61465920"/>
      <w:r w:rsidRPr="00087750">
        <w:rPr>
          <w:rFonts w:asciiTheme="majorHAnsi" w:hAnsiTheme="majorHAnsi" w:cstheme="majorHAnsi"/>
          <w:szCs w:val="22"/>
          <w:lang w:val="en-US"/>
        </w:rPr>
        <w:t>Directive (EU) 2020/2184</w:t>
      </w:r>
      <w:bookmarkEnd w:id="451"/>
      <w:r w:rsidRPr="00087750">
        <w:rPr>
          <w:rFonts w:asciiTheme="majorHAnsi" w:hAnsiTheme="majorHAnsi" w:cstheme="majorHAnsi"/>
          <w:szCs w:val="22"/>
          <w:lang w:val="en-US"/>
        </w:rPr>
        <w:t xml:space="preserve"> of the European Parliament and of the council of 16 December 2020 on the quality of water intended for human consumption. </w:t>
      </w:r>
      <w:hyperlink r:id="rId73" w:history="1">
        <w:r w:rsidRPr="00AC1AE4">
          <w:rPr>
            <w:rStyle w:val="Hyperlink"/>
            <w:rFonts w:asciiTheme="majorHAnsi" w:hAnsiTheme="majorHAnsi" w:cstheme="majorHAnsi"/>
            <w:szCs w:val="22"/>
            <w:lang w:val="nl-NL"/>
          </w:rPr>
          <w:t>https://eur-lex.europa.eu/legal-content/EN/TXT/PDF/?uri=CELEX:32020L2184&amp;from=EN</w:t>
        </w:r>
      </w:hyperlink>
      <w:r>
        <w:rPr>
          <w:rFonts w:asciiTheme="majorHAnsi" w:hAnsiTheme="majorHAnsi" w:cstheme="majorHAnsi"/>
          <w:szCs w:val="22"/>
          <w:lang w:val="nl-NL"/>
        </w:rPr>
        <w:t xml:space="preserve"> </w:t>
      </w:r>
    </w:p>
    <w:p w14:paraId="5FECC943" w14:textId="5BDD7CBA" w:rsidR="006F3AFD" w:rsidRPr="00087750" w:rsidRDefault="006F3AFD" w:rsidP="00C410A7">
      <w:pPr>
        <w:pStyle w:val="EEALiterature"/>
        <w:rPr>
          <w:rFonts w:asciiTheme="majorHAnsi" w:hAnsiTheme="majorHAnsi" w:cstheme="majorHAnsi"/>
          <w:szCs w:val="22"/>
          <w:lang w:val="en-US"/>
        </w:rPr>
      </w:pPr>
      <w:r w:rsidRPr="00087750">
        <w:rPr>
          <w:rFonts w:asciiTheme="majorHAnsi" w:hAnsiTheme="majorHAnsi" w:cstheme="majorHAnsi"/>
          <w:szCs w:val="22"/>
          <w:lang w:val="en-US"/>
        </w:rPr>
        <w:t>EU (2020b). Commission Staff Workin</w:t>
      </w:r>
      <w:r w:rsidR="00D579C0">
        <w:rPr>
          <w:rFonts w:asciiTheme="majorHAnsi" w:hAnsiTheme="majorHAnsi" w:cstheme="majorHAnsi"/>
          <w:szCs w:val="22"/>
          <w:lang w:val="en-US"/>
        </w:rPr>
        <w:t>g</w:t>
      </w:r>
      <w:r w:rsidRPr="00087750">
        <w:rPr>
          <w:rFonts w:asciiTheme="majorHAnsi" w:hAnsiTheme="majorHAnsi" w:cstheme="majorHAnsi"/>
          <w:szCs w:val="22"/>
          <w:lang w:val="en-US"/>
        </w:rPr>
        <w:t xml:space="preserve"> Document on Poly- and perfluoroalkyl substances (PFAS). Brussels, 14.10.2020. </w:t>
      </w:r>
      <w:proofErr w:type="gramStart"/>
      <w:r w:rsidRPr="00087750">
        <w:rPr>
          <w:rFonts w:asciiTheme="majorHAnsi" w:hAnsiTheme="majorHAnsi" w:cstheme="majorHAnsi"/>
          <w:szCs w:val="22"/>
          <w:lang w:val="en-US"/>
        </w:rPr>
        <w:t>SWD(</w:t>
      </w:r>
      <w:proofErr w:type="gramEnd"/>
      <w:r w:rsidRPr="00087750">
        <w:rPr>
          <w:rFonts w:asciiTheme="majorHAnsi" w:hAnsiTheme="majorHAnsi" w:cstheme="majorHAnsi"/>
          <w:szCs w:val="22"/>
          <w:lang w:val="en-US"/>
        </w:rPr>
        <w:t>2020) 249 final.</w:t>
      </w:r>
    </w:p>
    <w:p w14:paraId="19F1E97B" w14:textId="77777777" w:rsidR="006F3AFD" w:rsidRPr="00087750" w:rsidRDefault="006F3AFD" w:rsidP="00C410A7">
      <w:pPr>
        <w:pStyle w:val="EEALiterature"/>
        <w:rPr>
          <w:rFonts w:asciiTheme="majorHAnsi" w:hAnsiTheme="majorHAnsi" w:cstheme="majorHAnsi"/>
          <w:szCs w:val="22"/>
          <w:lang w:val="nl-NL"/>
        </w:rPr>
      </w:pPr>
      <w:r w:rsidRPr="00087750">
        <w:rPr>
          <w:color w:val="000000" w:themeColor="text1"/>
          <w:szCs w:val="22"/>
          <w:lang w:val="en-US"/>
        </w:rPr>
        <w:t xml:space="preserve">Ehlert, P.A.I., L. Posthuma, P.F.A.M Römkens, R.P.J.J. Rietra, A.M. Wintersen, H. Van Wijnen, T.A. van Dijk, L. van Schöll, J.E. Groenenberg (2013). </w:t>
      </w:r>
      <w:r w:rsidRPr="00C15622">
        <w:rPr>
          <w:color w:val="000000" w:themeColor="text1"/>
          <w:szCs w:val="22"/>
        </w:rPr>
        <w:t xml:space="preserve">Appraising Fertilisers: Origins of current regulations and standards for contaminants in fertilisers; Background of quality standards in the Netherlands, Denmark, Germany, United Kingdom and Flanders. </w:t>
      </w:r>
      <w:r w:rsidRPr="00890952">
        <w:rPr>
          <w:color w:val="000000" w:themeColor="text1"/>
          <w:szCs w:val="22"/>
          <w:lang w:val="nl-NL"/>
        </w:rPr>
        <w:t xml:space="preserve">Wageningen, Wettelijke Onderzoekstaken Natuur &amp; Milieu, WOt-werk document 336. 128 p. 15 Figs; 38 Tabs; 87 Refs; 8 Annexes. </w:t>
      </w:r>
    </w:p>
    <w:p w14:paraId="7096DADD" w14:textId="77777777" w:rsidR="006F3AFD" w:rsidRPr="001F636D" w:rsidRDefault="006F3AFD" w:rsidP="00C410A7">
      <w:pPr>
        <w:pStyle w:val="EEALiterature"/>
        <w:rPr>
          <w:rFonts w:asciiTheme="majorHAnsi" w:hAnsiTheme="majorHAnsi" w:cstheme="majorHAnsi"/>
          <w:szCs w:val="22"/>
          <w:lang w:val="en-US"/>
        </w:rPr>
      </w:pPr>
      <w:r w:rsidRPr="000A1030">
        <w:rPr>
          <w:rFonts w:asciiTheme="majorHAnsi" w:hAnsiTheme="majorHAnsi" w:cstheme="majorHAnsi"/>
          <w:szCs w:val="22"/>
          <w:lang w:val="de-DE"/>
        </w:rPr>
        <w:t>Freudenschuss</w:t>
      </w:r>
      <w:r>
        <w:rPr>
          <w:rFonts w:asciiTheme="majorHAnsi" w:hAnsiTheme="majorHAnsi" w:cstheme="majorHAnsi"/>
          <w:szCs w:val="22"/>
          <w:lang w:val="de-DE"/>
        </w:rPr>
        <w:t xml:space="preserve">, A., S. Huber, M. Schamann and M. Wepner (2001). </w:t>
      </w:r>
      <w:r w:rsidRPr="000A1030">
        <w:rPr>
          <w:rFonts w:asciiTheme="majorHAnsi" w:hAnsiTheme="majorHAnsi" w:cstheme="majorHAnsi"/>
          <w:szCs w:val="22"/>
          <w:lang w:val="en-US"/>
        </w:rPr>
        <w:t>EIONET workshop on indicators fo</w:t>
      </w:r>
      <w:r>
        <w:rPr>
          <w:rFonts w:asciiTheme="majorHAnsi" w:hAnsiTheme="majorHAnsi" w:cstheme="majorHAnsi"/>
          <w:szCs w:val="22"/>
          <w:lang w:val="en-US"/>
        </w:rPr>
        <w:t>r soil contamination. Proceedings, Workshop 18-19 January 2001. European Environment Agency, Technical Report 78.</w:t>
      </w:r>
      <w:r w:rsidRPr="009E31F4">
        <w:t xml:space="preserve"> </w:t>
      </w:r>
      <w:r>
        <w:t xml:space="preserve">60 pp. </w:t>
      </w:r>
      <w:r w:rsidRPr="009E31F4">
        <w:rPr>
          <w:rFonts w:asciiTheme="majorHAnsi" w:hAnsiTheme="majorHAnsi" w:cstheme="majorHAnsi"/>
          <w:szCs w:val="22"/>
          <w:lang w:val="en-US"/>
        </w:rPr>
        <w:t>ISBN 92-9167-472-</w:t>
      </w:r>
      <w:r>
        <w:rPr>
          <w:rFonts w:asciiTheme="majorHAnsi" w:hAnsiTheme="majorHAnsi" w:cstheme="majorHAnsi"/>
          <w:szCs w:val="22"/>
          <w:lang w:val="en-US"/>
        </w:rPr>
        <w:t>9.</w:t>
      </w:r>
    </w:p>
    <w:p w14:paraId="66573F8D" w14:textId="3AF9B99C" w:rsidR="006F3AFD" w:rsidRDefault="006F3AFD" w:rsidP="00C410A7">
      <w:pPr>
        <w:pStyle w:val="EEALiterature"/>
        <w:rPr>
          <w:rFonts w:asciiTheme="majorHAnsi" w:hAnsiTheme="majorHAnsi" w:cstheme="majorHAnsi"/>
          <w:szCs w:val="22"/>
          <w:lang w:val="en-US"/>
        </w:rPr>
      </w:pPr>
      <w:r w:rsidRPr="001F636D">
        <w:rPr>
          <w:rFonts w:asciiTheme="majorHAnsi" w:hAnsiTheme="majorHAnsi" w:cstheme="majorHAnsi"/>
          <w:szCs w:val="22"/>
          <w:lang w:val="en-US"/>
        </w:rPr>
        <w:t xml:space="preserve">Ghisi, R., T. Vamerali and S. Manzetti (2018). </w:t>
      </w:r>
      <w:r w:rsidRPr="000E05C9">
        <w:rPr>
          <w:rFonts w:asciiTheme="majorHAnsi" w:hAnsiTheme="majorHAnsi" w:cstheme="majorHAnsi"/>
          <w:szCs w:val="22"/>
          <w:lang w:val="en-US"/>
        </w:rPr>
        <w:t xml:space="preserve">Accumulation of perfluorinated alkyl substances (PFAS) in agricultural plants: A review. </w:t>
      </w:r>
      <w:r w:rsidRPr="00560A97">
        <w:rPr>
          <w:rFonts w:asciiTheme="majorHAnsi" w:hAnsiTheme="majorHAnsi" w:cstheme="majorHAnsi"/>
          <w:szCs w:val="22"/>
          <w:lang w:val="en-US"/>
        </w:rPr>
        <w:t>Environmental Research 169, pp. 326-341 (DOI: 10.1016/j.envres.2018.10.023)</w:t>
      </w:r>
    </w:p>
    <w:p w14:paraId="3C2DFA63" w14:textId="18A0E1FD" w:rsidR="006F3AFD" w:rsidRDefault="006F3AFD" w:rsidP="00C410A7">
      <w:pPr>
        <w:pStyle w:val="EEALiterature"/>
      </w:pPr>
      <w:r w:rsidRPr="002371E5">
        <w:rPr>
          <w:lang w:val="en-US"/>
        </w:rPr>
        <w:t xml:space="preserve">Groenenberg, J.E., P.F.A.M. Römkens and W. de Vries (2006). </w:t>
      </w:r>
      <w:r>
        <w:t xml:space="preserve">Prediction of the long term accumulation and leaching of copper in Dutch agricultural soils: a risk assessment study. </w:t>
      </w:r>
      <w:hyperlink r:id="rId74" w:history="1">
        <w:r w:rsidR="008203DD" w:rsidRPr="003F4523">
          <w:rPr>
            <w:rStyle w:val="Hyperlink"/>
          </w:rPr>
          <w:t>https://edepot.wur.nl/44611</w:t>
        </w:r>
      </w:hyperlink>
      <w:r w:rsidR="008203DD">
        <w:t xml:space="preserve"> </w:t>
      </w:r>
    </w:p>
    <w:p w14:paraId="4AEB6C99" w14:textId="482F40A9" w:rsidR="006F3AFD" w:rsidRDefault="006F3AFD" w:rsidP="00C410A7">
      <w:pPr>
        <w:pStyle w:val="EEALiterature"/>
      </w:pPr>
      <w:r w:rsidRPr="00C51D7E">
        <w:t>Huber</w:t>
      </w:r>
      <w:r w:rsidR="00C204DE">
        <w:t>,</w:t>
      </w:r>
      <w:r w:rsidRPr="00C51D7E">
        <w:t xml:space="preserve"> S</w:t>
      </w:r>
      <w:r>
        <w:t>.</w:t>
      </w:r>
      <w:r w:rsidR="00C204DE">
        <w:t>,</w:t>
      </w:r>
      <w:r w:rsidRPr="00C51D7E">
        <w:t xml:space="preserve"> </w:t>
      </w:r>
      <w:r w:rsidR="00C204DE">
        <w:t xml:space="preserve">G. </w:t>
      </w:r>
      <w:r w:rsidRPr="00C51D7E">
        <w:t>Prokop</w:t>
      </w:r>
      <w:r w:rsidR="00C204DE">
        <w:t>,</w:t>
      </w:r>
      <w:r w:rsidRPr="00C51D7E">
        <w:t xml:space="preserve"> </w:t>
      </w:r>
      <w:r w:rsidR="00C204DE">
        <w:t xml:space="preserve">D. </w:t>
      </w:r>
      <w:r w:rsidRPr="00C51D7E">
        <w:t>Arrouays</w:t>
      </w:r>
      <w:r w:rsidR="00C204DE">
        <w:t>,</w:t>
      </w:r>
      <w:r w:rsidRPr="00B32C8F">
        <w:rPr>
          <w:lang w:val="en-US"/>
        </w:rPr>
        <w:t xml:space="preserve"> </w:t>
      </w:r>
      <w:r w:rsidR="00C204DE">
        <w:rPr>
          <w:lang w:val="en-US"/>
        </w:rPr>
        <w:t xml:space="preserve">G. </w:t>
      </w:r>
      <w:r w:rsidRPr="00C204DE">
        <w:rPr>
          <w:lang w:val="en-US"/>
        </w:rPr>
        <w:t>Banko</w:t>
      </w:r>
      <w:r w:rsidR="00C204DE">
        <w:rPr>
          <w:lang w:val="en-US"/>
        </w:rPr>
        <w:t>, A.</w:t>
      </w:r>
      <w:r w:rsidRPr="00C204DE">
        <w:rPr>
          <w:lang w:val="en-US"/>
        </w:rPr>
        <w:t xml:space="preserve"> Bispo</w:t>
      </w:r>
      <w:r w:rsidR="00C204DE">
        <w:rPr>
          <w:lang w:val="en-US"/>
        </w:rPr>
        <w:t>,</w:t>
      </w:r>
      <w:r w:rsidRPr="00C204DE">
        <w:rPr>
          <w:lang w:val="en-US"/>
        </w:rPr>
        <w:t xml:space="preserve"> </w:t>
      </w:r>
      <w:r w:rsidR="00C204DE" w:rsidRPr="00C204DE">
        <w:rPr>
          <w:lang w:val="en-US"/>
        </w:rPr>
        <w:t xml:space="preserve">R.J.A. </w:t>
      </w:r>
      <w:r w:rsidRPr="00C204DE">
        <w:rPr>
          <w:lang w:val="en-US"/>
        </w:rPr>
        <w:t>Jones</w:t>
      </w:r>
      <w:r w:rsidR="00C204DE">
        <w:rPr>
          <w:lang w:val="en-US"/>
        </w:rPr>
        <w:t>,</w:t>
      </w:r>
      <w:r w:rsidRPr="00C204DE">
        <w:rPr>
          <w:lang w:val="en-US"/>
        </w:rPr>
        <w:t xml:space="preserve"> </w:t>
      </w:r>
      <w:r w:rsidR="00AA7EC5">
        <w:rPr>
          <w:lang w:val="en-US"/>
        </w:rPr>
        <w:t xml:space="preserve">M.G. </w:t>
      </w:r>
      <w:r w:rsidRPr="00C204DE">
        <w:rPr>
          <w:lang w:val="en-US"/>
        </w:rPr>
        <w:t>Kibblewhite</w:t>
      </w:r>
      <w:r w:rsidR="00AA7EC5">
        <w:rPr>
          <w:lang w:val="en-US"/>
        </w:rPr>
        <w:t>, W.</w:t>
      </w:r>
      <w:r w:rsidRPr="00AA7EC5">
        <w:rPr>
          <w:lang w:val="en-US"/>
        </w:rPr>
        <w:t xml:space="preserve"> Lexer</w:t>
      </w:r>
      <w:r w:rsidR="00AA7EC5">
        <w:rPr>
          <w:lang w:val="en-US"/>
        </w:rPr>
        <w:t>,</w:t>
      </w:r>
      <w:r w:rsidRPr="00AA7EC5">
        <w:t xml:space="preserve"> </w:t>
      </w:r>
      <w:r w:rsidR="00AA7EC5" w:rsidRPr="00AA7EC5">
        <w:t xml:space="preserve">A. </w:t>
      </w:r>
      <w:r w:rsidRPr="00AA7EC5">
        <w:t>Möller</w:t>
      </w:r>
      <w:r w:rsidR="00AA7EC5">
        <w:t>,</w:t>
      </w:r>
      <w:r w:rsidRPr="00AA7EC5">
        <w:t xml:space="preserve"> </w:t>
      </w:r>
      <w:r w:rsidR="00AA7EC5" w:rsidRPr="00AA7EC5">
        <w:t xml:space="preserve">R.J. </w:t>
      </w:r>
      <w:r w:rsidRPr="00AA7EC5">
        <w:t>Rickson</w:t>
      </w:r>
      <w:r w:rsidR="00AA7EC5">
        <w:t>, T.</w:t>
      </w:r>
      <w:r w:rsidRPr="00AA7EC5">
        <w:t xml:space="preserve"> </w:t>
      </w:r>
      <w:r w:rsidRPr="00087750">
        <w:rPr>
          <w:lang w:val="nl-NL"/>
        </w:rPr>
        <w:t>Shishkov</w:t>
      </w:r>
      <w:r w:rsidR="00AA7EC5">
        <w:rPr>
          <w:lang w:val="nl-NL"/>
        </w:rPr>
        <w:t>, M.</w:t>
      </w:r>
      <w:r w:rsidRPr="00087750">
        <w:rPr>
          <w:lang w:val="nl-NL"/>
        </w:rPr>
        <w:t xml:space="preserve"> Stephens</w:t>
      </w:r>
      <w:r w:rsidR="00AA7EC5">
        <w:rPr>
          <w:lang w:val="nl-NL"/>
        </w:rPr>
        <w:t>,</w:t>
      </w:r>
      <w:r w:rsidRPr="00087750">
        <w:rPr>
          <w:lang w:val="nl-NL"/>
        </w:rPr>
        <w:t xml:space="preserve"> </w:t>
      </w:r>
      <w:r w:rsidR="00AA7EC5">
        <w:rPr>
          <w:lang w:val="nl-NL"/>
        </w:rPr>
        <w:t xml:space="preserve">G. </w:t>
      </w:r>
      <w:r w:rsidRPr="00087750">
        <w:rPr>
          <w:lang w:val="nl-NL"/>
        </w:rPr>
        <w:t>Toth</w:t>
      </w:r>
      <w:r w:rsidR="00AA7EC5">
        <w:rPr>
          <w:lang w:val="nl-NL"/>
        </w:rPr>
        <w:t>,</w:t>
      </w:r>
      <w:r w:rsidRPr="00087750">
        <w:rPr>
          <w:lang w:val="nl-NL"/>
        </w:rPr>
        <w:t xml:space="preserve"> </w:t>
      </w:r>
      <w:r w:rsidR="00AA7EC5">
        <w:rPr>
          <w:lang w:val="nl-NL"/>
        </w:rPr>
        <w:t xml:space="preserve">J.J.H. </w:t>
      </w:r>
      <w:r w:rsidRPr="00087750">
        <w:rPr>
          <w:lang w:val="nl-NL"/>
        </w:rPr>
        <w:t>Van den Akker</w:t>
      </w:r>
      <w:r w:rsidR="00AA7EC5">
        <w:rPr>
          <w:lang w:val="nl-NL"/>
        </w:rPr>
        <w:t>,</w:t>
      </w:r>
      <w:r w:rsidRPr="00087750">
        <w:rPr>
          <w:lang w:val="nl-NL"/>
        </w:rPr>
        <w:t xml:space="preserve"> </w:t>
      </w:r>
      <w:r w:rsidR="00AA7EC5">
        <w:rPr>
          <w:lang w:val="nl-NL"/>
        </w:rPr>
        <w:t xml:space="preserve">G. </w:t>
      </w:r>
      <w:r w:rsidRPr="00813760">
        <w:rPr>
          <w:lang w:val="nl-NL"/>
        </w:rPr>
        <w:t>Varallyay</w:t>
      </w:r>
      <w:r w:rsidR="00AA7EC5">
        <w:rPr>
          <w:lang w:val="nl-NL"/>
        </w:rPr>
        <w:t>,</w:t>
      </w:r>
      <w:r w:rsidR="00E7604C">
        <w:rPr>
          <w:lang w:val="nl-NL"/>
        </w:rPr>
        <w:t xml:space="preserve"> F.G.A.</w:t>
      </w:r>
      <w:r w:rsidRPr="00813760">
        <w:rPr>
          <w:lang w:val="nl-NL"/>
        </w:rPr>
        <w:t xml:space="preserve"> Verheijen</w:t>
      </w:r>
      <w:r w:rsidR="00E7604C">
        <w:rPr>
          <w:lang w:val="nl-NL"/>
        </w:rPr>
        <w:t xml:space="preserve"> and</w:t>
      </w:r>
      <w:r w:rsidRPr="00813760">
        <w:rPr>
          <w:lang w:val="nl-NL"/>
        </w:rPr>
        <w:t xml:space="preserve"> </w:t>
      </w:r>
      <w:r w:rsidR="00E7604C">
        <w:rPr>
          <w:lang w:val="nl-NL"/>
        </w:rPr>
        <w:t xml:space="preserve">A.R. </w:t>
      </w:r>
      <w:r w:rsidRPr="00813760">
        <w:rPr>
          <w:lang w:val="nl-NL"/>
        </w:rPr>
        <w:t>Jones</w:t>
      </w:r>
      <w:r w:rsidRPr="00B32C8F">
        <w:rPr>
          <w:lang w:val="nl-NL"/>
        </w:rPr>
        <w:t xml:space="preserve"> (eds). </w:t>
      </w:r>
      <w:r w:rsidR="008203DD">
        <w:t>(</w:t>
      </w:r>
      <w:r w:rsidRPr="00C51D7E">
        <w:t>2008</w:t>
      </w:r>
      <w:r w:rsidR="008203DD">
        <w:t>)</w:t>
      </w:r>
      <w:r>
        <w:t>.</w:t>
      </w:r>
      <w:r w:rsidRPr="00C51D7E">
        <w:t xml:space="preserve"> Environmental Assessment of Soil for Monitoring: Volume I Indicators &amp; Criteria</w:t>
      </w:r>
      <w:r>
        <w:t>.</w:t>
      </w:r>
      <w:r w:rsidRPr="00C51D7E">
        <w:t xml:space="preserve"> EUR23490 EN/1</w:t>
      </w:r>
      <w:r>
        <w:t>.</w:t>
      </w:r>
      <w:r w:rsidRPr="00C51D7E">
        <w:t xml:space="preserve"> Office for the Official Publications of the European Communities</w:t>
      </w:r>
      <w:r>
        <w:t>.</w:t>
      </w:r>
      <w:r w:rsidRPr="00C51D7E">
        <w:t xml:space="preserve"> Luxembourg</w:t>
      </w:r>
      <w:r>
        <w:t>.</w:t>
      </w:r>
      <w:r w:rsidRPr="00C51D7E">
        <w:t xml:space="preserve"> 339pp</w:t>
      </w:r>
      <w:r>
        <w:t>.</w:t>
      </w:r>
    </w:p>
    <w:p w14:paraId="42F56F5A" w14:textId="0EA9E506" w:rsidR="0066086F" w:rsidRDefault="0066086F" w:rsidP="00C410A7">
      <w:pPr>
        <w:pStyle w:val="EEALiterature"/>
      </w:pPr>
      <w:r w:rsidRPr="0066086F">
        <w:t>Huygens, D., Saveyn, H., Tonini, D., Eder, P. and Delgado Sancho, L.</w:t>
      </w:r>
      <w:r>
        <w:t xml:space="preserve"> (2019).</w:t>
      </w:r>
      <w:r w:rsidRPr="0066086F">
        <w:t xml:space="preserve"> Technical proposals for selected new fertilising materials under the Fertilising Products Regulation (Regulation (EU) </w:t>
      </w:r>
      <w:r w:rsidRPr="0066086F">
        <w:lastRenderedPageBreak/>
        <w:t>2019/1009), EUR 29841 EN, Publications Office of the European Union, Luxembourg, 2019, ISBN 978-92-76-09887-4, doi</w:t>
      </w:r>
      <w:proofErr w:type="gramStart"/>
      <w:r w:rsidRPr="0066086F">
        <w:t>:10.2760</w:t>
      </w:r>
      <w:proofErr w:type="gramEnd"/>
      <w:r w:rsidRPr="0066086F">
        <w:t>/551387, JRC117856</w:t>
      </w:r>
    </w:p>
    <w:p w14:paraId="44B2121B" w14:textId="23A9C4F3" w:rsidR="006F3AFD" w:rsidRDefault="006F3AFD" w:rsidP="00C410A7">
      <w:pPr>
        <w:pStyle w:val="EEALiterature"/>
      </w:pPr>
      <w:r w:rsidRPr="003A0D6B">
        <w:t>ISO 19258</w:t>
      </w:r>
      <w:r w:rsidR="00E7604C">
        <w:t xml:space="preserve"> (</w:t>
      </w:r>
      <w:r w:rsidRPr="003A0D6B">
        <w:t>2018</w:t>
      </w:r>
      <w:r w:rsidR="00E7604C">
        <w:t>)</w:t>
      </w:r>
      <w:r w:rsidRPr="003A0D6B">
        <w:t xml:space="preserve">. Soil quality — Guidance on the determination of background values available at </w:t>
      </w:r>
      <w:hyperlink r:id="rId75" w:history="1">
        <w:r w:rsidRPr="003A0D6B">
          <w:rPr>
            <w:rStyle w:val="Hyperlink"/>
          </w:rPr>
          <w:t>https://www.iso.org/standard/67982.html</w:t>
        </w:r>
      </w:hyperlink>
      <w:r w:rsidRPr="003A0D6B">
        <w:t xml:space="preserve"> (accessed August 10 2020)</w:t>
      </w:r>
    </w:p>
    <w:p w14:paraId="7E6D7E8E" w14:textId="77777777" w:rsidR="006F3AFD" w:rsidRPr="00101BDE" w:rsidRDefault="006F3AFD" w:rsidP="00C410A7">
      <w:pPr>
        <w:pStyle w:val="EEALiterature"/>
        <w:rPr>
          <w:rFonts w:asciiTheme="majorHAnsi" w:hAnsiTheme="majorHAnsi" w:cstheme="majorHAnsi"/>
          <w:color w:val="333333"/>
          <w:szCs w:val="22"/>
          <w:lang w:val="en" w:eastAsia="nl-NL"/>
        </w:rPr>
      </w:pPr>
      <w:r w:rsidRPr="00101BDE">
        <w:rPr>
          <w:rFonts w:asciiTheme="majorHAnsi" w:hAnsiTheme="majorHAnsi" w:cstheme="majorHAnsi"/>
          <w:color w:val="000000" w:themeColor="text1"/>
          <w:szCs w:val="22"/>
        </w:rPr>
        <w:t xml:space="preserve">ISO (2009). </w:t>
      </w:r>
      <w:r w:rsidRPr="00101BDE">
        <w:rPr>
          <w:rFonts w:asciiTheme="majorHAnsi" w:hAnsiTheme="majorHAnsi" w:cstheme="majorHAnsi"/>
          <w:color w:val="333333"/>
          <w:szCs w:val="22"/>
          <w:lang w:val="en"/>
        </w:rPr>
        <w:t xml:space="preserve">Water quality — </w:t>
      </w:r>
      <w:proofErr w:type="gramStart"/>
      <w:r w:rsidRPr="00101BDE">
        <w:rPr>
          <w:rFonts w:asciiTheme="majorHAnsi" w:hAnsiTheme="majorHAnsi" w:cstheme="majorHAnsi"/>
          <w:color w:val="333333"/>
          <w:szCs w:val="22"/>
          <w:lang w:val="en"/>
        </w:rPr>
        <w:t>Sampling</w:t>
      </w:r>
      <w:proofErr w:type="gramEnd"/>
      <w:r w:rsidRPr="00101BDE">
        <w:rPr>
          <w:rFonts w:asciiTheme="majorHAnsi" w:hAnsiTheme="majorHAnsi" w:cstheme="majorHAnsi"/>
          <w:color w:val="333333"/>
          <w:szCs w:val="22"/>
          <w:lang w:val="en"/>
        </w:rPr>
        <w:t xml:space="preserve"> — Part 11: Guidance on sampling of groundwaters. </w:t>
      </w:r>
      <w:r w:rsidRPr="00101BDE">
        <w:rPr>
          <w:rStyle w:val="hgkelc"/>
          <w:rFonts w:asciiTheme="majorHAnsi" w:hAnsiTheme="majorHAnsi" w:cstheme="majorHAnsi"/>
          <w:color w:val="202124"/>
          <w:szCs w:val="22"/>
        </w:rPr>
        <w:t>International Organization for Standardization</w:t>
      </w:r>
      <w:r w:rsidRPr="00101BDE">
        <w:rPr>
          <w:rStyle w:val="hgkelc"/>
          <w:rFonts w:asciiTheme="majorHAnsi" w:hAnsiTheme="majorHAnsi" w:cstheme="majorHAnsi"/>
          <w:color w:val="202124"/>
          <w:szCs w:val="22"/>
          <w:lang w:val="en-US"/>
        </w:rPr>
        <w:t xml:space="preserve">, </w:t>
      </w:r>
      <w:r w:rsidRPr="00101BDE">
        <w:rPr>
          <w:rFonts w:asciiTheme="majorHAnsi" w:hAnsiTheme="majorHAnsi" w:cstheme="majorHAnsi"/>
          <w:color w:val="333333"/>
          <w:szCs w:val="22"/>
          <w:lang w:val="en"/>
        </w:rPr>
        <w:t>ISO 5667-11:2009. Published 04/2009</w:t>
      </w:r>
    </w:p>
    <w:p w14:paraId="499D0B3E" w14:textId="77777777" w:rsidR="006F3AFD" w:rsidRPr="00101BDE" w:rsidRDefault="006F3AFD" w:rsidP="00C410A7">
      <w:pPr>
        <w:pStyle w:val="EEALiterature"/>
        <w:rPr>
          <w:rFonts w:asciiTheme="majorHAnsi" w:hAnsiTheme="majorHAnsi" w:cstheme="majorHAnsi"/>
          <w:color w:val="333333"/>
          <w:szCs w:val="22"/>
          <w:lang w:val="en" w:eastAsia="nl-NL"/>
        </w:rPr>
      </w:pPr>
      <w:r w:rsidRPr="00101BDE">
        <w:rPr>
          <w:rFonts w:asciiTheme="majorHAnsi" w:hAnsiTheme="majorHAnsi" w:cstheme="majorHAnsi"/>
          <w:color w:val="000000" w:themeColor="text1"/>
          <w:szCs w:val="22"/>
        </w:rPr>
        <w:t xml:space="preserve">ISO (2018). </w:t>
      </w:r>
      <w:r w:rsidRPr="00101BDE">
        <w:rPr>
          <w:rFonts w:asciiTheme="majorHAnsi" w:hAnsiTheme="majorHAnsi" w:cstheme="majorHAnsi"/>
          <w:color w:val="333333"/>
          <w:szCs w:val="22"/>
          <w:lang w:val="en"/>
        </w:rPr>
        <w:t xml:space="preserve">Soil quality — </w:t>
      </w:r>
      <w:proofErr w:type="gramStart"/>
      <w:r w:rsidRPr="00101BDE">
        <w:rPr>
          <w:rFonts w:asciiTheme="majorHAnsi" w:hAnsiTheme="majorHAnsi" w:cstheme="majorHAnsi"/>
          <w:color w:val="333333"/>
          <w:szCs w:val="22"/>
          <w:lang w:val="en"/>
        </w:rPr>
        <w:t>Sampling</w:t>
      </w:r>
      <w:proofErr w:type="gramEnd"/>
      <w:r w:rsidRPr="00101BDE">
        <w:rPr>
          <w:rFonts w:asciiTheme="majorHAnsi" w:hAnsiTheme="majorHAnsi" w:cstheme="majorHAnsi"/>
          <w:color w:val="333333"/>
          <w:szCs w:val="22"/>
          <w:lang w:val="en"/>
        </w:rPr>
        <w:t xml:space="preserve"> — Part 104: Strategies. </w:t>
      </w:r>
      <w:r w:rsidRPr="00101BDE">
        <w:rPr>
          <w:rStyle w:val="hgkelc"/>
          <w:rFonts w:asciiTheme="majorHAnsi" w:hAnsiTheme="majorHAnsi" w:cstheme="majorHAnsi"/>
          <w:color w:val="202124"/>
          <w:szCs w:val="22"/>
        </w:rPr>
        <w:t>International Organization for Standardization</w:t>
      </w:r>
      <w:r w:rsidRPr="00101BDE">
        <w:rPr>
          <w:rStyle w:val="hgkelc"/>
          <w:rFonts w:asciiTheme="majorHAnsi" w:hAnsiTheme="majorHAnsi" w:cstheme="majorHAnsi"/>
          <w:color w:val="202124"/>
          <w:szCs w:val="22"/>
          <w:lang w:val="en-US"/>
        </w:rPr>
        <w:t xml:space="preserve">, </w:t>
      </w:r>
      <w:r w:rsidRPr="00101BDE">
        <w:rPr>
          <w:rFonts w:asciiTheme="majorHAnsi" w:hAnsiTheme="majorHAnsi" w:cstheme="majorHAnsi"/>
          <w:color w:val="333333"/>
          <w:szCs w:val="22"/>
          <w:lang w:val="en"/>
        </w:rPr>
        <w:t>ISO 18400-104:2018. Published 10/2018</w:t>
      </w:r>
    </w:p>
    <w:p w14:paraId="28C51487" w14:textId="77777777" w:rsidR="006F3AFD" w:rsidRPr="000A1030" w:rsidRDefault="006F3AFD" w:rsidP="00C410A7">
      <w:pPr>
        <w:pStyle w:val="EEALiterature"/>
        <w:rPr>
          <w:rFonts w:asciiTheme="majorHAnsi" w:hAnsiTheme="majorHAnsi" w:cstheme="majorHAnsi"/>
          <w:szCs w:val="22"/>
          <w:lang w:val="de-DE"/>
        </w:rPr>
      </w:pPr>
      <w:r>
        <w:t xml:space="preserve">JECFA (2011). Evaluation of certain food additives and contaminants. Seventy-third report of the Joint FAO/WHO Expert Committee on Food Additives. </w:t>
      </w:r>
      <w:r w:rsidRPr="000A1030">
        <w:rPr>
          <w:lang w:val="de-DE"/>
        </w:rPr>
        <w:t xml:space="preserve">WHO Technical Report Series no. 960. </w:t>
      </w:r>
    </w:p>
    <w:p w14:paraId="2BB15211" w14:textId="77777777" w:rsidR="006F3AFD" w:rsidRDefault="006F3AFD" w:rsidP="00C410A7">
      <w:pPr>
        <w:pStyle w:val="EEALiterature"/>
        <w:rPr>
          <w:lang w:val="de-AT"/>
        </w:rPr>
      </w:pPr>
      <w:r w:rsidRPr="00C51D7E">
        <w:rPr>
          <w:lang w:val="de-AT"/>
        </w:rPr>
        <w:t>LABO</w:t>
      </w:r>
      <w:r>
        <w:rPr>
          <w:lang w:val="de-AT"/>
        </w:rPr>
        <w:t xml:space="preserve"> (</w:t>
      </w:r>
      <w:r w:rsidRPr="00C51D7E">
        <w:rPr>
          <w:lang w:val="de-AT"/>
        </w:rPr>
        <w:t>2017</w:t>
      </w:r>
      <w:r>
        <w:rPr>
          <w:lang w:val="de-AT"/>
        </w:rPr>
        <w:t>).</w:t>
      </w:r>
      <w:r w:rsidRPr="00C51D7E">
        <w:rPr>
          <w:lang w:val="de-AT"/>
        </w:rPr>
        <w:t xml:space="preserve"> Hintergrundwerte für anorganische und organische Stoffe in Böden</w:t>
      </w:r>
      <w:r>
        <w:rPr>
          <w:lang w:val="de-AT"/>
        </w:rPr>
        <w:t>.</w:t>
      </w:r>
      <w:r w:rsidRPr="00C51D7E">
        <w:rPr>
          <w:lang w:val="de-AT"/>
        </w:rPr>
        <w:t xml:space="preserve"> Bund Länder Arbeitsgemeinschaft Bodenschutz</w:t>
      </w:r>
      <w:r>
        <w:rPr>
          <w:lang w:val="de-AT"/>
        </w:rPr>
        <w:t>.</w:t>
      </w:r>
      <w:r w:rsidRPr="00C51D7E">
        <w:rPr>
          <w:lang w:val="de-AT"/>
        </w:rPr>
        <w:t xml:space="preserve"> 257 (</w:t>
      </w:r>
      <w:hyperlink r:id="rId76" w:history="1">
        <w:r w:rsidRPr="00813132">
          <w:rPr>
            <w:rStyle w:val="Hyperlink"/>
            <w:lang w:val="de-AT"/>
          </w:rPr>
          <w:t>https://www.labo-deutschland.de/documents/LABO_Fassung_HGW_Bericht_02_2017.pdf</w:t>
        </w:r>
      </w:hyperlink>
      <w:r w:rsidRPr="00C51D7E">
        <w:rPr>
          <w:lang w:val="de-AT"/>
        </w:rPr>
        <w:t>)</w:t>
      </w:r>
    </w:p>
    <w:p w14:paraId="4CA6138B" w14:textId="6D11EDE2" w:rsidR="006F3AFD" w:rsidRPr="007D4AA5" w:rsidRDefault="006F3AFD" w:rsidP="00C410A7">
      <w:pPr>
        <w:pStyle w:val="EEALiterature"/>
        <w:rPr>
          <w:rFonts w:cs="Calibri"/>
          <w:szCs w:val="22"/>
          <w:lang w:val="en-US"/>
        </w:rPr>
      </w:pPr>
      <w:r w:rsidRPr="007D4AA5">
        <w:rPr>
          <w:rFonts w:eastAsiaTheme="minorEastAsia" w:cs="Calibri"/>
          <w:color w:val="131413"/>
          <w:szCs w:val="22"/>
          <w:lang w:val="en-US" w:eastAsia="en-US"/>
        </w:rPr>
        <w:t>Lamé, P.J.A</w:t>
      </w:r>
      <w:r w:rsidR="00F9615E">
        <w:rPr>
          <w:rFonts w:eastAsiaTheme="minorEastAsia" w:cs="Calibri"/>
          <w:color w:val="131413"/>
          <w:szCs w:val="22"/>
          <w:lang w:val="en-US" w:eastAsia="en-US"/>
        </w:rPr>
        <w:t>.</w:t>
      </w:r>
      <w:r w:rsidRPr="007D4AA5">
        <w:rPr>
          <w:rFonts w:eastAsiaTheme="minorEastAsia" w:cs="Calibri"/>
          <w:color w:val="131413"/>
          <w:szCs w:val="22"/>
          <w:lang w:val="en-US" w:eastAsia="en-US"/>
        </w:rPr>
        <w:t xml:space="preserve"> </w:t>
      </w:r>
      <w:r w:rsidR="00F9615E">
        <w:rPr>
          <w:rFonts w:eastAsiaTheme="minorEastAsia" w:cs="Calibri"/>
          <w:color w:val="131413"/>
          <w:szCs w:val="22"/>
          <w:lang w:val="en-US" w:eastAsia="en-US"/>
        </w:rPr>
        <w:t xml:space="preserve">(2011). </w:t>
      </w:r>
      <w:r w:rsidRPr="007D4AA5">
        <w:rPr>
          <w:rFonts w:eastAsiaTheme="minorEastAsia" w:cs="Calibri"/>
          <w:color w:val="131413"/>
          <w:szCs w:val="22"/>
          <w:lang w:val="en-US" w:eastAsia="en-US"/>
        </w:rPr>
        <w:t xml:space="preserve">Practical Approach for Site Investigation. </w:t>
      </w:r>
      <w:r w:rsidRPr="007D4AA5">
        <w:rPr>
          <w:rFonts w:cs="Calibri"/>
          <w:color w:val="000000"/>
          <w:szCs w:val="22"/>
        </w:rPr>
        <w:t>Chapter 3 in: F.A. Swartjes (Ed.)</w:t>
      </w:r>
      <w:r w:rsidR="00F9615E">
        <w:rPr>
          <w:rFonts w:cs="Calibri"/>
          <w:color w:val="000000"/>
          <w:szCs w:val="22"/>
        </w:rPr>
        <w:t xml:space="preserve"> (200</w:t>
      </w:r>
      <w:r w:rsidRPr="007D4AA5">
        <w:rPr>
          <w:rFonts w:cs="Calibri"/>
          <w:color w:val="000000"/>
          <w:szCs w:val="22"/>
        </w:rPr>
        <w:t>, Dealing with contaminated sites. From theory towards practical application. Springer Science+Business Media BV, Dordrecht.</w:t>
      </w:r>
    </w:p>
    <w:p w14:paraId="1A488C45" w14:textId="03AE7491" w:rsidR="006F3AFD" w:rsidRPr="0097456C" w:rsidRDefault="006F3AFD" w:rsidP="00C410A7">
      <w:pPr>
        <w:pStyle w:val="EEALiterature"/>
        <w:rPr>
          <w:lang w:val="en-US"/>
        </w:rPr>
      </w:pPr>
      <w:r>
        <w:t>Lanphear, B.P., Hornung, R., Khoury, J., Yolton, K., Baghurst, P., Bellinger, D., Canfield, R.L., Dietrich, K.N., Borsschein, R., Green, T., Rothenberg, S.J., Needleman, H.L., Schnaas, L., Wasserman, G., Graziano, J. and R. Roberts (2005)</w:t>
      </w:r>
      <w:r w:rsidR="00993B1A">
        <w:t>.</w:t>
      </w:r>
      <w:r>
        <w:t xml:space="preserve"> Low-level environmental lead exposure and children’s intellectual function: An international pooled Analysis, Env. </w:t>
      </w:r>
      <w:r w:rsidRPr="0097456C">
        <w:rPr>
          <w:lang w:val="en-US"/>
        </w:rPr>
        <w:t>Health Perspect, 113</w:t>
      </w:r>
      <w:r w:rsidR="00993B1A">
        <w:rPr>
          <w:lang w:val="en-US"/>
        </w:rPr>
        <w:t xml:space="preserve"> (</w:t>
      </w:r>
      <w:r w:rsidRPr="0097456C">
        <w:rPr>
          <w:lang w:val="en-US"/>
        </w:rPr>
        <w:t>7</w:t>
      </w:r>
      <w:r w:rsidR="00993B1A">
        <w:rPr>
          <w:lang w:val="en-US"/>
        </w:rPr>
        <w:t>):</w:t>
      </w:r>
      <w:r w:rsidRPr="0097456C">
        <w:rPr>
          <w:lang w:val="en-US"/>
        </w:rPr>
        <w:t xml:space="preserve"> 894-899.</w:t>
      </w:r>
    </w:p>
    <w:p w14:paraId="6C3A058F" w14:textId="77777777" w:rsidR="006F3AFD" w:rsidRPr="00C51D7E" w:rsidRDefault="006F3AFD" w:rsidP="00C410A7">
      <w:pPr>
        <w:pStyle w:val="EEALiterature"/>
      </w:pPr>
      <w:r w:rsidRPr="00813760">
        <w:rPr>
          <w:lang w:val="en-US"/>
        </w:rPr>
        <w:t>Lorenz</w:t>
      </w:r>
      <w:r>
        <w:rPr>
          <w:lang w:val="en-US"/>
        </w:rPr>
        <w:t>,</w:t>
      </w:r>
      <w:r w:rsidRPr="00813760">
        <w:rPr>
          <w:lang w:val="en-US"/>
        </w:rPr>
        <w:t xml:space="preserve"> M.</w:t>
      </w:r>
      <w:r>
        <w:rPr>
          <w:lang w:val="en-US"/>
        </w:rPr>
        <w:t>,</w:t>
      </w:r>
      <w:r w:rsidRPr="00813760">
        <w:rPr>
          <w:lang w:val="en-US"/>
        </w:rPr>
        <w:t xml:space="preserve"> </w:t>
      </w:r>
      <w:r>
        <w:rPr>
          <w:lang w:val="en-US"/>
        </w:rPr>
        <w:t xml:space="preserve">N. </w:t>
      </w:r>
      <w:r w:rsidRPr="00813760">
        <w:rPr>
          <w:lang w:val="en-US"/>
        </w:rPr>
        <w:t>Clarke</w:t>
      </w:r>
      <w:r>
        <w:rPr>
          <w:lang w:val="en-US"/>
        </w:rPr>
        <w:t>,</w:t>
      </w:r>
      <w:r w:rsidRPr="00813760">
        <w:rPr>
          <w:lang w:val="en-US"/>
        </w:rPr>
        <w:t xml:space="preserve"> </w:t>
      </w:r>
      <w:r>
        <w:rPr>
          <w:lang w:val="en-US"/>
        </w:rPr>
        <w:t xml:space="preserve">E. </w:t>
      </w:r>
      <w:r w:rsidRPr="00813760">
        <w:rPr>
          <w:lang w:val="en-US"/>
        </w:rPr>
        <w:t>Paoletti</w:t>
      </w:r>
      <w:r>
        <w:rPr>
          <w:lang w:val="en-US"/>
        </w:rPr>
        <w:t xml:space="preserve">, A. </w:t>
      </w:r>
      <w:r w:rsidRPr="00813760">
        <w:rPr>
          <w:lang w:val="en-US"/>
        </w:rPr>
        <w:t>Bytnerowicz</w:t>
      </w:r>
      <w:r>
        <w:rPr>
          <w:lang w:val="en-US"/>
        </w:rPr>
        <w:t>,</w:t>
      </w:r>
      <w:r w:rsidRPr="00E8074F">
        <w:rPr>
          <w:lang w:val="en-US"/>
        </w:rPr>
        <w:t xml:space="preserve"> N. Grulke, N. Lukina </w:t>
      </w:r>
      <w:r w:rsidRPr="003808CA">
        <w:rPr>
          <w:lang w:val="en-US"/>
        </w:rPr>
        <w:t xml:space="preserve">... &amp; </w:t>
      </w:r>
      <w:r>
        <w:rPr>
          <w:lang w:val="en-US"/>
        </w:rPr>
        <w:t xml:space="preserve"> J. </w:t>
      </w:r>
      <w:r w:rsidRPr="003808CA">
        <w:rPr>
          <w:lang w:val="en-US"/>
        </w:rPr>
        <w:t>Staelens</w:t>
      </w:r>
      <w:r w:rsidRPr="00813760">
        <w:rPr>
          <w:lang w:val="en-US"/>
        </w:rPr>
        <w:t xml:space="preserve"> (2010). </w:t>
      </w:r>
      <w:r w:rsidRPr="00C51D7E">
        <w:t>Air pollution impacts on forests in a changing climate (Vol</w:t>
      </w:r>
      <w:r>
        <w:t>.</w:t>
      </w:r>
      <w:r w:rsidRPr="00C51D7E">
        <w:t xml:space="preserve"> 25</w:t>
      </w:r>
      <w:r>
        <w:t>.</w:t>
      </w:r>
      <w:r w:rsidRPr="00C51D7E">
        <w:t xml:space="preserve"> pp</w:t>
      </w:r>
      <w:r>
        <w:t>.</w:t>
      </w:r>
      <w:r w:rsidRPr="00C51D7E">
        <w:t xml:space="preserve"> 55-75)</w:t>
      </w:r>
      <w:r>
        <w:t>.</w:t>
      </w:r>
      <w:r w:rsidRPr="00C51D7E">
        <w:t xml:space="preserve"> International Union of Forest Research Organizations (IUFRO)</w:t>
      </w:r>
      <w:r>
        <w:t>.</w:t>
      </w:r>
    </w:p>
    <w:p w14:paraId="08F43EA1" w14:textId="77777777" w:rsidR="006F3AFD" w:rsidRDefault="006F3AFD" w:rsidP="00C410A7">
      <w:pPr>
        <w:pStyle w:val="EEALiterature"/>
        <w:rPr>
          <w:rFonts w:asciiTheme="majorHAnsi" w:hAnsiTheme="majorHAnsi" w:cstheme="majorHAnsi"/>
          <w:szCs w:val="22"/>
          <w:lang w:val="en-US"/>
        </w:rPr>
      </w:pPr>
      <w:r w:rsidRPr="00560A97">
        <w:rPr>
          <w:rFonts w:asciiTheme="majorHAnsi" w:hAnsiTheme="majorHAnsi" w:cstheme="majorHAnsi"/>
          <w:szCs w:val="22"/>
          <w:lang w:val="en-US"/>
        </w:rPr>
        <w:t>OECD</w:t>
      </w:r>
      <w:r>
        <w:rPr>
          <w:rFonts w:asciiTheme="majorHAnsi" w:hAnsiTheme="majorHAnsi" w:cstheme="majorHAnsi"/>
          <w:szCs w:val="22"/>
          <w:lang w:val="en-US"/>
        </w:rPr>
        <w:t xml:space="preserve"> </w:t>
      </w:r>
      <w:r w:rsidRPr="00560A97">
        <w:rPr>
          <w:rFonts w:asciiTheme="majorHAnsi" w:hAnsiTheme="majorHAnsi" w:cstheme="majorHAnsi"/>
          <w:szCs w:val="22"/>
          <w:lang w:val="en-US"/>
        </w:rPr>
        <w:t>(2013)</w:t>
      </w:r>
      <w:r>
        <w:rPr>
          <w:rFonts w:asciiTheme="majorHAnsi" w:hAnsiTheme="majorHAnsi" w:cstheme="majorHAnsi"/>
          <w:szCs w:val="22"/>
          <w:lang w:val="en-US"/>
        </w:rPr>
        <w:t>.</w:t>
      </w:r>
      <w:r w:rsidRPr="00560A97">
        <w:rPr>
          <w:rFonts w:asciiTheme="majorHAnsi" w:hAnsiTheme="majorHAnsi" w:cstheme="majorHAnsi"/>
          <w:szCs w:val="22"/>
          <w:lang w:val="en-US"/>
        </w:rPr>
        <w:t xml:space="preserve"> OECD/UNEP Global PFC Group, Synthesis paper on per- and</w:t>
      </w:r>
      <w:r>
        <w:rPr>
          <w:rFonts w:asciiTheme="majorHAnsi" w:hAnsiTheme="majorHAnsi" w:cstheme="majorHAnsi"/>
          <w:szCs w:val="22"/>
          <w:lang w:val="en-US"/>
        </w:rPr>
        <w:t xml:space="preserve"> </w:t>
      </w:r>
      <w:r w:rsidRPr="00560A97">
        <w:rPr>
          <w:rFonts w:asciiTheme="majorHAnsi" w:hAnsiTheme="majorHAnsi" w:cstheme="majorHAnsi"/>
          <w:szCs w:val="22"/>
          <w:lang w:val="en-US"/>
        </w:rPr>
        <w:t>polyfluorinated chemicals (PFCs)</w:t>
      </w:r>
      <w:r>
        <w:rPr>
          <w:rFonts w:asciiTheme="majorHAnsi" w:hAnsiTheme="majorHAnsi" w:cstheme="majorHAnsi"/>
          <w:szCs w:val="22"/>
          <w:lang w:val="en-US"/>
        </w:rPr>
        <w:t>.</w:t>
      </w:r>
      <w:r w:rsidRPr="00560A97">
        <w:rPr>
          <w:rFonts w:asciiTheme="majorHAnsi" w:hAnsiTheme="majorHAnsi" w:cstheme="majorHAnsi"/>
          <w:szCs w:val="22"/>
          <w:lang w:val="en-US"/>
        </w:rPr>
        <w:t xml:space="preserve"> Environment, Health and Safety,</w:t>
      </w:r>
      <w:r>
        <w:rPr>
          <w:rFonts w:asciiTheme="majorHAnsi" w:hAnsiTheme="majorHAnsi" w:cstheme="majorHAnsi"/>
          <w:szCs w:val="22"/>
          <w:lang w:val="en-US"/>
        </w:rPr>
        <w:t xml:space="preserve"> </w:t>
      </w:r>
      <w:r w:rsidRPr="00560A97">
        <w:rPr>
          <w:rFonts w:asciiTheme="majorHAnsi" w:hAnsiTheme="majorHAnsi" w:cstheme="majorHAnsi"/>
          <w:szCs w:val="22"/>
          <w:lang w:val="en-US"/>
        </w:rPr>
        <w:t>Environment Directorate, OECD.</w:t>
      </w:r>
    </w:p>
    <w:p w14:paraId="1D136DBF" w14:textId="77777777" w:rsidR="006F3AFD" w:rsidRPr="00A41A85" w:rsidRDefault="006F3AFD" w:rsidP="00C410A7">
      <w:pPr>
        <w:pStyle w:val="EEALiterature"/>
        <w:rPr>
          <w:rFonts w:eastAsiaTheme="minorEastAsia"/>
          <w:bCs/>
          <w:color w:val="131413"/>
          <w:szCs w:val="22"/>
          <w:lang w:val="en-US" w:eastAsia="en-US"/>
        </w:rPr>
      </w:pPr>
      <w:bookmarkStart w:id="452" w:name="_Hlk82713513"/>
      <w:r w:rsidRPr="00A41A85">
        <w:rPr>
          <w:rFonts w:eastAsiaTheme="minorEastAsia"/>
          <w:bCs/>
          <w:color w:val="131413"/>
          <w:szCs w:val="22"/>
          <w:lang w:val="en-US" w:eastAsia="en-US"/>
        </w:rPr>
        <w:t xml:space="preserve">Payá Pérez, A. and N. Rodríguez Eugenio (2018). </w:t>
      </w:r>
      <w:bookmarkEnd w:id="452"/>
      <w:r w:rsidRPr="00A41A85">
        <w:rPr>
          <w:rFonts w:eastAsiaTheme="minorEastAsia"/>
          <w:bCs/>
          <w:color w:val="131413"/>
          <w:szCs w:val="22"/>
          <w:lang w:val="en-US" w:eastAsia="en-US"/>
        </w:rPr>
        <w:t>Status of local soil contamination in Europe revision of the indicator “Progress in the management contaminated sites in Europe”. No. EUR 29124 EN. Luxembourg, JRC. (</w:t>
      </w:r>
      <w:proofErr w:type="gramStart"/>
      <w:r w:rsidRPr="00A41A85">
        <w:rPr>
          <w:rFonts w:eastAsiaTheme="minorEastAsia"/>
          <w:bCs/>
          <w:color w:val="131413"/>
          <w:szCs w:val="22"/>
          <w:lang w:val="en-US" w:eastAsia="en-US"/>
        </w:rPr>
        <w:t>also</w:t>
      </w:r>
      <w:proofErr w:type="gramEnd"/>
      <w:r w:rsidRPr="00A41A85">
        <w:rPr>
          <w:rFonts w:eastAsiaTheme="minorEastAsia"/>
          <w:bCs/>
          <w:color w:val="131413"/>
          <w:szCs w:val="22"/>
          <w:lang w:val="en-US" w:eastAsia="en-US"/>
        </w:rPr>
        <w:t xml:space="preserve"> available at:</w:t>
      </w:r>
    </w:p>
    <w:p w14:paraId="0D660844" w14:textId="77777777" w:rsidR="006F3AFD" w:rsidRDefault="00742092" w:rsidP="00C410A7">
      <w:pPr>
        <w:pStyle w:val="EEALiterature"/>
        <w:rPr>
          <w:rFonts w:eastAsiaTheme="minorEastAsia"/>
          <w:bCs/>
          <w:color w:val="131413"/>
          <w:szCs w:val="22"/>
          <w:lang w:val="en-US" w:eastAsia="en-US"/>
        </w:rPr>
      </w:pPr>
      <w:hyperlink r:id="rId77" w:history="1">
        <w:r w:rsidR="006F3AFD" w:rsidRPr="00245AC3">
          <w:rPr>
            <w:rStyle w:val="Hyperlink"/>
            <w:rFonts w:eastAsiaTheme="minorEastAsia"/>
            <w:bCs/>
            <w:szCs w:val="22"/>
            <w:lang w:val="en-US" w:eastAsia="en-US"/>
          </w:rPr>
          <w:t>https://publications.jrc.ec.europa.eu/repository/bitstream/JRC107508/jrc107508_2018.1264_src_final_progress_in_the_management_contaminated_sites_in_europe_eur_29124_en_online-final_1.pdf</w:t>
        </w:r>
      </w:hyperlink>
      <w:r w:rsidR="006F3AFD" w:rsidRPr="00A41A85">
        <w:rPr>
          <w:rFonts w:eastAsiaTheme="minorEastAsia"/>
          <w:bCs/>
          <w:color w:val="131413"/>
          <w:szCs w:val="22"/>
          <w:lang w:val="en-US" w:eastAsia="en-US"/>
        </w:rPr>
        <w:t>).</w:t>
      </w:r>
    </w:p>
    <w:p w14:paraId="1E57BDF2" w14:textId="77777777" w:rsidR="006F3AFD" w:rsidRPr="00012B1A" w:rsidRDefault="006F3AFD" w:rsidP="00C410A7">
      <w:pPr>
        <w:pStyle w:val="EEALiterature"/>
        <w:rPr>
          <w:bCs/>
          <w:color w:val="000000"/>
          <w:szCs w:val="22"/>
        </w:rPr>
      </w:pPr>
      <w:r w:rsidRPr="0097456C">
        <w:rPr>
          <w:rFonts w:eastAsiaTheme="minorEastAsia"/>
          <w:bCs/>
          <w:color w:val="131413"/>
          <w:szCs w:val="22"/>
          <w:lang w:val="en-US" w:eastAsia="en-US"/>
        </w:rPr>
        <w:t>Posthuma, L.</w:t>
      </w:r>
      <w:r>
        <w:rPr>
          <w:rFonts w:eastAsiaTheme="minorEastAsia"/>
          <w:bCs/>
          <w:color w:val="131413"/>
          <w:szCs w:val="22"/>
          <w:lang w:val="en-US" w:eastAsia="en-US"/>
        </w:rPr>
        <w:t xml:space="preserve"> and</w:t>
      </w:r>
      <w:r w:rsidRPr="000A1030">
        <w:rPr>
          <w:rFonts w:eastAsiaTheme="minorEastAsia"/>
          <w:bCs/>
          <w:color w:val="131413"/>
          <w:szCs w:val="22"/>
          <w:lang w:val="en-US" w:eastAsia="en-US"/>
        </w:rPr>
        <w:t xml:space="preserve"> G.W. Suter (2011). </w:t>
      </w:r>
      <w:r w:rsidRPr="00012B1A">
        <w:rPr>
          <w:rFonts w:eastAsiaTheme="minorEastAsia"/>
          <w:bCs/>
          <w:color w:val="131413"/>
          <w:szCs w:val="22"/>
          <w:lang w:val="en-US" w:eastAsia="en-US"/>
        </w:rPr>
        <w:t xml:space="preserve">Ecological Risk Assessment of Diffuse and Local Soil Contamination Using Species Sensitivity Distributions. </w:t>
      </w:r>
      <w:r w:rsidRPr="00012B1A">
        <w:rPr>
          <w:color w:val="000000"/>
          <w:szCs w:val="22"/>
        </w:rPr>
        <w:t>Chapter 14 in: F.A. Swartjes (Ed.), Dealing with contaminated sites. From theory towards practical application. Springer Science+Business Media BV, Dordrecht.</w:t>
      </w:r>
    </w:p>
    <w:p w14:paraId="271EAAF5" w14:textId="77777777" w:rsidR="006F3AFD" w:rsidRPr="00C51D7E" w:rsidRDefault="006F3AFD" w:rsidP="00C410A7">
      <w:pPr>
        <w:pStyle w:val="EEALiterature"/>
      </w:pPr>
      <w:r w:rsidRPr="00813760">
        <w:rPr>
          <w:lang w:val="de-DE"/>
        </w:rPr>
        <w:t>Reimann</w:t>
      </w:r>
      <w:r>
        <w:rPr>
          <w:lang w:val="de-DE"/>
        </w:rPr>
        <w:t>,</w:t>
      </w:r>
      <w:r w:rsidRPr="00813760">
        <w:rPr>
          <w:lang w:val="de-DE"/>
        </w:rPr>
        <w:t xml:space="preserve"> C.</w:t>
      </w:r>
      <w:r>
        <w:rPr>
          <w:lang w:val="de-DE"/>
        </w:rPr>
        <w:t>,</w:t>
      </w:r>
      <w:r w:rsidRPr="00813760">
        <w:rPr>
          <w:lang w:val="de-DE"/>
        </w:rPr>
        <w:t xml:space="preserve"> </w:t>
      </w:r>
      <w:r>
        <w:rPr>
          <w:lang w:val="de-DE"/>
        </w:rPr>
        <w:t xml:space="preserve">P. </w:t>
      </w:r>
      <w:r w:rsidRPr="00813760">
        <w:rPr>
          <w:lang w:val="de-DE"/>
        </w:rPr>
        <w:t xml:space="preserve">Filzmoser &amp; </w:t>
      </w:r>
      <w:r>
        <w:rPr>
          <w:lang w:val="de-DE"/>
        </w:rPr>
        <w:t xml:space="preserve">R.G. </w:t>
      </w:r>
      <w:r w:rsidRPr="00813760">
        <w:rPr>
          <w:lang w:val="de-DE"/>
        </w:rPr>
        <w:t>Garrett</w:t>
      </w:r>
      <w:r w:rsidRPr="006F1DA9">
        <w:rPr>
          <w:lang w:val="de-DE"/>
        </w:rPr>
        <w:t xml:space="preserve"> (2005). </w:t>
      </w:r>
      <w:r w:rsidRPr="00C51D7E">
        <w:t>Background and threshold: critical comparison of methods of determination</w:t>
      </w:r>
      <w:r>
        <w:t>.</w:t>
      </w:r>
      <w:r w:rsidRPr="00C51D7E">
        <w:t xml:space="preserve"> Science of the total environment 346</w:t>
      </w:r>
      <w:r>
        <w:t xml:space="preserve"> </w:t>
      </w:r>
      <w:r w:rsidRPr="00C51D7E">
        <w:t>(1-3)</w:t>
      </w:r>
      <w:r>
        <w:t>:</w:t>
      </w:r>
      <w:r w:rsidRPr="00C51D7E">
        <w:t xml:space="preserve"> 1-16</w:t>
      </w:r>
      <w:r>
        <w:t>.</w:t>
      </w:r>
    </w:p>
    <w:p w14:paraId="5E913BC3" w14:textId="77777777" w:rsidR="006F3AFD" w:rsidRPr="00CB63D0" w:rsidRDefault="006F3AFD" w:rsidP="00C410A7">
      <w:pPr>
        <w:pStyle w:val="EEALiterature"/>
        <w:rPr>
          <w:szCs w:val="22"/>
        </w:rPr>
      </w:pPr>
      <w:r w:rsidRPr="00CB63D0">
        <w:rPr>
          <w:szCs w:val="22"/>
          <w:lang w:val="nl-NL"/>
        </w:rPr>
        <w:t xml:space="preserve">Rietra, R.P.J.J., </w:t>
      </w:r>
      <w:r>
        <w:rPr>
          <w:szCs w:val="22"/>
          <w:lang w:val="nl-NL"/>
        </w:rPr>
        <w:t xml:space="preserve">G. </w:t>
      </w:r>
      <w:r w:rsidRPr="00CB63D0">
        <w:rPr>
          <w:szCs w:val="22"/>
          <w:lang w:val="nl-NL"/>
        </w:rPr>
        <w:t xml:space="preserve">Mol, </w:t>
      </w:r>
      <w:r>
        <w:rPr>
          <w:szCs w:val="22"/>
          <w:lang w:val="nl-NL"/>
        </w:rPr>
        <w:t xml:space="preserve">I.M.C.M. </w:t>
      </w:r>
      <w:r w:rsidRPr="00CB63D0">
        <w:rPr>
          <w:szCs w:val="22"/>
          <w:lang w:val="nl-NL"/>
        </w:rPr>
        <w:t xml:space="preserve">Rietjens &amp; </w:t>
      </w:r>
      <w:r>
        <w:rPr>
          <w:szCs w:val="22"/>
          <w:lang w:val="nl-NL"/>
        </w:rPr>
        <w:t xml:space="preserve">P.F.A.M. </w:t>
      </w:r>
      <w:r w:rsidRPr="00CB63D0">
        <w:rPr>
          <w:szCs w:val="22"/>
          <w:lang w:val="nl-NL"/>
        </w:rPr>
        <w:t xml:space="preserve">Römkens (2017). </w:t>
      </w:r>
      <w:r w:rsidRPr="006F1DA9">
        <w:rPr>
          <w:rStyle w:val="Hervorhebung"/>
          <w:i w:val="0"/>
          <w:iCs w:val="0"/>
          <w:szCs w:val="22"/>
        </w:rPr>
        <w:t>Cadmium in soil, crops and resultant dietary exposure</w:t>
      </w:r>
      <w:r w:rsidRPr="006F1DA9">
        <w:rPr>
          <w:i/>
          <w:iCs/>
          <w:szCs w:val="22"/>
        </w:rPr>
        <w:t xml:space="preserve">. </w:t>
      </w:r>
      <w:r w:rsidRPr="00CB63D0">
        <w:rPr>
          <w:szCs w:val="22"/>
        </w:rPr>
        <w:t>Wageningen Environmental Research rapport; No. 2784. https://doi.org/10.18174/403611</w:t>
      </w:r>
    </w:p>
    <w:p w14:paraId="04AEA1FA" w14:textId="77777777" w:rsidR="006F3AFD" w:rsidRDefault="006F3AFD" w:rsidP="00C410A7">
      <w:pPr>
        <w:pStyle w:val="EEALiterature"/>
      </w:pPr>
      <w:r w:rsidRPr="00CB63D0">
        <w:t xml:space="preserve">Römkens, P.F.A.M., R. Rietra, H. Kros, J.C. Voogd and W. de Vries (2018). </w:t>
      </w:r>
      <w:r>
        <w:t>Impact of cadmium levels in fertilisers on cadmium accumulation in soil and uptake by food crops. 10.18174/451353</w:t>
      </w:r>
    </w:p>
    <w:p w14:paraId="3A88AA25" w14:textId="77777777" w:rsidR="006F3AFD" w:rsidRPr="00D86900" w:rsidRDefault="006F3AFD" w:rsidP="00C410A7">
      <w:pPr>
        <w:pStyle w:val="EEALiterature"/>
        <w:rPr>
          <w:lang w:val="en-US"/>
        </w:rPr>
      </w:pPr>
      <w:r w:rsidRPr="00C51D7E">
        <w:t>Rodríguez-Eugenio</w:t>
      </w:r>
      <w:r>
        <w:t>,</w:t>
      </w:r>
      <w:r w:rsidRPr="00C51D7E">
        <w:t xml:space="preserve"> N</w:t>
      </w:r>
      <w:r>
        <w:t>.,</w:t>
      </w:r>
      <w:r w:rsidRPr="00C51D7E">
        <w:t xml:space="preserve"> </w:t>
      </w:r>
      <w:r>
        <w:t xml:space="preserve">M. </w:t>
      </w:r>
      <w:r w:rsidRPr="00C51D7E">
        <w:t xml:space="preserve">McLaughlin and </w:t>
      </w:r>
      <w:r>
        <w:t xml:space="preserve">D. </w:t>
      </w:r>
      <w:r w:rsidRPr="00C51D7E">
        <w:t>Pennock</w:t>
      </w:r>
      <w:r>
        <w:t xml:space="preserve"> (</w:t>
      </w:r>
      <w:r w:rsidRPr="00C51D7E">
        <w:t>2018</w:t>
      </w:r>
      <w:r>
        <w:t>).</w:t>
      </w:r>
      <w:r w:rsidRPr="00C51D7E">
        <w:t xml:space="preserve"> Soil Pollution: a hidden reality</w:t>
      </w:r>
      <w:r>
        <w:t>.</w:t>
      </w:r>
      <w:r w:rsidRPr="00C51D7E">
        <w:t xml:space="preserve"> </w:t>
      </w:r>
      <w:r w:rsidRPr="00D86900">
        <w:rPr>
          <w:lang w:val="en-US"/>
        </w:rPr>
        <w:t>Rome, FAO. 142 pp.</w:t>
      </w:r>
    </w:p>
    <w:p w14:paraId="25A1C92E" w14:textId="45EB40E3" w:rsidR="005F5797" w:rsidRPr="0043423B" w:rsidRDefault="005F5797" w:rsidP="00C410A7">
      <w:pPr>
        <w:pStyle w:val="EEALiterature"/>
        <w:rPr>
          <w:lang w:val="en-US"/>
        </w:rPr>
      </w:pPr>
      <w:r w:rsidRPr="0043423B">
        <w:rPr>
          <w:lang w:val="en-US"/>
        </w:rPr>
        <w:t>Saveyn, H., P</w:t>
      </w:r>
      <w:r w:rsidR="0043423B" w:rsidRPr="0043423B">
        <w:rPr>
          <w:lang w:val="en-US"/>
        </w:rPr>
        <w:t>.</w:t>
      </w:r>
      <w:r w:rsidRPr="0043423B">
        <w:rPr>
          <w:lang w:val="en-US"/>
        </w:rPr>
        <w:t xml:space="preserve"> Eder, E</w:t>
      </w:r>
      <w:r w:rsidR="0043423B" w:rsidRPr="0043423B">
        <w:rPr>
          <w:lang w:val="en-US"/>
        </w:rPr>
        <w:t>.</w:t>
      </w:r>
      <w:r w:rsidRPr="0043423B">
        <w:rPr>
          <w:lang w:val="en-US"/>
        </w:rPr>
        <w:t xml:space="preserve"> Garbarino, L</w:t>
      </w:r>
      <w:r w:rsidR="0043423B" w:rsidRPr="0043423B">
        <w:rPr>
          <w:lang w:val="en-US"/>
        </w:rPr>
        <w:t xml:space="preserve">. </w:t>
      </w:r>
      <w:r w:rsidRPr="0043423B">
        <w:rPr>
          <w:lang w:val="en-US"/>
        </w:rPr>
        <w:t>Muchova, O</w:t>
      </w:r>
      <w:r w:rsidR="0043423B" w:rsidRPr="0043423B">
        <w:rPr>
          <w:lang w:val="en-US"/>
        </w:rPr>
        <w:t>.</w:t>
      </w:r>
      <w:r w:rsidRPr="0043423B">
        <w:rPr>
          <w:lang w:val="en-US"/>
        </w:rPr>
        <w:t xml:space="preserve"> Hjelmar, H</w:t>
      </w:r>
      <w:r w:rsidR="0043423B" w:rsidRPr="0043423B">
        <w:rPr>
          <w:lang w:val="en-US"/>
        </w:rPr>
        <w:t>.</w:t>
      </w:r>
      <w:r w:rsidRPr="0043423B">
        <w:rPr>
          <w:lang w:val="en-US"/>
        </w:rPr>
        <w:t xml:space="preserve"> van der Sloot, R</w:t>
      </w:r>
      <w:r w:rsidR="0043423B" w:rsidRPr="0043423B">
        <w:rPr>
          <w:lang w:val="en-US"/>
        </w:rPr>
        <w:t xml:space="preserve">. </w:t>
      </w:r>
      <w:r w:rsidRPr="0043423B">
        <w:rPr>
          <w:lang w:val="en-US"/>
        </w:rPr>
        <w:t>Comans, A</w:t>
      </w:r>
      <w:r w:rsidR="0043423B" w:rsidRPr="0043423B">
        <w:rPr>
          <w:lang w:val="en-US"/>
        </w:rPr>
        <w:t>.</w:t>
      </w:r>
      <w:r w:rsidRPr="0043423B">
        <w:rPr>
          <w:lang w:val="en-US"/>
        </w:rPr>
        <w:t xml:space="preserve"> van Zomeren, J</w:t>
      </w:r>
      <w:r w:rsidR="0043423B" w:rsidRPr="0043423B">
        <w:rPr>
          <w:lang w:val="en-US"/>
        </w:rPr>
        <w:t>.</w:t>
      </w:r>
      <w:r w:rsidRPr="0043423B">
        <w:rPr>
          <w:lang w:val="en-US"/>
        </w:rPr>
        <w:t xml:space="preserve"> Hyks</w:t>
      </w:r>
      <w:r w:rsidR="0043423B" w:rsidRPr="0043423B">
        <w:rPr>
          <w:lang w:val="en-US"/>
        </w:rPr>
        <w:t xml:space="preserve"> and</w:t>
      </w:r>
      <w:r w:rsidRPr="0043423B">
        <w:rPr>
          <w:lang w:val="en-US"/>
        </w:rPr>
        <w:t xml:space="preserve"> A</w:t>
      </w:r>
      <w:r w:rsidR="0043423B">
        <w:rPr>
          <w:lang w:val="en-US"/>
        </w:rPr>
        <w:t xml:space="preserve">. </w:t>
      </w:r>
      <w:r w:rsidRPr="00CA3EEA">
        <w:rPr>
          <w:lang w:val="en-US"/>
        </w:rPr>
        <w:t xml:space="preserve">Oberende (2014). </w:t>
      </w:r>
      <w:r w:rsidR="00CA3EEA" w:rsidRPr="00CA3EEA">
        <w:rPr>
          <w:lang w:val="en-US"/>
        </w:rPr>
        <w:t>Study on methodological aspects</w:t>
      </w:r>
      <w:r w:rsidR="0043423B">
        <w:rPr>
          <w:lang w:val="en-US"/>
        </w:rPr>
        <w:t xml:space="preserve"> </w:t>
      </w:r>
      <w:r w:rsidR="00CA3EEA" w:rsidRPr="00CA3EEA">
        <w:rPr>
          <w:lang w:val="en-US"/>
        </w:rPr>
        <w:t>regarding limit values for pollutants in</w:t>
      </w:r>
      <w:r w:rsidR="0043423B">
        <w:rPr>
          <w:lang w:val="en-US"/>
        </w:rPr>
        <w:t xml:space="preserve"> </w:t>
      </w:r>
      <w:r w:rsidR="00CA3EEA" w:rsidRPr="00CA3EEA">
        <w:rPr>
          <w:lang w:val="en-US"/>
        </w:rPr>
        <w:t>aggregates in the context of the</w:t>
      </w:r>
      <w:r w:rsidR="0043423B">
        <w:rPr>
          <w:lang w:val="en-US"/>
        </w:rPr>
        <w:t xml:space="preserve"> </w:t>
      </w:r>
      <w:r w:rsidR="00CA3EEA" w:rsidRPr="00CA3EEA">
        <w:rPr>
          <w:lang w:val="en-US"/>
        </w:rPr>
        <w:t>possible development of end-of-waste</w:t>
      </w:r>
      <w:r w:rsidR="004F4DBD">
        <w:rPr>
          <w:lang w:val="en-US"/>
        </w:rPr>
        <w:t xml:space="preserve"> </w:t>
      </w:r>
      <w:r w:rsidR="00CA3EEA" w:rsidRPr="00CA3EEA">
        <w:rPr>
          <w:lang w:val="en-US"/>
        </w:rPr>
        <w:t>criteria under the EU Waste Framework</w:t>
      </w:r>
      <w:r w:rsidR="004F4DBD">
        <w:rPr>
          <w:lang w:val="en-US"/>
        </w:rPr>
        <w:t xml:space="preserve"> </w:t>
      </w:r>
      <w:r w:rsidR="00CA3EEA" w:rsidRPr="0043423B">
        <w:rPr>
          <w:lang w:val="en-US"/>
        </w:rPr>
        <w:t>Directive.</w:t>
      </w:r>
      <w:r w:rsidR="00C65DD0">
        <w:rPr>
          <w:lang w:val="en-US"/>
        </w:rPr>
        <w:t xml:space="preserve"> </w:t>
      </w:r>
      <w:r w:rsidR="00C65DD0" w:rsidRPr="00C65DD0">
        <w:rPr>
          <w:lang w:val="en-US"/>
        </w:rPr>
        <w:t xml:space="preserve">JRC Technical Reports. </w:t>
      </w:r>
      <w:r w:rsidR="00C65DD0" w:rsidRPr="00D86900">
        <w:rPr>
          <w:lang w:val="en-US"/>
        </w:rPr>
        <w:t>EUR 26769 EN. ISBN 978-92-79-39782-0 (PDF). Doi</w:t>
      </w:r>
      <w:proofErr w:type="gramStart"/>
      <w:r w:rsidR="00C65DD0" w:rsidRPr="00D86900">
        <w:rPr>
          <w:lang w:val="en-US"/>
        </w:rPr>
        <w:t>:10.2791</w:t>
      </w:r>
      <w:proofErr w:type="gramEnd"/>
      <w:r w:rsidR="00C65DD0" w:rsidRPr="00D86900">
        <w:rPr>
          <w:lang w:val="en-US"/>
        </w:rPr>
        <w:t xml:space="preserve">/11821. </w:t>
      </w:r>
      <w:r w:rsidR="00C65DD0" w:rsidRPr="00C65DD0">
        <w:rPr>
          <w:lang w:val="en-US"/>
        </w:rPr>
        <w:t>Luxembourg: Publications Office of the European Union, 2014</w:t>
      </w:r>
    </w:p>
    <w:p w14:paraId="27F41B5E" w14:textId="05C9B141" w:rsidR="006F3AFD" w:rsidRPr="00D86900" w:rsidRDefault="006F3AFD" w:rsidP="00C410A7">
      <w:pPr>
        <w:pStyle w:val="EEALiterature"/>
        <w:rPr>
          <w:lang w:val="en-US"/>
        </w:rPr>
      </w:pPr>
      <w:r w:rsidRPr="00C51D7E">
        <w:rPr>
          <w:lang w:val="de-AT"/>
        </w:rPr>
        <w:t>Stolte</w:t>
      </w:r>
      <w:r>
        <w:rPr>
          <w:lang w:val="de-AT"/>
        </w:rPr>
        <w:t>,</w:t>
      </w:r>
      <w:r w:rsidRPr="00C51D7E">
        <w:rPr>
          <w:lang w:val="de-AT"/>
        </w:rPr>
        <w:t xml:space="preserve"> J</w:t>
      </w:r>
      <w:r>
        <w:rPr>
          <w:lang w:val="de-AT"/>
        </w:rPr>
        <w:t>.,</w:t>
      </w:r>
      <w:r w:rsidRPr="00C51D7E">
        <w:rPr>
          <w:lang w:val="de-AT"/>
        </w:rPr>
        <w:t xml:space="preserve"> </w:t>
      </w:r>
      <w:r>
        <w:rPr>
          <w:lang w:val="de-AT"/>
        </w:rPr>
        <w:t xml:space="preserve">M. </w:t>
      </w:r>
      <w:r w:rsidRPr="00C51D7E">
        <w:rPr>
          <w:lang w:val="de-AT"/>
        </w:rPr>
        <w:t>Tesfai</w:t>
      </w:r>
      <w:r>
        <w:rPr>
          <w:lang w:val="de-AT"/>
        </w:rPr>
        <w:t>,</w:t>
      </w:r>
      <w:r w:rsidRPr="00C51D7E">
        <w:rPr>
          <w:lang w:val="de-AT"/>
        </w:rPr>
        <w:t xml:space="preserve"> </w:t>
      </w:r>
      <w:r>
        <w:rPr>
          <w:lang w:val="de-AT"/>
        </w:rPr>
        <w:t xml:space="preserve">L. </w:t>
      </w:r>
      <w:r w:rsidRPr="00C51D7E">
        <w:rPr>
          <w:lang w:val="de-AT"/>
        </w:rPr>
        <w:t>Øygarden</w:t>
      </w:r>
      <w:r>
        <w:rPr>
          <w:lang w:val="de-AT"/>
        </w:rPr>
        <w:t>,</w:t>
      </w:r>
      <w:r w:rsidRPr="00C51D7E">
        <w:rPr>
          <w:lang w:val="de-AT"/>
        </w:rPr>
        <w:t xml:space="preserve"> </w:t>
      </w:r>
      <w:r>
        <w:rPr>
          <w:lang w:val="de-AT"/>
        </w:rPr>
        <w:t xml:space="preserve">S. </w:t>
      </w:r>
      <w:r w:rsidRPr="00C51D7E">
        <w:rPr>
          <w:lang w:val="de-AT"/>
        </w:rPr>
        <w:t>Kværnø</w:t>
      </w:r>
      <w:r>
        <w:rPr>
          <w:lang w:val="de-AT"/>
        </w:rPr>
        <w:t>,</w:t>
      </w:r>
      <w:r w:rsidRPr="00C51D7E">
        <w:rPr>
          <w:lang w:val="de-AT"/>
        </w:rPr>
        <w:t xml:space="preserve"> </w:t>
      </w:r>
      <w:r>
        <w:rPr>
          <w:lang w:val="de-AT"/>
        </w:rPr>
        <w:t xml:space="preserve">J. </w:t>
      </w:r>
      <w:r w:rsidRPr="00C51D7E">
        <w:rPr>
          <w:lang w:val="de-AT"/>
        </w:rPr>
        <w:t>Keizer</w:t>
      </w:r>
      <w:r>
        <w:rPr>
          <w:lang w:val="de-AT"/>
        </w:rPr>
        <w:t xml:space="preserve">, F. </w:t>
      </w:r>
      <w:r w:rsidRPr="00C51D7E">
        <w:rPr>
          <w:lang w:val="de-AT"/>
        </w:rPr>
        <w:t>Verheijen</w:t>
      </w:r>
      <w:r>
        <w:rPr>
          <w:lang w:val="de-AT"/>
        </w:rPr>
        <w:t>, (…) and</w:t>
      </w:r>
      <w:r w:rsidRPr="00C51D7E">
        <w:rPr>
          <w:lang w:val="de-AT"/>
        </w:rPr>
        <w:t xml:space="preserve"> </w:t>
      </w:r>
      <w:r>
        <w:rPr>
          <w:lang w:val="de-AT"/>
        </w:rPr>
        <w:t xml:space="preserve">R. </w:t>
      </w:r>
      <w:r w:rsidRPr="00C51D7E">
        <w:rPr>
          <w:lang w:val="de-AT"/>
        </w:rPr>
        <w:t>Hessel</w:t>
      </w:r>
      <w:r>
        <w:rPr>
          <w:lang w:val="de-AT"/>
        </w:rPr>
        <w:t xml:space="preserve"> </w:t>
      </w:r>
      <w:r w:rsidRPr="00C51D7E">
        <w:rPr>
          <w:lang w:val="de-AT"/>
        </w:rPr>
        <w:t>(</w:t>
      </w:r>
      <w:r>
        <w:rPr>
          <w:lang w:val="de-AT"/>
        </w:rPr>
        <w:t>e</w:t>
      </w:r>
      <w:r w:rsidRPr="00C51D7E">
        <w:rPr>
          <w:lang w:val="de-AT"/>
        </w:rPr>
        <w:t>ds</w:t>
      </w:r>
      <w:r>
        <w:rPr>
          <w:lang w:val="de-AT"/>
        </w:rPr>
        <w:t>.</w:t>
      </w:r>
      <w:r w:rsidRPr="00C51D7E">
        <w:rPr>
          <w:lang w:val="de-AT"/>
        </w:rPr>
        <w:t>)</w:t>
      </w:r>
      <w:r>
        <w:rPr>
          <w:lang w:val="de-AT"/>
        </w:rPr>
        <w:t>.</w:t>
      </w:r>
      <w:r w:rsidRPr="00C51D7E">
        <w:rPr>
          <w:lang w:val="de-AT"/>
        </w:rPr>
        <w:t xml:space="preserve"> </w:t>
      </w:r>
      <w:r w:rsidRPr="00D86900">
        <w:rPr>
          <w:lang w:val="en-US"/>
        </w:rPr>
        <w:t xml:space="preserve">(2016). Soil threats in Europe. EUR 27607 EN. </w:t>
      </w:r>
      <w:proofErr w:type="gramStart"/>
      <w:r w:rsidRPr="00D86900">
        <w:rPr>
          <w:lang w:val="en-US"/>
        </w:rPr>
        <w:t>doi:</w:t>
      </w:r>
      <w:proofErr w:type="gramEnd"/>
      <w:r w:rsidRPr="00D86900">
        <w:rPr>
          <w:lang w:val="en-US"/>
        </w:rPr>
        <w:t>10.2788/488054 (print); doi:10.2788/828742 (online).</w:t>
      </w:r>
    </w:p>
    <w:p w14:paraId="5ACABB64" w14:textId="467220B6" w:rsidR="006F3AFD" w:rsidRPr="00993B1A" w:rsidRDefault="006F3AFD" w:rsidP="00C410A7">
      <w:pPr>
        <w:pStyle w:val="EEALiterature"/>
        <w:rPr>
          <w:rFonts w:asciiTheme="majorHAnsi" w:hAnsiTheme="majorHAnsi"/>
          <w:szCs w:val="22"/>
          <w:lang w:val="en-US"/>
        </w:rPr>
      </w:pPr>
      <w:r w:rsidRPr="00993B1A">
        <w:rPr>
          <w:rFonts w:asciiTheme="majorHAnsi" w:eastAsiaTheme="minorEastAsia" w:hAnsiTheme="majorHAnsi" w:cs="Arial"/>
          <w:szCs w:val="22"/>
          <w:lang w:val="en-US" w:eastAsia="en-US"/>
        </w:rPr>
        <w:t>Swartjes, F., M. D’Alessandro and C. Carlon</w:t>
      </w:r>
      <w:r w:rsidRPr="00993B1A">
        <w:rPr>
          <w:rFonts w:asciiTheme="majorHAnsi" w:eastAsiaTheme="minorEastAsia" w:hAnsiTheme="majorHAnsi"/>
          <w:bCs/>
          <w:szCs w:val="22"/>
          <w:lang w:val="en-US" w:eastAsia="en-US"/>
        </w:rPr>
        <w:t xml:space="preserve"> (2007). Chapter 4. Variability of soil screening values. In: </w:t>
      </w:r>
      <w:r w:rsidRPr="00993B1A">
        <w:rPr>
          <w:rFonts w:asciiTheme="majorHAnsi" w:eastAsiaTheme="minorEastAsia" w:hAnsiTheme="majorHAnsi"/>
          <w:color w:val="000081"/>
          <w:szCs w:val="22"/>
          <w:lang w:val="en-US" w:eastAsia="en-US"/>
        </w:rPr>
        <w:t>Carlon, C. (</w:t>
      </w:r>
      <w:r w:rsidRPr="00993B1A">
        <w:rPr>
          <w:rFonts w:asciiTheme="majorHAnsi" w:eastAsiaTheme="minorEastAsia" w:hAnsiTheme="majorHAnsi"/>
          <w:color w:val="000081"/>
          <w:szCs w:val="22"/>
          <w:u w:val="single"/>
          <w:lang w:val="en-US" w:eastAsia="en-US"/>
        </w:rPr>
        <w:t>ed.</w:t>
      </w:r>
      <w:r w:rsidRPr="00993B1A">
        <w:rPr>
          <w:rFonts w:asciiTheme="majorHAnsi" w:eastAsiaTheme="minorEastAsia" w:hAnsiTheme="majorHAnsi"/>
          <w:color w:val="000081"/>
          <w:szCs w:val="22"/>
          <w:lang w:val="en-US" w:eastAsia="en-US"/>
        </w:rPr>
        <w:t>) (2007). Derivation methods of soil screening values in Europe. A review and evaluation of national procedures towards harmonization. European Commission, Joint Research Centre, Ispra, EUR 22805-EN</w:t>
      </w:r>
      <w:r w:rsidR="000A0A2A" w:rsidRPr="00993B1A">
        <w:rPr>
          <w:rFonts w:asciiTheme="majorHAnsi" w:eastAsiaTheme="minorEastAsia" w:hAnsiTheme="majorHAnsi"/>
          <w:color w:val="000081"/>
          <w:szCs w:val="22"/>
          <w:lang w:val="en-US" w:eastAsia="en-US"/>
        </w:rPr>
        <w:t>.</w:t>
      </w:r>
    </w:p>
    <w:p w14:paraId="2E83C7CB" w14:textId="34641F15" w:rsidR="006F3AFD" w:rsidRPr="00012B1A" w:rsidRDefault="006F3AFD" w:rsidP="00C410A7">
      <w:pPr>
        <w:pStyle w:val="EEALiterature"/>
        <w:rPr>
          <w:rFonts w:cs="Calibri"/>
          <w:b/>
          <w:szCs w:val="22"/>
        </w:rPr>
      </w:pPr>
      <w:r w:rsidRPr="00993B1A">
        <w:rPr>
          <w:rFonts w:asciiTheme="majorHAnsi" w:hAnsiTheme="majorHAnsi" w:cs="Calibri"/>
          <w:szCs w:val="22"/>
          <w:lang w:val="en-US"/>
        </w:rPr>
        <w:lastRenderedPageBreak/>
        <w:t xml:space="preserve">Swartjes, F.A., M. d’Allesandro, C. </w:t>
      </w:r>
      <w:r w:rsidRPr="00993B1A">
        <w:rPr>
          <w:rFonts w:asciiTheme="majorHAnsi" w:hAnsiTheme="majorHAnsi" w:cs="Calibri"/>
          <w:szCs w:val="22"/>
        </w:rPr>
        <w:t xml:space="preserve">Cornelis, E. Wcislo, D. Müller, B. Hazebrouck, C. Jones and C.P. Nathanail (2009). </w:t>
      </w:r>
      <w:bookmarkStart w:id="453" w:name="bmReportTitle"/>
      <w:r w:rsidRPr="00993B1A">
        <w:rPr>
          <w:rFonts w:asciiTheme="majorHAnsi" w:hAnsiTheme="majorHAnsi" w:cs="Calibri"/>
          <w:szCs w:val="22"/>
        </w:rPr>
        <w:t>Towards consistency in Risk assessment tools for contaminated sites management in the EU</w:t>
      </w:r>
      <w:bookmarkEnd w:id="453"/>
      <w:r w:rsidRPr="00993B1A">
        <w:rPr>
          <w:rFonts w:asciiTheme="majorHAnsi" w:hAnsiTheme="majorHAnsi" w:cs="Calibri"/>
          <w:szCs w:val="22"/>
        </w:rPr>
        <w:t>. The HERACLES strategy from the end of 2009 onwards, RIVM Report 711701091</w:t>
      </w:r>
      <w:r w:rsidRPr="00993B1A">
        <w:rPr>
          <w:rFonts w:asciiTheme="majorHAnsi" w:hAnsiTheme="majorHAnsi" w:cs="Calibri"/>
          <w:bCs/>
          <w:color w:val="000000"/>
          <w:szCs w:val="22"/>
        </w:rPr>
        <w:t xml:space="preserve"> </w:t>
      </w:r>
      <w:r w:rsidRPr="00993B1A">
        <w:rPr>
          <w:rFonts w:asciiTheme="majorHAnsi" w:hAnsiTheme="majorHAnsi" w:cs="Calibri"/>
          <w:szCs w:val="22"/>
        </w:rPr>
        <w:t>/2009,</w:t>
      </w:r>
      <w:r>
        <w:rPr>
          <w:rFonts w:cs="Calibri"/>
          <w:szCs w:val="22"/>
        </w:rPr>
        <w:t xml:space="preserve"> RIVM, Bilthoven, the Netherlands</w:t>
      </w:r>
    </w:p>
    <w:p w14:paraId="10946FC5" w14:textId="77777777" w:rsidR="006F3AFD" w:rsidRDefault="006F3AFD" w:rsidP="00C410A7">
      <w:pPr>
        <w:pStyle w:val="EEALiterature"/>
        <w:rPr>
          <w:color w:val="000000"/>
          <w:szCs w:val="22"/>
        </w:rPr>
      </w:pPr>
      <w:r w:rsidRPr="00012B1A">
        <w:rPr>
          <w:bCs/>
          <w:color w:val="000000"/>
          <w:szCs w:val="22"/>
        </w:rPr>
        <w:t>Swartjes, F.A. (2011).</w:t>
      </w:r>
      <w:r w:rsidRPr="00012B1A">
        <w:rPr>
          <w:bCs/>
          <w:i/>
          <w:color w:val="000000"/>
          <w:szCs w:val="22"/>
        </w:rPr>
        <w:t xml:space="preserve"> </w:t>
      </w:r>
      <w:r w:rsidRPr="00012B1A">
        <w:rPr>
          <w:color w:val="000000"/>
          <w:szCs w:val="22"/>
        </w:rPr>
        <w:t>Introduction to contaminated site management. Chapter 1 in: F.A. Swartjes (Ed.), Dealing with contaminated sites. From theory towards practical application. Springer Science+Business Media BV, Dordrecht.</w:t>
      </w:r>
    </w:p>
    <w:p w14:paraId="299094CF" w14:textId="1AEB9029" w:rsidR="006F3AFD" w:rsidRDefault="006F3AFD" w:rsidP="00C410A7">
      <w:pPr>
        <w:pStyle w:val="EEALiterature"/>
        <w:rPr>
          <w:color w:val="000000"/>
          <w:szCs w:val="22"/>
        </w:rPr>
      </w:pPr>
      <w:r w:rsidRPr="00736726">
        <w:rPr>
          <w:bCs/>
          <w:color w:val="000000"/>
          <w:szCs w:val="22"/>
          <w:lang w:val="nl-NL"/>
        </w:rPr>
        <w:t>Swartjes, F.A.</w:t>
      </w:r>
      <w:r w:rsidR="001C0857">
        <w:rPr>
          <w:bCs/>
          <w:color w:val="000000"/>
          <w:szCs w:val="22"/>
          <w:lang w:val="nl-NL"/>
        </w:rPr>
        <w:t xml:space="preserve"> and</w:t>
      </w:r>
      <w:r w:rsidRPr="00736726">
        <w:rPr>
          <w:bCs/>
          <w:color w:val="000000"/>
          <w:szCs w:val="22"/>
          <w:lang w:val="nl-NL"/>
        </w:rPr>
        <w:t xml:space="preserve"> C. Cornelis (2011).</w:t>
      </w:r>
      <w:r w:rsidRPr="00736726">
        <w:rPr>
          <w:bCs/>
          <w:i/>
          <w:color w:val="000000"/>
          <w:szCs w:val="22"/>
          <w:lang w:val="nl-NL"/>
        </w:rPr>
        <w:t xml:space="preserve"> </w:t>
      </w:r>
      <w:r>
        <w:rPr>
          <w:color w:val="000000"/>
          <w:szCs w:val="22"/>
        </w:rPr>
        <w:t>Human health risk assessment</w:t>
      </w:r>
      <w:r w:rsidRPr="00012B1A">
        <w:rPr>
          <w:color w:val="000000"/>
          <w:szCs w:val="22"/>
        </w:rPr>
        <w:t xml:space="preserve">. Chapter </w:t>
      </w:r>
      <w:r>
        <w:rPr>
          <w:color w:val="000000"/>
          <w:szCs w:val="22"/>
        </w:rPr>
        <w:t>5</w:t>
      </w:r>
      <w:r w:rsidRPr="00012B1A">
        <w:rPr>
          <w:color w:val="000000"/>
          <w:szCs w:val="22"/>
        </w:rPr>
        <w:t xml:space="preserve"> in: F.A. Swartjes (Ed.), Dealing with contaminated sites. From theory towards practical application. Springer Science+Business Media BV, Dordrecht.</w:t>
      </w:r>
    </w:p>
    <w:p w14:paraId="2AA9A48A" w14:textId="77777777" w:rsidR="006F3AFD" w:rsidRPr="00BA5E62" w:rsidRDefault="006F3AFD" w:rsidP="00C410A7">
      <w:pPr>
        <w:pStyle w:val="EEALiterature"/>
        <w:rPr>
          <w:bCs/>
          <w:color w:val="000000"/>
          <w:szCs w:val="22"/>
        </w:rPr>
      </w:pPr>
      <w:r w:rsidRPr="00BA5E62">
        <w:rPr>
          <w:rFonts w:asciiTheme="majorHAnsi" w:hAnsiTheme="majorHAnsi" w:cstheme="majorHAnsi"/>
          <w:szCs w:val="22"/>
        </w:rPr>
        <w:t>Swartjes, Frank (2019).</w:t>
      </w:r>
      <w:r w:rsidRPr="00BA5E62">
        <w:rPr>
          <w:rFonts w:asciiTheme="majorHAnsi" w:hAnsiTheme="majorHAnsi" w:cstheme="majorHAnsi"/>
          <w:color w:val="333333"/>
          <w:szCs w:val="22"/>
        </w:rPr>
        <w:t xml:space="preserve"> Policy on soil and groundwater regulation. </w:t>
      </w:r>
      <w:r w:rsidRPr="00BA5E62">
        <w:rPr>
          <w:rFonts w:asciiTheme="majorHAnsi" w:hAnsiTheme="majorHAnsi" w:cstheme="majorHAnsi"/>
          <w:color w:val="333333"/>
          <w:szCs w:val="22"/>
          <w:lang w:val="nl-NL"/>
        </w:rPr>
        <w:t>In: Cornelis A.M. van Gestel, Frank G.A.J. Van Belleghem, Nico W. van den Brink, Steven T.J. Droge, Timo Hamers, Joop L.M. Hermens, Michiel H.S. Kraak, Ansje J. Löhr, John R. Parsons, Ad M.J. Ragas, Nico M. van Straalen, and Martina G. Vijver (</w:t>
      </w:r>
      <w:r w:rsidRPr="00BA5E62">
        <w:rPr>
          <w:rFonts w:asciiTheme="majorHAnsi" w:hAnsiTheme="majorHAnsi" w:cstheme="majorHAnsi"/>
          <w:color w:val="333333"/>
          <w:szCs w:val="22"/>
          <w:u w:val="single"/>
          <w:lang w:val="nl-NL"/>
        </w:rPr>
        <w:t>Eds</w:t>
      </w:r>
      <w:r w:rsidRPr="00BA5E62">
        <w:rPr>
          <w:rFonts w:asciiTheme="majorHAnsi" w:hAnsiTheme="majorHAnsi" w:cstheme="majorHAnsi"/>
          <w:color w:val="333333"/>
          <w:szCs w:val="22"/>
          <w:lang w:val="nl-NL"/>
        </w:rPr>
        <w:t xml:space="preserve">). </w:t>
      </w:r>
      <w:r w:rsidRPr="00BA5E62">
        <w:rPr>
          <w:rFonts w:asciiTheme="majorHAnsi" w:hAnsiTheme="majorHAnsi" w:cstheme="majorHAnsi"/>
          <w:color w:val="000000"/>
          <w:szCs w:val="22"/>
        </w:rPr>
        <w:t>Environmental Toxicology, an open online textbook. September 2019 (retrieved 11/02/2021)</w:t>
      </w:r>
    </w:p>
    <w:p w14:paraId="491A05B8" w14:textId="77777777" w:rsidR="006F3AFD" w:rsidRDefault="006F3AFD" w:rsidP="00C410A7">
      <w:pPr>
        <w:pStyle w:val="EEALiterature"/>
        <w:rPr>
          <w:lang w:val="en-US"/>
        </w:rPr>
      </w:pPr>
      <w:r w:rsidRPr="0031328B">
        <w:rPr>
          <w:lang w:val="en-US"/>
        </w:rPr>
        <w:t xml:space="preserve">Tóth, G., </w:t>
      </w:r>
      <w:r>
        <w:rPr>
          <w:lang w:val="en-US"/>
        </w:rPr>
        <w:t xml:space="preserve">A. </w:t>
      </w:r>
      <w:r w:rsidRPr="0031328B">
        <w:rPr>
          <w:lang w:val="en-US"/>
        </w:rPr>
        <w:t>Jones</w:t>
      </w:r>
      <w:r>
        <w:rPr>
          <w:lang w:val="en-US"/>
        </w:rPr>
        <w:t xml:space="preserve"> and L. </w:t>
      </w:r>
      <w:r w:rsidRPr="0031328B">
        <w:rPr>
          <w:lang w:val="en-US"/>
        </w:rPr>
        <w:t>Montanarella</w:t>
      </w:r>
      <w:r>
        <w:rPr>
          <w:lang w:val="en-US"/>
        </w:rPr>
        <w:t xml:space="preserve"> (</w:t>
      </w:r>
      <w:r w:rsidRPr="0031328B">
        <w:rPr>
          <w:lang w:val="en-US"/>
        </w:rPr>
        <w:t>2013</w:t>
      </w:r>
      <w:r>
        <w:rPr>
          <w:lang w:val="en-US"/>
        </w:rPr>
        <w:t>)</w:t>
      </w:r>
      <w:r w:rsidRPr="0031328B">
        <w:rPr>
          <w:lang w:val="en-US"/>
        </w:rPr>
        <w:t>. LUCAS Topsoil Survey — methodology, data and</w:t>
      </w:r>
      <w:r>
        <w:rPr>
          <w:lang w:val="en-US"/>
        </w:rPr>
        <w:t xml:space="preserve"> </w:t>
      </w:r>
      <w:r w:rsidRPr="0031328B">
        <w:rPr>
          <w:lang w:val="en-US"/>
        </w:rPr>
        <w:t>results. EUR 26102 EN. Office for Official Publications of the European Communities,</w:t>
      </w:r>
      <w:r>
        <w:rPr>
          <w:lang w:val="en-US"/>
        </w:rPr>
        <w:t xml:space="preserve"> </w:t>
      </w:r>
      <w:r w:rsidRPr="0031328B">
        <w:rPr>
          <w:lang w:val="en-US"/>
        </w:rPr>
        <w:t>Luxembourg, p. 141.</w:t>
      </w:r>
    </w:p>
    <w:p w14:paraId="065A378B" w14:textId="77777777" w:rsidR="006F3AFD" w:rsidRPr="00C51D7E" w:rsidRDefault="006F3AFD" w:rsidP="00C410A7">
      <w:pPr>
        <w:pStyle w:val="EEALiterature"/>
      </w:pPr>
      <w:r w:rsidRPr="00813760">
        <w:rPr>
          <w:lang w:val="en-US"/>
        </w:rPr>
        <w:t xml:space="preserve">Tóth, G., T. Hermann, M.R. Da Silva and L. Montanarella (2016). </w:t>
      </w:r>
      <w:r w:rsidRPr="00C51D7E">
        <w:t>Heavy metals in agricultural soils of the European Union with implications for food safety</w:t>
      </w:r>
      <w:r>
        <w:t>.</w:t>
      </w:r>
      <w:r w:rsidRPr="00C51D7E">
        <w:t xml:space="preserve"> Environment internation</w:t>
      </w:r>
      <w:r>
        <w:t>al</w:t>
      </w:r>
      <w:r w:rsidRPr="00C51D7E">
        <w:t xml:space="preserve"> 88</w:t>
      </w:r>
      <w:r>
        <w:t>:</w:t>
      </w:r>
      <w:r w:rsidRPr="00C51D7E">
        <w:t xml:space="preserve"> 299-309</w:t>
      </w:r>
      <w:r>
        <w:t>.</w:t>
      </w:r>
    </w:p>
    <w:p w14:paraId="4E117EDA" w14:textId="77777777" w:rsidR="006F3AFD" w:rsidRPr="00C51D7E" w:rsidRDefault="006F3AFD" w:rsidP="00C410A7">
      <w:pPr>
        <w:pStyle w:val="EEALiterature"/>
        <w:rPr>
          <w:lang w:val="es-ES"/>
        </w:rPr>
      </w:pPr>
      <w:r w:rsidRPr="00C51D7E">
        <w:t>Trombetti</w:t>
      </w:r>
      <w:r>
        <w:t>,</w:t>
      </w:r>
      <w:r w:rsidRPr="00C51D7E">
        <w:t xml:space="preserve"> M</w:t>
      </w:r>
      <w:r>
        <w:t>.,</w:t>
      </w:r>
      <w:r w:rsidRPr="00C51D7E">
        <w:t xml:space="preserve"> </w:t>
      </w:r>
      <w:r>
        <w:t xml:space="preserve">G. </w:t>
      </w:r>
      <w:r w:rsidRPr="00C51D7E">
        <w:t>Prokop</w:t>
      </w:r>
      <w:r>
        <w:t>,</w:t>
      </w:r>
      <w:r w:rsidRPr="00C51D7E">
        <w:t xml:space="preserve"> </w:t>
      </w:r>
      <w:r>
        <w:t xml:space="preserve">W. </w:t>
      </w:r>
      <w:r w:rsidRPr="00C51D7E">
        <w:t>de Vries</w:t>
      </w:r>
      <w:r>
        <w:t xml:space="preserve"> and</w:t>
      </w:r>
      <w:r w:rsidRPr="00C51D7E">
        <w:t xml:space="preserve"> </w:t>
      </w:r>
      <w:r>
        <w:t xml:space="preserve">P.F.A.M. </w:t>
      </w:r>
      <w:r w:rsidRPr="00C51D7E">
        <w:t>Römkens</w:t>
      </w:r>
      <w:r>
        <w:t xml:space="preserve"> (</w:t>
      </w:r>
      <w:r w:rsidRPr="00C51D7E">
        <w:t>2019</w:t>
      </w:r>
      <w:r>
        <w:t>).</w:t>
      </w:r>
      <w:r w:rsidRPr="00C51D7E">
        <w:t xml:space="preserve"> Task 1</w:t>
      </w:r>
      <w:r>
        <w:t>.</w:t>
      </w:r>
      <w:r w:rsidRPr="00C51D7E">
        <w:t>8</w:t>
      </w:r>
      <w:r>
        <w:t>.</w:t>
      </w:r>
      <w:r w:rsidRPr="00C51D7E">
        <w:t>2</w:t>
      </w:r>
      <w:r>
        <w:t>.</w:t>
      </w:r>
      <w:r w:rsidRPr="00C51D7E">
        <w:t>2 Integration of spatial data for assessing soil degradation in Europe</w:t>
      </w:r>
      <w:r>
        <w:t>.</w:t>
      </w:r>
      <w:r w:rsidRPr="00C51D7E">
        <w:t xml:space="preserve"> KD2</w:t>
      </w:r>
      <w:r>
        <w:t>.</w:t>
      </w:r>
      <w:r w:rsidRPr="00C51D7E">
        <w:t xml:space="preserve"> Draft map and methodological description report on soil degradation</w:t>
      </w:r>
      <w:r>
        <w:t>.</w:t>
      </w:r>
      <w:r w:rsidRPr="00C51D7E">
        <w:t xml:space="preserve"> </w:t>
      </w:r>
      <w:r w:rsidRPr="00C51D7E">
        <w:rPr>
          <w:lang w:val="es-ES"/>
        </w:rPr>
        <w:t>ETC</w:t>
      </w:r>
      <w:r>
        <w:rPr>
          <w:lang w:val="es-ES"/>
        </w:rPr>
        <w:t>/</w:t>
      </w:r>
      <w:r w:rsidRPr="00C51D7E">
        <w:rPr>
          <w:lang w:val="es-ES"/>
        </w:rPr>
        <w:t xml:space="preserve">ULS </w:t>
      </w:r>
      <w:r>
        <w:rPr>
          <w:lang w:val="es-ES"/>
        </w:rPr>
        <w:t>unpublished</w:t>
      </w:r>
      <w:r w:rsidRPr="00C51D7E">
        <w:rPr>
          <w:lang w:val="es-ES"/>
        </w:rPr>
        <w:t xml:space="preserve"> report</w:t>
      </w:r>
      <w:r>
        <w:rPr>
          <w:lang w:val="es-ES"/>
        </w:rPr>
        <w:t>.</w:t>
      </w:r>
    </w:p>
    <w:p w14:paraId="103C433F" w14:textId="77777777" w:rsidR="006F3AFD" w:rsidRDefault="006F3AFD" w:rsidP="00C410A7">
      <w:pPr>
        <w:pStyle w:val="EEALiterature"/>
      </w:pPr>
      <w:r>
        <w:t>Van-Camp. L., Bujarrabal, B., Gentile, A-R., Jones, R.J.A., Montanarella, L., Olazabal, C. and Selvaradjou, S-K. (2004). Reports of the Technical Working Groups Established under the Thematic Strategy for Soil Protection. EUR 21319 EN/4, 872 pp. Office for Official Publications of the European Communities, Luxembourg. VOLUME IV – CONTAMINATION AND LAND MANAGEMENT.</w:t>
      </w:r>
    </w:p>
    <w:p w14:paraId="72EC7763" w14:textId="77777777" w:rsidR="006F3AFD" w:rsidRDefault="006F3AFD" w:rsidP="00C410A7">
      <w:pPr>
        <w:pStyle w:val="EEALiterature"/>
        <w:rPr>
          <w:rFonts w:asciiTheme="majorHAnsi" w:hAnsiTheme="majorHAnsi" w:cstheme="majorHAnsi"/>
          <w:szCs w:val="22"/>
        </w:rPr>
      </w:pPr>
      <w:r w:rsidRPr="00321205">
        <w:rPr>
          <w:rFonts w:asciiTheme="majorHAnsi" w:hAnsiTheme="majorHAnsi" w:cstheme="majorHAnsi"/>
          <w:szCs w:val="22"/>
          <w:lang w:val="en-US"/>
        </w:rPr>
        <w:t xml:space="preserve">Verbruggen, E.M.J., R. Posthumus and A.P. van Wezel (2001). </w:t>
      </w:r>
      <w:r w:rsidRPr="00C15622">
        <w:rPr>
          <w:rFonts w:asciiTheme="majorHAnsi" w:hAnsiTheme="majorHAnsi" w:cstheme="majorHAnsi"/>
          <w:szCs w:val="22"/>
        </w:rPr>
        <w:t>Ecotoxicological Serious Risk Concentrations for soil, sediment and (ground</w:t>
      </w:r>
      <w:proofErr w:type="gramStart"/>
      <w:r w:rsidRPr="00C15622">
        <w:rPr>
          <w:rFonts w:asciiTheme="majorHAnsi" w:hAnsiTheme="majorHAnsi" w:cstheme="majorHAnsi"/>
          <w:szCs w:val="22"/>
        </w:rPr>
        <w:t>)water</w:t>
      </w:r>
      <w:proofErr w:type="gramEnd"/>
      <w:r w:rsidRPr="00C15622">
        <w:rPr>
          <w:rFonts w:asciiTheme="majorHAnsi" w:hAnsiTheme="majorHAnsi" w:cstheme="majorHAnsi"/>
          <w:szCs w:val="22"/>
        </w:rPr>
        <w:t>: updated proposals for first series of compounds. RIVM report 711701 020.</w:t>
      </w:r>
    </w:p>
    <w:p w14:paraId="74AD174F" w14:textId="08E86282" w:rsidR="006F3AFD" w:rsidRPr="00087750" w:rsidRDefault="006F3AFD" w:rsidP="00C410A7">
      <w:pPr>
        <w:pStyle w:val="EEALiterature"/>
        <w:rPr>
          <w:lang w:val="nl-NL"/>
        </w:rPr>
      </w:pPr>
      <w:r w:rsidRPr="00C51D7E">
        <w:rPr>
          <w:lang w:val="es-ES"/>
        </w:rPr>
        <w:t>Volpe</w:t>
      </w:r>
      <w:r>
        <w:rPr>
          <w:lang w:val="es-ES"/>
        </w:rPr>
        <w:t>.</w:t>
      </w:r>
      <w:r w:rsidRPr="00C51D7E">
        <w:rPr>
          <w:lang w:val="es-ES"/>
        </w:rPr>
        <w:t xml:space="preserve"> M</w:t>
      </w:r>
      <w:r>
        <w:rPr>
          <w:lang w:val="es-ES"/>
        </w:rPr>
        <w:t>.</w:t>
      </w:r>
      <w:r w:rsidRPr="00C51D7E">
        <w:rPr>
          <w:lang w:val="es-ES"/>
        </w:rPr>
        <w:t>G</w:t>
      </w:r>
      <w:r>
        <w:rPr>
          <w:lang w:val="es-ES"/>
        </w:rPr>
        <w:t>..</w:t>
      </w:r>
      <w:r w:rsidRPr="00C51D7E">
        <w:rPr>
          <w:lang w:val="es-ES"/>
        </w:rPr>
        <w:t xml:space="preserve"> La Cara</w:t>
      </w:r>
      <w:r>
        <w:rPr>
          <w:lang w:val="es-ES"/>
        </w:rPr>
        <w:t>.</w:t>
      </w:r>
      <w:r w:rsidRPr="00C51D7E">
        <w:rPr>
          <w:lang w:val="es-ES"/>
        </w:rPr>
        <w:t xml:space="preserve"> F</w:t>
      </w:r>
      <w:r>
        <w:rPr>
          <w:lang w:val="es-ES"/>
        </w:rPr>
        <w:t>..</w:t>
      </w:r>
      <w:r w:rsidRPr="00C51D7E">
        <w:rPr>
          <w:lang w:val="es-ES"/>
        </w:rPr>
        <w:t xml:space="preserve"> Volpe</w:t>
      </w:r>
      <w:r>
        <w:rPr>
          <w:lang w:val="es-ES"/>
        </w:rPr>
        <w:t>.</w:t>
      </w:r>
      <w:r w:rsidRPr="00C51D7E">
        <w:rPr>
          <w:lang w:val="es-ES"/>
        </w:rPr>
        <w:t xml:space="preserve"> F</w:t>
      </w:r>
      <w:r>
        <w:rPr>
          <w:lang w:val="es-ES"/>
        </w:rPr>
        <w:t>..</w:t>
      </w:r>
      <w:r w:rsidRPr="00C51D7E">
        <w:rPr>
          <w:lang w:val="es-ES"/>
        </w:rPr>
        <w:t xml:space="preserve"> De Mattia</w:t>
      </w:r>
      <w:r>
        <w:rPr>
          <w:lang w:val="es-ES"/>
        </w:rPr>
        <w:t>.</w:t>
      </w:r>
      <w:r w:rsidRPr="00C51D7E">
        <w:rPr>
          <w:lang w:val="es-ES"/>
        </w:rPr>
        <w:t xml:space="preserve"> A</w:t>
      </w:r>
      <w:r>
        <w:rPr>
          <w:lang w:val="es-ES"/>
        </w:rPr>
        <w:t>..</w:t>
      </w:r>
      <w:r w:rsidRPr="00C51D7E">
        <w:rPr>
          <w:lang w:val="es-ES"/>
        </w:rPr>
        <w:t xml:space="preserve"> Serino</w:t>
      </w:r>
      <w:r>
        <w:rPr>
          <w:lang w:val="es-ES"/>
        </w:rPr>
        <w:t>.</w:t>
      </w:r>
      <w:r w:rsidRPr="00C51D7E">
        <w:rPr>
          <w:lang w:val="es-ES"/>
        </w:rPr>
        <w:t xml:space="preserve"> V</w:t>
      </w:r>
      <w:r>
        <w:rPr>
          <w:lang w:val="es-ES"/>
        </w:rPr>
        <w:t>..</w:t>
      </w:r>
      <w:r w:rsidRPr="00C51D7E">
        <w:rPr>
          <w:lang w:val="es-ES"/>
        </w:rPr>
        <w:t xml:space="preserve"> Petitto</w:t>
      </w:r>
      <w:r>
        <w:rPr>
          <w:lang w:val="es-ES"/>
        </w:rPr>
        <w:t>.</w:t>
      </w:r>
      <w:r w:rsidRPr="00C51D7E">
        <w:rPr>
          <w:lang w:val="es-ES"/>
        </w:rPr>
        <w:t xml:space="preserve"> F</w:t>
      </w:r>
      <w:r>
        <w:rPr>
          <w:lang w:val="es-ES"/>
        </w:rPr>
        <w:t>..</w:t>
      </w:r>
      <w:r w:rsidRPr="00C51D7E">
        <w:rPr>
          <w:lang w:val="es-ES"/>
        </w:rPr>
        <w:t xml:space="preserve"> Zavalloni</w:t>
      </w:r>
      <w:r>
        <w:rPr>
          <w:lang w:val="es-ES"/>
        </w:rPr>
        <w:t>.</w:t>
      </w:r>
      <w:r w:rsidRPr="00C51D7E">
        <w:rPr>
          <w:lang w:val="es-ES"/>
        </w:rPr>
        <w:t xml:space="preserve"> C</w:t>
      </w:r>
      <w:r>
        <w:rPr>
          <w:lang w:val="es-ES"/>
        </w:rPr>
        <w:t>..</w:t>
      </w:r>
      <w:r w:rsidRPr="00C51D7E">
        <w:rPr>
          <w:lang w:val="es-ES"/>
        </w:rPr>
        <w:t xml:space="preserve"> Limone</w:t>
      </w:r>
      <w:r>
        <w:rPr>
          <w:lang w:val="es-ES"/>
        </w:rPr>
        <w:t>.</w:t>
      </w:r>
      <w:r w:rsidRPr="00C51D7E">
        <w:rPr>
          <w:lang w:val="es-ES"/>
        </w:rPr>
        <w:t xml:space="preserve"> F</w:t>
      </w:r>
      <w:r>
        <w:rPr>
          <w:lang w:val="es-ES"/>
        </w:rPr>
        <w:t>..</w:t>
      </w:r>
      <w:r w:rsidRPr="00C51D7E">
        <w:rPr>
          <w:lang w:val="es-ES"/>
        </w:rPr>
        <w:t xml:space="preserve"> Pellecchia</w:t>
      </w:r>
      <w:r>
        <w:rPr>
          <w:lang w:val="es-ES"/>
        </w:rPr>
        <w:t>.</w:t>
      </w:r>
      <w:r w:rsidRPr="00C51D7E">
        <w:rPr>
          <w:lang w:val="es-ES"/>
        </w:rPr>
        <w:t xml:space="preserve"> R</w:t>
      </w:r>
      <w:r>
        <w:rPr>
          <w:lang w:val="es-ES"/>
        </w:rPr>
        <w:t>..</w:t>
      </w:r>
      <w:r w:rsidRPr="00C51D7E">
        <w:rPr>
          <w:lang w:val="es-ES"/>
        </w:rPr>
        <w:t xml:space="preserve"> De Prisco</w:t>
      </w:r>
      <w:r>
        <w:rPr>
          <w:lang w:val="es-ES"/>
        </w:rPr>
        <w:t>.</w:t>
      </w:r>
      <w:r w:rsidRPr="00C51D7E">
        <w:rPr>
          <w:lang w:val="es-ES"/>
        </w:rPr>
        <w:t xml:space="preserve"> P</w:t>
      </w:r>
      <w:r>
        <w:rPr>
          <w:lang w:val="es-ES"/>
        </w:rPr>
        <w:t>.</w:t>
      </w:r>
      <w:r w:rsidRPr="00C51D7E">
        <w:rPr>
          <w:lang w:val="es-ES"/>
        </w:rPr>
        <w:t>P</w:t>
      </w:r>
      <w:r>
        <w:rPr>
          <w:lang w:val="es-ES"/>
        </w:rPr>
        <w:t>.</w:t>
      </w:r>
      <w:r w:rsidRPr="00C51D7E">
        <w:rPr>
          <w:lang w:val="es-ES"/>
        </w:rPr>
        <w:t xml:space="preserve"> &amp; Di Stasio</w:t>
      </w:r>
      <w:r>
        <w:rPr>
          <w:lang w:val="es-ES"/>
        </w:rPr>
        <w:t>.</w:t>
      </w:r>
      <w:r w:rsidRPr="00C51D7E">
        <w:rPr>
          <w:lang w:val="es-ES"/>
        </w:rPr>
        <w:t xml:space="preserve"> M</w:t>
      </w:r>
      <w:r>
        <w:rPr>
          <w:lang w:val="es-ES"/>
        </w:rPr>
        <w:t>.</w:t>
      </w:r>
      <w:r w:rsidRPr="00C51D7E">
        <w:rPr>
          <w:lang w:val="es-ES"/>
        </w:rPr>
        <w:t xml:space="preserve"> 2009</w:t>
      </w:r>
      <w:r>
        <w:rPr>
          <w:lang w:val="es-ES"/>
        </w:rPr>
        <w:t>.</w:t>
      </w:r>
      <w:r w:rsidRPr="00C51D7E">
        <w:rPr>
          <w:lang w:val="es-ES"/>
        </w:rPr>
        <w:t xml:space="preserve"> </w:t>
      </w:r>
      <w:r w:rsidRPr="00C51D7E">
        <w:t>Heavy metal uptake in the enological food chain</w:t>
      </w:r>
      <w:r>
        <w:t>.</w:t>
      </w:r>
      <w:r w:rsidRPr="00C51D7E">
        <w:t xml:space="preserve"> </w:t>
      </w:r>
      <w:r w:rsidRPr="00087750">
        <w:rPr>
          <w:lang w:val="nl-NL"/>
        </w:rPr>
        <w:t xml:space="preserve">Food Chemistry. 117(3): 553–560. </w:t>
      </w:r>
      <w:hyperlink r:id="rId78" w:history="1">
        <w:r w:rsidR="005114A1" w:rsidRPr="003F4523">
          <w:rPr>
            <w:rStyle w:val="Hyperlink"/>
            <w:lang w:val="nl-NL"/>
          </w:rPr>
          <w:t>https://doi.org/10.1016/j.foodchem.2009.04.033</w:t>
        </w:r>
      </w:hyperlink>
      <w:r w:rsidR="005114A1">
        <w:rPr>
          <w:lang w:val="nl-NL"/>
        </w:rPr>
        <w:t xml:space="preserve"> </w:t>
      </w:r>
    </w:p>
    <w:p w14:paraId="2F6425C4" w14:textId="77777777" w:rsidR="006F3AFD" w:rsidRDefault="006F3AFD" w:rsidP="00C410A7">
      <w:pPr>
        <w:pStyle w:val="EEALiterature"/>
      </w:pPr>
      <w:r w:rsidRPr="00087750">
        <w:rPr>
          <w:lang w:val="nl-NL"/>
        </w:rPr>
        <w:t xml:space="preserve">Wezenbeek, J. (2008). NOBO: Normstelling Bodem en bodemkwaliteitsbeoordeling. </w:t>
      </w:r>
      <w:r>
        <w:t>Ministerie van VROM, Den Haag.</w:t>
      </w:r>
    </w:p>
    <w:p w14:paraId="6F04A750" w14:textId="26E35455" w:rsidR="005114A1" w:rsidRDefault="005114A1" w:rsidP="00C410A7">
      <w:pPr>
        <w:pStyle w:val="EEALiterature"/>
      </w:pPr>
      <w:r w:rsidRPr="005114A1">
        <w:t>WHO (World Health Organization) (‎1996</w:t>
      </w:r>
      <w:proofErr w:type="gramStart"/>
      <w:r w:rsidRPr="005114A1">
        <w:t>)‎</w:t>
      </w:r>
      <w:proofErr w:type="gramEnd"/>
      <w:r w:rsidRPr="005114A1">
        <w:t xml:space="preserve">. Trace elements in human nutrition and health. World Health Organization. </w:t>
      </w:r>
      <w:hyperlink r:id="rId79" w:history="1">
        <w:r w:rsidRPr="003F4523">
          <w:rPr>
            <w:rStyle w:val="Hyperlink"/>
          </w:rPr>
          <w:t>https://apps.who.int/iris/handle/10665/37931</w:t>
        </w:r>
      </w:hyperlink>
      <w:r>
        <w:t xml:space="preserve"> </w:t>
      </w:r>
    </w:p>
    <w:p w14:paraId="3009919E" w14:textId="62D17345" w:rsidR="006F3AFD" w:rsidRDefault="006F3AFD" w:rsidP="00C410A7">
      <w:pPr>
        <w:pStyle w:val="EEALiterature"/>
      </w:pPr>
      <w:r>
        <w:t xml:space="preserve">WHO </w:t>
      </w:r>
      <w:r w:rsidR="005114A1" w:rsidRPr="005114A1">
        <w:t xml:space="preserve">(World Health Organization) </w:t>
      </w:r>
      <w:r>
        <w:t>(2011). Seventy-second report of the Joint FAO/WHO Expert Committee on food additives. Evaluation of certain contaminants in food. WHO (World Health Organization) Technical Reports Series 959.</w:t>
      </w:r>
    </w:p>
    <w:p w14:paraId="5DC466C6" w14:textId="77777777" w:rsidR="00292A6C" w:rsidRPr="006F3AFD" w:rsidRDefault="00292A6C" w:rsidP="00C410A7">
      <w:pPr>
        <w:pStyle w:val="EEALiterature"/>
        <w:rPr>
          <w:highlight w:val="green"/>
        </w:rPr>
      </w:pPr>
    </w:p>
    <w:p w14:paraId="1C596012" w14:textId="78DC0713" w:rsidR="0037472D" w:rsidRDefault="0037472D" w:rsidP="0037472D">
      <w:pPr>
        <w:pStyle w:val="berschrift2"/>
      </w:pPr>
      <w:bookmarkStart w:id="454" w:name="_Toc83997421"/>
      <w:r w:rsidRPr="008F64E4">
        <w:t xml:space="preserve">Soil </w:t>
      </w:r>
      <w:r>
        <w:t>biodiversity</w:t>
      </w:r>
      <w:bookmarkEnd w:id="454"/>
    </w:p>
    <w:p w14:paraId="2BC765A3" w14:textId="77777777" w:rsidR="0037472D" w:rsidRDefault="0037472D" w:rsidP="00C410A7">
      <w:pPr>
        <w:pStyle w:val="EEALiterature"/>
      </w:pPr>
    </w:p>
    <w:p w14:paraId="31A7FF5B" w14:textId="77777777" w:rsidR="004327B1" w:rsidRDefault="004327B1" w:rsidP="00C410A7">
      <w:pPr>
        <w:pStyle w:val="EEALiterature"/>
      </w:pPr>
      <w:r w:rsidRPr="004327B1">
        <w:rPr>
          <w:lang w:val="de-DE"/>
        </w:rPr>
        <w:t xml:space="preserve">Aksoy, E., G. Louwagie, C. Gard, M. Gregor, C. Schröder and M. Löhnertz (2017). </w:t>
      </w:r>
      <w:r>
        <w:t xml:space="preserve">Assessing soil biodiversity potentials in Europe. Science of </w:t>
      </w:r>
      <w:proofErr w:type="gramStart"/>
      <w:r>
        <w:t>The</w:t>
      </w:r>
      <w:proofErr w:type="gramEnd"/>
      <w:r>
        <w:t xml:space="preserve"> Total Environment. 589. pp.236–249.</w:t>
      </w:r>
    </w:p>
    <w:p w14:paraId="14FC0154" w14:textId="77777777" w:rsidR="004327B1" w:rsidRDefault="004327B1" w:rsidP="00C410A7">
      <w:pPr>
        <w:pStyle w:val="EEALiterature"/>
      </w:pPr>
      <w:r>
        <w:t>Bispo, A., G. Peres, D. Cluzeau, U. Graefe, J. Römbke, M. Rutgers, M. Fuchs, J.P. Sousa, R. Schulte, M. Dombos, B. Simon, A. Gál, J. Cortet, R. Chaussod, K. Ritz, R. Creamer, A. Winding, M. English, J. Boixadera and J.L. Rubio (2007). ENVASSO (Environmental assessment of soil for monitoring) WP 5 -Decline in soil biodiversity. EU Contract No. 022713. 22 pp.</w:t>
      </w:r>
    </w:p>
    <w:p w14:paraId="22CBC0FE" w14:textId="77777777" w:rsidR="004327B1" w:rsidRDefault="004327B1" w:rsidP="00C410A7">
      <w:pPr>
        <w:pStyle w:val="EEALiterature"/>
      </w:pPr>
      <w:r>
        <w:t xml:space="preserve">Bispo, A., D. Cluzeau, R. Creamer, M. Dombos, U. Graefe, P. Krogh, J. Sousa, G. Peres, M. Rutgers, A. Winding and J. Römbke (2009). Indicators for monitoring soil biodiversity. Integr Environ Assess Manag. 5(4): 717-9. </w:t>
      </w:r>
      <w:proofErr w:type="gramStart"/>
      <w:r>
        <w:t>doi</w:t>
      </w:r>
      <w:proofErr w:type="gramEnd"/>
      <w:r>
        <w:t>: 10.1897/IEAM-2009-064.1.</w:t>
      </w:r>
    </w:p>
    <w:p w14:paraId="7DB7A311" w14:textId="77777777" w:rsidR="004327B1" w:rsidRDefault="004327B1" w:rsidP="00C410A7">
      <w:pPr>
        <w:pStyle w:val="EEALiterature"/>
      </w:pPr>
      <w:r>
        <w:lastRenderedPageBreak/>
        <w:t>Black, H.I.J., K. Ritz, J. A. Harris, C.M. Cameron, C.D. Campbell, P.M. Chamberlain, R. Creamer, M. Pawlett, C. Wood and B.K. Singh (2011). Scoping biological indicator of soil quality: Phase II. Defra Final Contract Report SP0534</w:t>
      </w:r>
    </w:p>
    <w:p w14:paraId="08F7B85E" w14:textId="77777777" w:rsidR="004327B1" w:rsidRDefault="004327B1" w:rsidP="00C410A7">
      <w:pPr>
        <w:pStyle w:val="EEALiterature"/>
      </w:pPr>
      <w:r>
        <w:t xml:space="preserve">Blakemore, R.J. (2018). Critical decline of earthworms from organic origins under intensive. </w:t>
      </w:r>
      <w:proofErr w:type="gramStart"/>
      <w:r>
        <w:t>humic</w:t>
      </w:r>
      <w:proofErr w:type="gramEnd"/>
      <w:r>
        <w:t xml:space="preserve"> SOM-depleting agriculture. Soil Systems. 2(2). 33.</w:t>
      </w:r>
    </w:p>
    <w:p w14:paraId="2268A4EC" w14:textId="77777777" w:rsidR="004327B1" w:rsidRDefault="004327B1" w:rsidP="00C410A7">
      <w:pPr>
        <w:pStyle w:val="EEALiterature"/>
      </w:pPr>
      <w:r>
        <w:t>Bloem, J., A.J. Schouten, S.J. Sørensen, M. Rutgers, A. van der Werf and A.M. Breure (2006). Monitoring and evaluating soil quality. In “Microbiological Methods for Assessing Soil Quality” (J. Bloem, D.W. Hopkins and A. Benedetti, editors), pp. 23-49. CABI, Wallingford, UK.</w:t>
      </w:r>
    </w:p>
    <w:p w14:paraId="238BC31C" w14:textId="77777777" w:rsidR="004327B1" w:rsidRDefault="004327B1" w:rsidP="00C410A7">
      <w:pPr>
        <w:pStyle w:val="EEALiterature"/>
      </w:pPr>
      <w:r>
        <w:t xml:space="preserve">Breure. A. M. (2004). Soil biodiversity: Measurements. </w:t>
      </w:r>
      <w:proofErr w:type="gramStart"/>
      <w:r>
        <w:t>indicators</w:t>
      </w:r>
      <w:proofErr w:type="gramEnd"/>
      <w:r>
        <w:t xml:space="preserve">. </w:t>
      </w:r>
      <w:proofErr w:type="gramStart"/>
      <w:r>
        <w:t>threats</w:t>
      </w:r>
      <w:proofErr w:type="gramEnd"/>
      <w:r>
        <w:t xml:space="preserve"> and soil functions. In I International Conference Soil and Compost Eco-biology. Leon. Spain. September 15th-17th 2004.</w:t>
      </w:r>
    </w:p>
    <w:p w14:paraId="43C8C6B0" w14:textId="77777777" w:rsidR="004327B1" w:rsidRPr="00A416C4" w:rsidRDefault="004327B1" w:rsidP="00C410A7">
      <w:pPr>
        <w:pStyle w:val="EEALiterature"/>
        <w:rPr>
          <w:lang w:val="de-DE"/>
        </w:rPr>
      </w:pPr>
      <w:r>
        <w:t xml:space="preserve">Breure, A.M. (2005). Soil biodiversity: measurements, indicators, threats and soil functions. Interna-tional Conference soil and compost eco-biology, September 15th – 17th 2004. </w:t>
      </w:r>
      <w:r w:rsidRPr="00A416C4">
        <w:rPr>
          <w:lang w:val="de-DE"/>
        </w:rPr>
        <w:t xml:space="preserve">León - Spain. I. </w:t>
      </w:r>
      <w:proofErr w:type="gramStart"/>
      <w:r w:rsidRPr="00A416C4">
        <w:rPr>
          <w:lang w:val="de-DE"/>
        </w:rPr>
        <w:t>Ses-sion</w:t>
      </w:r>
      <w:proofErr w:type="gramEnd"/>
      <w:r w:rsidRPr="00A416C4">
        <w:rPr>
          <w:lang w:val="de-DE"/>
        </w:rPr>
        <w:t xml:space="preserve"> 1 - Paper 3. pp 83-96.</w:t>
      </w:r>
    </w:p>
    <w:p w14:paraId="26D6C3E7" w14:textId="058F84D2" w:rsidR="00027A63" w:rsidRDefault="00027A63" w:rsidP="00C410A7">
      <w:pPr>
        <w:pStyle w:val="EEALiterature"/>
      </w:pPr>
      <w:r w:rsidRPr="00027A63">
        <w:rPr>
          <w:lang w:val="de-DE"/>
        </w:rPr>
        <w:t>Burkhardt, U</w:t>
      </w:r>
      <w:r>
        <w:rPr>
          <w:lang w:val="de-DE"/>
        </w:rPr>
        <w:t>.</w:t>
      </w:r>
      <w:r w:rsidR="00B9374C">
        <w:rPr>
          <w:lang w:val="de-DE"/>
        </w:rPr>
        <w:t>, D.</w:t>
      </w:r>
      <w:r w:rsidRPr="00027A63">
        <w:rPr>
          <w:lang w:val="de-DE"/>
        </w:rPr>
        <w:t xml:space="preserve"> Russell</w:t>
      </w:r>
      <w:r w:rsidR="00B9374C">
        <w:rPr>
          <w:lang w:val="de-DE"/>
        </w:rPr>
        <w:t>,</w:t>
      </w:r>
      <w:r w:rsidRPr="00027A63">
        <w:rPr>
          <w:lang w:val="de-DE"/>
        </w:rPr>
        <w:t xml:space="preserve"> </w:t>
      </w:r>
      <w:r w:rsidR="00B9374C">
        <w:rPr>
          <w:lang w:val="de-DE"/>
        </w:rPr>
        <w:t xml:space="preserve">P. </w:t>
      </w:r>
      <w:r w:rsidRPr="00027A63">
        <w:rPr>
          <w:lang w:val="de-DE"/>
        </w:rPr>
        <w:t>Decker</w:t>
      </w:r>
      <w:r w:rsidR="00B9374C">
        <w:rPr>
          <w:lang w:val="de-DE"/>
        </w:rPr>
        <w:t>,</w:t>
      </w:r>
      <w:r w:rsidRPr="00027A63">
        <w:rPr>
          <w:lang w:val="de-DE"/>
        </w:rPr>
        <w:t xml:space="preserve"> </w:t>
      </w:r>
      <w:r w:rsidR="00B9374C">
        <w:rPr>
          <w:lang w:val="de-DE"/>
        </w:rPr>
        <w:t xml:space="preserve">M. </w:t>
      </w:r>
      <w:r w:rsidRPr="00027A63">
        <w:rPr>
          <w:lang w:val="de-DE"/>
        </w:rPr>
        <w:t>Döhler</w:t>
      </w:r>
      <w:r w:rsidR="00B9374C">
        <w:rPr>
          <w:lang w:val="de-DE"/>
        </w:rPr>
        <w:t>,</w:t>
      </w:r>
      <w:r w:rsidRPr="00027A63">
        <w:rPr>
          <w:lang w:val="de-DE"/>
        </w:rPr>
        <w:t xml:space="preserve"> </w:t>
      </w:r>
      <w:r w:rsidR="00B9374C">
        <w:rPr>
          <w:lang w:val="de-DE"/>
        </w:rPr>
        <w:t xml:space="preserve">H. </w:t>
      </w:r>
      <w:r w:rsidRPr="00027A63">
        <w:rPr>
          <w:lang w:val="de-DE"/>
        </w:rPr>
        <w:t>Höfer</w:t>
      </w:r>
      <w:r w:rsidR="00B9374C">
        <w:rPr>
          <w:lang w:val="de-DE"/>
        </w:rPr>
        <w:t>,</w:t>
      </w:r>
      <w:r w:rsidRPr="00027A63">
        <w:rPr>
          <w:lang w:val="de-DE"/>
        </w:rPr>
        <w:t xml:space="preserve"> </w:t>
      </w:r>
      <w:r w:rsidR="00B9374C">
        <w:rPr>
          <w:lang w:val="de-DE"/>
        </w:rPr>
        <w:t xml:space="preserve">S. </w:t>
      </w:r>
      <w:r w:rsidRPr="00027A63">
        <w:rPr>
          <w:lang w:val="de-DE"/>
        </w:rPr>
        <w:t>Lesch</w:t>
      </w:r>
      <w:r w:rsidR="00B9374C">
        <w:rPr>
          <w:lang w:val="de-DE"/>
        </w:rPr>
        <w:t>,</w:t>
      </w:r>
      <w:r w:rsidRPr="00027A63">
        <w:rPr>
          <w:lang w:val="de-DE"/>
        </w:rPr>
        <w:t xml:space="preserve"> </w:t>
      </w:r>
      <w:r w:rsidR="00B9374C">
        <w:rPr>
          <w:lang w:val="de-DE"/>
        </w:rPr>
        <w:t xml:space="preserve">S. </w:t>
      </w:r>
      <w:r w:rsidRPr="00027A63">
        <w:rPr>
          <w:lang w:val="de-DE"/>
        </w:rPr>
        <w:t>Rick</w:t>
      </w:r>
      <w:r w:rsidR="00B9374C">
        <w:rPr>
          <w:lang w:val="de-DE"/>
        </w:rPr>
        <w:t>,</w:t>
      </w:r>
      <w:r w:rsidRPr="00027A63">
        <w:rPr>
          <w:lang w:val="de-DE"/>
        </w:rPr>
        <w:t xml:space="preserve"> </w:t>
      </w:r>
      <w:r w:rsidR="00B9374C">
        <w:rPr>
          <w:lang w:val="de-DE"/>
        </w:rPr>
        <w:t xml:space="preserve">J. </w:t>
      </w:r>
      <w:r w:rsidRPr="00027A63">
        <w:rPr>
          <w:lang w:val="de-DE"/>
        </w:rPr>
        <w:t>Römbke</w:t>
      </w:r>
      <w:r w:rsidR="00B9374C">
        <w:rPr>
          <w:lang w:val="de-DE"/>
        </w:rPr>
        <w:t>,</w:t>
      </w:r>
      <w:r w:rsidRPr="00027A63">
        <w:rPr>
          <w:lang w:val="de-DE"/>
        </w:rPr>
        <w:t xml:space="preserve"> </w:t>
      </w:r>
      <w:r w:rsidR="00B9374C">
        <w:rPr>
          <w:lang w:val="de-DE"/>
        </w:rPr>
        <w:t xml:space="preserve">C. </w:t>
      </w:r>
      <w:r w:rsidRPr="00027A63">
        <w:rPr>
          <w:lang w:val="de-DE"/>
        </w:rPr>
        <w:t>Trog</w:t>
      </w:r>
      <w:r w:rsidR="00B9374C">
        <w:rPr>
          <w:lang w:val="de-DE"/>
        </w:rPr>
        <w:t>,</w:t>
      </w:r>
      <w:r w:rsidRPr="00027A63">
        <w:rPr>
          <w:lang w:val="de-DE"/>
        </w:rPr>
        <w:t xml:space="preserve"> </w:t>
      </w:r>
      <w:r w:rsidR="00B9374C">
        <w:rPr>
          <w:lang w:val="de-DE"/>
        </w:rPr>
        <w:t xml:space="preserve">J. </w:t>
      </w:r>
      <w:r w:rsidRPr="00027A63">
        <w:rPr>
          <w:lang w:val="de-DE"/>
        </w:rPr>
        <w:t>Vorwald</w:t>
      </w:r>
      <w:r w:rsidR="00B9374C">
        <w:rPr>
          <w:lang w:val="de-DE"/>
        </w:rPr>
        <w:t xml:space="preserve">, E. </w:t>
      </w:r>
      <w:r w:rsidRPr="00027A63">
        <w:rPr>
          <w:lang w:val="de-DE"/>
        </w:rPr>
        <w:t>Wurst</w:t>
      </w:r>
      <w:r w:rsidR="00B9374C">
        <w:rPr>
          <w:lang w:val="de-DE"/>
        </w:rPr>
        <w:t xml:space="preserve"> and</w:t>
      </w:r>
      <w:r w:rsidRPr="00027A63">
        <w:rPr>
          <w:lang w:val="de-DE"/>
        </w:rPr>
        <w:t xml:space="preserve"> </w:t>
      </w:r>
      <w:r w:rsidR="00B9374C">
        <w:rPr>
          <w:lang w:val="de-DE"/>
        </w:rPr>
        <w:t xml:space="preserve">W. </w:t>
      </w:r>
      <w:r w:rsidRPr="00027A63">
        <w:rPr>
          <w:lang w:val="de-DE"/>
        </w:rPr>
        <w:t xml:space="preserve">Xylander </w:t>
      </w:r>
      <w:r w:rsidRPr="00B9374C">
        <w:rPr>
          <w:lang w:val="de-DE"/>
        </w:rPr>
        <w:t xml:space="preserve">(2014). </w:t>
      </w:r>
      <w:r w:rsidRPr="00027A63">
        <w:t>The Edaphobase project of GBIF-Germany — A new online soil-zoological data warehouse. Applied Soil Ecology</w:t>
      </w:r>
      <w:r w:rsidR="00B9374C">
        <w:t xml:space="preserve"> </w:t>
      </w:r>
      <w:r w:rsidRPr="00027A63">
        <w:t>83</w:t>
      </w:r>
      <w:r w:rsidR="00B9374C">
        <w:t>:</w:t>
      </w:r>
      <w:r w:rsidRPr="00027A63">
        <w:t xml:space="preserve"> 3-12. 10.1016/j.apsoil.2014.03.021.</w:t>
      </w:r>
    </w:p>
    <w:p w14:paraId="087B2CA7" w14:textId="3A63EF0E" w:rsidR="004327B1" w:rsidRDefault="004327B1" w:rsidP="00C410A7">
      <w:pPr>
        <w:pStyle w:val="EEALiterature"/>
      </w:pPr>
      <w:r>
        <w:t>Cluzeau, D. et al. (2012): Integration of biodiversity in soil quality monitoring: Baselines for microbial and soil fauna parameters for different land-use types. European Journal of Soil Biology. 49: 63-72. https://doi.org/10.1016/j.ejsobi.2011.11.003.</w:t>
      </w:r>
    </w:p>
    <w:p w14:paraId="786CA68E" w14:textId="77777777" w:rsidR="004327B1" w:rsidRDefault="004327B1" w:rsidP="00C410A7">
      <w:pPr>
        <w:pStyle w:val="EEALiterature"/>
      </w:pPr>
      <w:r>
        <w:t xml:space="preserve">Creamer, R. et al. (2019): Monitoring schema for regional and European application. </w:t>
      </w:r>
      <w:proofErr w:type="gramStart"/>
      <w:r>
        <w:t>testing</w:t>
      </w:r>
      <w:proofErr w:type="gramEnd"/>
      <w:r>
        <w:t xml:space="preserve"> and assessment of indicators for five soil functions. Deliverable 5.2. Landmark project: Monitoring scheme for regional and European application, testing and assessment of indicators for five soil functions.</w:t>
      </w:r>
    </w:p>
    <w:p w14:paraId="7B3E9602" w14:textId="77777777" w:rsidR="004327B1" w:rsidRDefault="004327B1" w:rsidP="00C410A7">
      <w:pPr>
        <w:pStyle w:val="EEALiterature"/>
      </w:pPr>
      <w:r>
        <w:t>De Vries, F.T., Thébault, E., Liiri, M., Birkhofer, K., Tsiafouli, M.A., Bjørnlund, L., Jørgensen, H.B., Brady, M.V., Christensen, S., De Ruiter, P.C., D'Hertefeldt, T., Frouz, J., Hedlund, K., Hemerik, L., Gera Hol, W.H., Hotes, S., Mortimer, S.R., Setälä, H., Sgardelis, S.P., Uteseny, K., Van Der Putten, W.H., Wolters, V., Bardgett, R.D. (2013) Soil food web properties explain ecosystem services across European land use systems. Proceedings of the National Academy of Sciences of the United States of America, 110, 14296-14301.</w:t>
      </w:r>
    </w:p>
    <w:p w14:paraId="2B0DD7D1" w14:textId="77777777" w:rsidR="004327B1" w:rsidRDefault="004327B1" w:rsidP="00C410A7">
      <w:pPr>
        <w:pStyle w:val="EEALiterature"/>
      </w:pPr>
      <w:r>
        <w:t xml:space="preserve">EEA (2019). Signals - Land and soil in Europe. Luxembourg: Publications Office of the European Union. 2019. </w:t>
      </w:r>
      <w:proofErr w:type="gramStart"/>
      <w:r>
        <w:t>doi</w:t>
      </w:r>
      <w:proofErr w:type="gramEnd"/>
      <w:r>
        <w:t>: 10.2800/66375</w:t>
      </w:r>
    </w:p>
    <w:p w14:paraId="4D1D47F7" w14:textId="77777777" w:rsidR="004327B1" w:rsidRDefault="004327B1" w:rsidP="00C410A7">
      <w:pPr>
        <w:pStyle w:val="EEALiterature"/>
      </w:pPr>
      <w:r>
        <w:t>FAO and ITPS (2015). Status of the World’s Soil Resources (SWSR) – Main Report. Food and Agriculture Organization of the United Nations and Intergovernmental Technical Panel on Soils. Rome, Italy.</w:t>
      </w:r>
    </w:p>
    <w:p w14:paraId="775E9CCD" w14:textId="77777777" w:rsidR="004327B1" w:rsidRDefault="004327B1" w:rsidP="00C410A7">
      <w:pPr>
        <w:pStyle w:val="EEALiterature"/>
      </w:pPr>
      <w:r>
        <w:t>Griffiths, B.S. et al. (2016). Selecting cost effective and policy-relevant biological indicators for European monitoring of soil biodiversity and ecosystem function. Ecological Indicators 69: 213-223. https://doi.org/10.1016/j.ecolind.2016.04.023.</w:t>
      </w:r>
    </w:p>
    <w:p w14:paraId="03B26F05" w14:textId="77777777" w:rsidR="004327B1" w:rsidRDefault="004327B1" w:rsidP="00C410A7">
      <w:pPr>
        <w:pStyle w:val="EEALiterature"/>
      </w:pPr>
      <w:r>
        <w:t>Green, R.N., R.L. Trowbridge and K. Klinka (1993). Towards a taxonomic classification of humus forms. Forest Science Monographs 29: 49 p.</w:t>
      </w:r>
    </w:p>
    <w:p w14:paraId="6F59C0BF" w14:textId="77777777" w:rsidR="004327B1" w:rsidRDefault="004327B1" w:rsidP="00C410A7">
      <w:pPr>
        <w:pStyle w:val="EEALiterature"/>
      </w:pPr>
      <w:r>
        <w:t>Hallin, S., A. Welsh, L., J. Stenstroem, S. Hallet, K. Enwall, D. Bru and L. Philippot (2012). Soil functional operating range linked to microbial biodiversity and community composition using denitrifiers as model guild. PLoS ONE 7(12): e51962. doi:10.1371/journal.pone.0051962</w:t>
      </w:r>
    </w:p>
    <w:p w14:paraId="6144467D" w14:textId="77777777" w:rsidR="004327B1" w:rsidRDefault="004327B1" w:rsidP="00C410A7">
      <w:pPr>
        <w:pStyle w:val="EEALiterature"/>
      </w:pPr>
      <w:r>
        <w:t>Huber, S., G. Prokop, D. Arrouays, G. Banko, A. Bispo, R.J.A. Jones, M.G. Kibblewhite, W. Lexer, A. Möller, R.J. Rickson, T. Shishkov, M. Stephens, G. Toth, J.J.H. Van den Akker, G. Varallyay, F.G.A. Verheijen and A.R. Jones (eds) (2008). Environmental Assessment of Soil for Monitoring: Volume I Indicators &amp; Criteria. EUR 23490 EN/1. Office for the Official Publications of the European Communities. Luxembourg. 339pp.</w:t>
      </w:r>
    </w:p>
    <w:p w14:paraId="135100DB" w14:textId="77777777" w:rsidR="004327B1" w:rsidRDefault="004327B1" w:rsidP="00C410A7">
      <w:pPr>
        <w:pStyle w:val="EEALiterature"/>
      </w:pPr>
      <w:r>
        <w:t>Krüger, I., C. Chartin, B. van Wesemael, S. Malchair and M. Carnol (2017). Integrating biological indicators in a Soil Monitoring Network (SMN) to improve soil quality diagnosis – a study case in Southern Belgium (Wallonia). Biotechnology. Agronomy and Society and Environment 21(3): 219–230. DOI: 10.25518/1780-4507.13482.</w:t>
      </w:r>
    </w:p>
    <w:p w14:paraId="259A8410" w14:textId="77777777" w:rsidR="004327B1" w:rsidRDefault="004327B1" w:rsidP="00C410A7">
      <w:pPr>
        <w:pStyle w:val="EEALiterature"/>
      </w:pPr>
      <w:r>
        <w:t>Liiri, M., H. Setälä, J. Haimi, T. Pennanen and H. Fritze (2002). Soil Processes are not influenced by the functional complexity of soil decomposer food webs under disturbance. Soil Biology and Biochemistry 34: 1009- 1020.</w:t>
      </w:r>
    </w:p>
    <w:p w14:paraId="33C91DA0" w14:textId="77777777" w:rsidR="004327B1" w:rsidRDefault="004327B1" w:rsidP="00C410A7">
      <w:pPr>
        <w:pStyle w:val="EEALiterature"/>
      </w:pPr>
      <w:r>
        <w:lastRenderedPageBreak/>
        <w:t>Nuria, R., M. Jérôme, C. Léonide, C. Christine, M. Gérard, I. Etienne and L. Patrick (2011). IBQS: A synthetic index of soil quality based on soil macro-invertebrate communities. Soil Biology and Biochemistry 43 (10): 2032-2045. https://doi.org/10.1016/j.soilbio.2011.05.019.</w:t>
      </w:r>
    </w:p>
    <w:p w14:paraId="4582455D" w14:textId="77777777" w:rsidR="004327B1" w:rsidRDefault="004327B1" w:rsidP="00C410A7">
      <w:pPr>
        <w:pStyle w:val="EEALiterature"/>
      </w:pPr>
      <w:r>
        <w:t xml:space="preserve">Orgiazzi, A., P. Panagos, Y. Yigini, M. Dunbar, C. Gardi, L. Montanarella and C. Ballabio (2016). A knowledge-based approach to estimating the magnitude and spatial patterns of potential threats to soil biodiversity. Science of </w:t>
      </w:r>
      <w:proofErr w:type="gramStart"/>
      <w:r>
        <w:t>The</w:t>
      </w:r>
      <w:proofErr w:type="gramEnd"/>
      <w:r>
        <w:t xml:space="preserve"> Total Environment. 545-546. 11-20. 10.1016/j.scitotenv.2015.12.092.</w:t>
      </w:r>
    </w:p>
    <w:p w14:paraId="31ABCA24" w14:textId="77777777" w:rsidR="004327B1" w:rsidRDefault="004327B1" w:rsidP="00C410A7">
      <w:pPr>
        <w:pStyle w:val="EEALiterature"/>
      </w:pPr>
      <w:r>
        <w:t>Orgiazzi, A., C. Ballabio, P. Panagos, A. Jones and O. Fernández-Ugalde (2018). LUCAS Soil, the largest expandable soil dataset for Europe: A review. Eur. J. Soil. Sci. 69 (1): 140-153.</w:t>
      </w:r>
    </w:p>
    <w:p w14:paraId="26769A40" w14:textId="77777777" w:rsidR="004327B1" w:rsidRDefault="004327B1" w:rsidP="00C410A7">
      <w:pPr>
        <w:pStyle w:val="EEALiterature"/>
      </w:pPr>
      <w:r>
        <w:t>Phillips, H.R P., C.A. Guerra, M.L.C. Bartz, M.J.I. Briones, G. Brown et al. (2019). Global distribution of earthworm diversity. Science 366: 480–485.</w:t>
      </w:r>
    </w:p>
    <w:p w14:paraId="2F08548E" w14:textId="77777777" w:rsidR="004327B1" w:rsidRDefault="004327B1" w:rsidP="00C410A7">
      <w:pPr>
        <w:pStyle w:val="EEALiterature"/>
      </w:pPr>
      <w:r>
        <w:t xml:space="preserve">Pérès, G. et al. (2011): Earthworm indicators as tools for soil monitoring. </w:t>
      </w:r>
      <w:proofErr w:type="gramStart"/>
      <w:r>
        <w:t>characterization</w:t>
      </w:r>
      <w:proofErr w:type="gramEnd"/>
      <w:r>
        <w:t xml:space="preserve"> and risk assessment. An example from the national Bioindicator programme (France). Pedobiologia. 54 (Supplement): S77-S87. https://doi.org/10.1016/j.pedobi.2011.09.015.</w:t>
      </w:r>
    </w:p>
    <w:p w14:paraId="6DA0941D" w14:textId="77777777" w:rsidR="004327B1" w:rsidRDefault="004327B1" w:rsidP="00C410A7">
      <w:pPr>
        <w:pStyle w:val="EEALiterature"/>
      </w:pPr>
      <w:r>
        <w:t>Plassart, P., S. Terrat, B. Thomson, R. Griffiths, S. Dequiedt, M. Lelievre, T. Regnier, V. Nowak, M. Bailey, P. Lemanceau, A. Bispo, A. Chabbi, P.A. Maron, C. Mougel and L. Ranjard (2012). Evaluation of the ISO Standard 11063 DNA Extraction Procedure for Assessing Soil Microbial Abundance and Community Structure. PLoS ONE 7(9): e44279. doi:10.1371/journal.pone.0044279</w:t>
      </w:r>
    </w:p>
    <w:p w14:paraId="445F1625" w14:textId="77777777" w:rsidR="004327B1" w:rsidRDefault="004327B1" w:rsidP="00C410A7">
      <w:pPr>
        <w:pStyle w:val="EEALiterature"/>
      </w:pPr>
      <w:r>
        <w:t xml:space="preserve">Ritz, K., H.I.J. Black, C.D. Campbell, J.A. Harrisand C. Wood (2009). Selecting biological indicators for monitoring soils: A framework for balancing scientific and technical opinion to assist policy development. Ecological </w:t>
      </w:r>
      <w:proofErr w:type="gramStart"/>
      <w:r>
        <w:t>Indicators  9</w:t>
      </w:r>
      <w:proofErr w:type="gramEnd"/>
      <w:r>
        <w:t xml:space="preserve"> (6): 1212-1221. https://doi.org/10.1016/j.ecolind.2009.02.009.</w:t>
      </w:r>
    </w:p>
    <w:p w14:paraId="0EE15BCA" w14:textId="77777777" w:rsidR="004327B1" w:rsidRPr="004327B1" w:rsidRDefault="004327B1" w:rsidP="00C410A7">
      <w:pPr>
        <w:pStyle w:val="EEALiterature"/>
        <w:rPr>
          <w:lang w:val="de-DE"/>
        </w:rPr>
      </w:pPr>
      <w:r w:rsidRPr="002371E5">
        <w:t xml:space="preserve">Römbke, J., S. Jänsch, M. Roß-Nickoll, A. Toschki, H. Höfer, F. Horak, D. Russell, U. Burkhardt and H. Schmitt (2012). </w:t>
      </w:r>
      <w:r w:rsidRPr="004327B1">
        <w:rPr>
          <w:lang w:val="de-DE"/>
        </w:rPr>
        <w:t>Erfassung und Analyse des Bodenzustands im Hinblick auf die Umsetzung und Weiterentwicklung der Nationalen Biodiversitätsstrategie. UBA-Texte Nr. 34/2012. Umweltbundesamt, Dessau-Roßlau. 386 pp.</w:t>
      </w:r>
    </w:p>
    <w:p w14:paraId="768B1FC2" w14:textId="77777777" w:rsidR="004327B1" w:rsidRPr="004327B1" w:rsidRDefault="004327B1" w:rsidP="00C410A7">
      <w:pPr>
        <w:pStyle w:val="EEALiterature"/>
        <w:rPr>
          <w:lang w:val="de-DE"/>
        </w:rPr>
      </w:pPr>
      <w:r w:rsidRPr="004327B1">
        <w:rPr>
          <w:lang w:val="de-DE"/>
        </w:rPr>
        <w:t>Römbke, J., S. Jänsch, M. Roß-Nickoll, A. Toschki, H. Höfer, F. Horak, D. Russell, U. Burkhardt and H. Schmitt (2012). Erfassung und Analyse des Bodenzustands im Hinblick auf die Umsetzung und Weiterentwicklung der Nationalen Biodiversitätsstrategie. UBA-Texte Nr. 34/2012. Umweltbundesamt. Dessau-Roßlau. 386 pp.</w:t>
      </w:r>
    </w:p>
    <w:p w14:paraId="524E4B57" w14:textId="77777777" w:rsidR="004327B1" w:rsidRDefault="004327B1" w:rsidP="00C410A7">
      <w:pPr>
        <w:pStyle w:val="EEALiterature"/>
      </w:pPr>
      <w:r w:rsidRPr="004327B1">
        <w:rPr>
          <w:lang w:val="de-DE"/>
        </w:rPr>
        <w:t xml:space="preserve">Römbke, J., C. Gardi, R.E. Creamer and L. Miko (2016). </w:t>
      </w:r>
      <w:r>
        <w:t>Soil biodiversity data: actual and potential use in European and national legislation. Applied Soil Ecology 97: 125-133.</w:t>
      </w:r>
    </w:p>
    <w:p w14:paraId="20AD17CF" w14:textId="77777777" w:rsidR="004327B1" w:rsidRDefault="004327B1" w:rsidP="00C410A7">
      <w:pPr>
        <w:pStyle w:val="EEALiterature"/>
      </w:pPr>
      <w:r>
        <w:t>Römbke, J., J. Bernard and F. Martin-Laurent (2018). Standard methods for the assessment of structural and functional diversity of soil organisms: a review. Integ. Envir. Assess. Manag. (IEAM) 14: 463-479.</w:t>
      </w:r>
    </w:p>
    <w:p w14:paraId="2B771374" w14:textId="77777777" w:rsidR="004327B1" w:rsidRDefault="004327B1" w:rsidP="00C410A7">
      <w:pPr>
        <w:pStyle w:val="EEALiterature"/>
      </w:pPr>
      <w:r>
        <w:t>Romeu, F., D. Stone, R.E. Creamer, J.P. Sousa and P.V. Morais (2016). European scale analysis of phospholipid fatty acid composition of soils to establish operating ranges. Applied Soil Ecology 97: 49-60. https://doi.org/10.1016/j.apsoil.2015.09.001.</w:t>
      </w:r>
    </w:p>
    <w:p w14:paraId="123205E9" w14:textId="77777777" w:rsidR="004327B1" w:rsidRDefault="004327B1" w:rsidP="00C410A7">
      <w:pPr>
        <w:pStyle w:val="EEALiterature"/>
      </w:pPr>
      <w:r>
        <w:t>Ruiz, N., J. Mathieu, L. Célini, C. Rollard, G. Hommay, E. Iorio and P. Lavelle (2011). IBQS: A synthetic index of soil quality based on soil macro-invertebrate communities. Soil Biology and Biochemistry 43 (10): 2032-2045. https://doi.org/10.1016/j.soilbio.2011.05.019.</w:t>
      </w:r>
    </w:p>
    <w:p w14:paraId="24197B09" w14:textId="77777777" w:rsidR="004327B1" w:rsidRDefault="004327B1" w:rsidP="00C410A7">
      <w:pPr>
        <w:pStyle w:val="EEALiterature"/>
      </w:pPr>
      <w:r>
        <w:t>Rutgers, M., A.J. Schouten, J. Bloem, N. van Eekeren, R.G.M. de Goede, G.A.J.M. Akkerhuis, O. Jagers, A. van der Wal, C. Mulder, L. Brussaard and A.M. Breure (2009): Biological measurements in a nationwide soil monitoring network. European Journal of Soil Science 60 (5): 820 - 832. https://doi.org/10.1111/j.1365-2389.2009.01163.x</w:t>
      </w:r>
    </w:p>
    <w:p w14:paraId="0091D560" w14:textId="77777777" w:rsidR="004327B1" w:rsidRDefault="004327B1" w:rsidP="00C410A7">
      <w:pPr>
        <w:pStyle w:val="EEALiterature"/>
      </w:pPr>
      <w:r>
        <w:t>Rutgers, M., H. Van Wijnen, A. Schouten, C. Mulder, A. Kuiten, L. Brussaard and A.M. Breure (2012). A method to assess ecosystem services developed from soil attributes with stakeholders and data of four arable farms. Sci. Total Environ 415: 39–48.</w:t>
      </w:r>
    </w:p>
    <w:p w14:paraId="75B373D3" w14:textId="77777777" w:rsidR="004327B1" w:rsidRDefault="004327B1" w:rsidP="00C410A7">
      <w:pPr>
        <w:pStyle w:val="EEALiterature"/>
      </w:pPr>
      <w:r>
        <w:t>Rutgers, M. et al. (2016a): Mapping earthworm communities in Europe. Applied Soil Ecology 97: 98-111. https://doi.org/10.1016/j.apsoil.2015.08.015.</w:t>
      </w:r>
    </w:p>
    <w:p w14:paraId="006F6F73" w14:textId="77777777" w:rsidR="004327B1" w:rsidRDefault="004327B1" w:rsidP="00C410A7">
      <w:pPr>
        <w:pStyle w:val="EEALiterature"/>
      </w:pPr>
      <w:r>
        <w:t>Rutgers, M., M. Wouterse, S.M. Drost, A.M. Breure, C. Mulder, D. Stone, R.E. Creamer, A. Winding and J. Bloem (2016b): Monitoring soil bacteria with community-level physiological profiles using Biolog™ ECO-plates in the Netherlands and Europe. Applied Soil Ecology 97: 23-35.</w:t>
      </w:r>
    </w:p>
    <w:p w14:paraId="4E134F4A" w14:textId="77777777" w:rsidR="004327B1" w:rsidRDefault="004327B1" w:rsidP="00C410A7">
      <w:pPr>
        <w:pStyle w:val="EEALiterature"/>
      </w:pPr>
      <w:r>
        <w:lastRenderedPageBreak/>
        <w:t xml:space="preserve">Rutgers, M., I. Trinsoutrot-Gattin, J. Van Leeuwen, C. Menta, F. Gatti, G. Visioli, M. Debeljak, A. Trajanov, C.B. Henriksen and R.E. Creamer (2018). Key indicators and management strategies for soil biodiversity and habitat provisioning. LANDMARK Report 3.4. Available from www.landmark2020.eu </w:t>
      </w:r>
    </w:p>
    <w:p w14:paraId="55D5B2C8" w14:textId="77777777" w:rsidR="004327B1" w:rsidRDefault="004327B1" w:rsidP="00C410A7">
      <w:pPr>
        <w:pStyle w:val="EEALiterature"/>
      </w:pPr>
      <w:r>
        <w:t>Rutgers, M., J.P. van Leeuwen, D. Vrebos, H.J. van Wijnen, T. Schouten and R.G. de Goede (2019). Mapping soil biodiversity in Europe and the Netherlands. Soil Systems 3(2): 39.</w:t>
      </w:r>
    </w:p>
    <w:p w14:paraId="0238935A" w14:textId="77777777" w:rsidR="004327B1" w:rsidRDefault="004327B1" w:rsidP="00C410A7">
      <w:pPr>
        <w:pStyle w:val="EEALiterature"/>
      </w:pPr>
      <w:r>
        <w:t>Schneiders, A., T. Van Daele, W. Van Landuyt and W. Van Reeth (2012). Biodiversity and ecosystem services: complementary approaches for ecosystem management? Ecological Indicators 21. 123-133.</w:t>
      </w:r>
    </w:p>
    <w:p w14:paraId="4F799E5D" w14:textId="77777777" w:rsidR="004327B1" w:rsidRDefault="004327B1" w:rsidP="00C410A7">
      <w:pPr>
        <w:pStyle w:val="EEALiterature"/>
      </w:pPr>
      <w:r>
        <w:t>Setälä, H. and M.A. McLean (2004). Decomposition rates of organic substrates in relation to the species diversity of soil saprophytic fungi. Oecologia 139: 98-107.</w:t>
      </w:r>
    </w:p>
    <w:p w14:paraId="07BD383F" w14:textId="6C71AD25" w:rsidR="004327B1" w:rsidRDefault="004327B1" w:rsidP="00C410A7">
      <w:pPr>
        <w:pStyle w:val="EEALiterature"/>
      </w:pPr>
      <w:r>
        <w:t>Stone, D., K. Ritz, B.G. Griffiths, A. Orgiazzi and R.E. Creamer (2016)</w:t>
      </w:r>
      <w:r w:rsidR="00691476">
        <w:t>.</w:t>
      </w:r>
      <w:r>
        <w:t xml:space="preserve"> Selection of biological indicators appropriate for European soil monitoring. Applied Soil Ecology 97: 12-22. https://doi.org/10.1016/j.apsoil.2015.08.005.</w:t>
      </w:r>
    </w:p>
    <w:p w14:paraId="012386EE" w14:textId="77777777" w:rsidR="004327B1" w:rsidRPr="004327B1" w:rsidRDefault="004327B1" w:rsidP="00C410A7">
      <w:pPr>
        <w:pStyle w:val="EEALiterature"/>
        <w:rPr>
          <w:lang w:val="de-DE"/>
        </w:rPr>
      </w:pPr>
      <w:r w:rsidRPr="002D2E57">
        <w:rPr>
          <w:lang w:val="de-DE"/>
        </w:rPr>
        <w:t xml:space="preserve">Toschki, A., B. Burkhardt, H. Haase, H. Höfer, S. Jänsch, J. Oellers, J. Römbke, M. Roß-Nickoll, J. Salamon, R. Schmelz, B. Scholz-Starke and D. Russell (2020). </w:t>
      </w:r>
      <w:r w:rsidRPr="004327B1">
        <w:rPr>
          <w:lang w:val="de-DE"/>
        </w:rPr>
        <w:t>Die Edaphobase-Länderstudien - Synökologische Untersuchungen von Bodenorganismen in einem Biotop- und Standortgradienten in Deutschland 2014-2018. Peckiana (submitted).</w:t>
      </w:r>
    </w:p>
    <w:p w14:paraId="4AFC1B39" w14:textId="77777777" w:rsidR="004327B1" w:rsidRDefault="004327B1" w:rsidP="00C410A7">
      <w:pPr>
        <w:pStyle w:val="EEALiterature"/>
      </w:pPr>
      <w:r w:rsidRPr="004327B1">
        <w:rPr>
          <w:lang w:val="de-DE"/>
        </w:rPr>
        <w:t xml:space="preserve">Tsiafouli, M.A., E. Thébault, S.P. Sgardelis, P.C. de Ruiter, W.H. van der Putten, K. Birkhofer, L. Hemerik, F.T. de Vries, R.D. Bardgett, M.V. Brady, L. Bjornlund, H.B. Jørgensen, S. Christensen, T.D. Hertefeldt, S. Hotes, W.H. Gera Hol, J. Frouz, M. Liiri, S.R. Mortimer, H. Setälä, J. Tzanopoulos, K. Uteseny, V. Pižl, J. Stary, V. Wolters and K. Hedlund (2015). </w:t>
      </w:r>
      <w:r>
        <w:t>Intensive agriculture reduces soil biodiversity across Europe. Global Change Biology 21: 973-985.</w:t>
      </w:r>
    </w:p>
    <w:p w14:paraId="44AD2D7A" w14:textId="0A08CA9E" w:rsidR="004327B1" w:rsidRPr="004327B1" w:rsidRDefault="00711C8D" w:rsidP="00C410A7">
      <w:pPr>
        <w:pStyle w:val="EEALiterature"/>
        <w:rPr>
          <w:lang w:val="de-DE"/>
        </w:rPr>
      </w:pPr>
      <w:r>
        <w:rPr>
          <w:lang w:val="de-DE"/>
        </w:rPr>
        <w:t>V</w:t>
      </w:r>
      <w:r w:rsidR="004327B1" w:rsidRPr="004327B1">
        <w:rPr>
          <w:lang w:val="de-DE"/>
        </w:rPr>
        <w:t xml:space="preserve">an der Heijden, M.G.A., J.N. Klironomos, M. Ursic, P. Moutoglis, R. Streitwolf-Engel, T. Boller, A. Wiemken and I.R. Sanders (1998). </w:t>
      </w:r>
      <w:r w:rsidR="004327B1">
        <w:t xml:space="preserve">Mycorrhizal fungal diversity determines plant biodiversity. </w:t>
      </w:r>
      <w:proofErr w:type="gramStart"/>
      <w:r w:rsidR="004327B1">
        <w:t>ecosystem</w:t>
      </w:r>
      <w:proofErr w:type="gramEnd"/>
      <w:r w:rsidR="004327B1">
        <w:t xml:space="preserve"> variability and productivity. </w:t>
      </w:r>
      <w:r w:rsidR="004327B1" w:rsidRPr="004327B1">
        <w:rPr>
          <w:lang w:val="de-DE"/>
        </w:rPr>
        <w:t>Nature 396: 69-72.</w:t>
      </w:r>
    </w:p>
    <w:p w14:paraId="42B68979" w14:textId="310618AA" w:rsidR="004327B1" w:rsidRPr="004327B1" w:rsidRDefault="00711C8D" w:rsidP="00C410A7">
      <w:pPr>
        <w:pStyle w:val="EEALiterature"/>
        <w:rPr>
          <w:lang w:val="de-DE"/>
        </w:rPr>
      </w:pPr>
      <w:r>
        <w:rPr>
          <w:lang w:val="de-DE"/>
        </w:rPr>
        <w:t>V</w:t>
      </w:r>
      <w:r w:rsidR="004327B1" w:rsidRPr="004327B1">
        <w:rPr>
          <w:lang w:val="de-DE"/>
        </w:rPr>
        <w:t xml:space="preserve">an der Linde, S., L.M. Suz., C.D.L. Orme et al. </w:t>
      </w:r>
      <w:r w:rsidR="004327B1">
        <w:t xml:space="preserve">(2018). Environment and host as large-scale controls of ectomycorrhizal fungi. </w:t>
      </w:r>
      <w:r w:rsidR="004327B1" w:rsidRPr="004327B1">
        <w:rPr>
          <w:lang w:val="de-DE"/>
        </w:rPr>
        <w:t xml:space="preserve">Nature 558: 243–248. </w:t>
      </w:r>
      <w:hyperlink r:id="rId80" w:history="1">
        <w:r w:rsidRPr="00277778">
          <w:rPr>
            <w:rStyle w:val="Hyperlink"/>
            <w:lang w:val="de-DE"/>
          </w:rPr>
          <w:t>https://doi.org/10.1038/s41586-018-0189-9</w:t>
        </w:r>
      </w:hyperlink>
      <w:r>
        <w:rPr>
          <w:lang w:val="de-DE"/>
        </w:rPr>
        <w:t xml:space="preserve">. </w:t>
      </w:r>
    </w:p>
    <w:p w14:paraId="6FC4ACDD" w14:textId="738776B6" w:rsidR="004327B1" w:rsidRPr="002D2E57" w:rsidRDefault="00711C8D" w:rsidP="00C410A7">
      <w:pPr>
        <w:pStyle w:val="EEALiterature"/>
      </w:pPr>
      <w:r>
        <w:rPr>
          <w:lang w:val="de-DE"/>
        </w:rPr>
        <w:t>V</w:t>
      </w:r>
      <w:r w:rsidR="004327B1" w:rsidRPr="004327B1">
        <w:rPr>
          <w:lang w:val="de-DE"/>
        </w:rPr>
        <w:t xml:space="preserve">an den Hoogen, J., S. Geisen, D.H. Wall et al. </w:t>
      </w:r>
      <w:r w:rsidR="004327B1">
        <w:t xml:space="preserve">(2020) A global database of soil nematode abundance and functional group composition. </w:t>
      </w:r>
      <w:r w:rsidR="004327B1" w:rsidRPr="002D2E57">
        <w:t xml:space="preserve">Sci Data 7: 103. </w:t>
      </w:r>
      <w:hyperlink r:id="rId81" w:history="1">
        <w:r w:rsidRPr="002D2E57">
          <w:rPr>
            <w:rStyle w:val="Hyperlink"/>
          </w:rPr>
          <w:t>https://doi.org/10.1038/s41597-020-0437-3</w:t>
        </w:r>
      </w:hyperlink>
      <w:r w:rsidRPr="002D2E57">
        <w:t xml:space="preserve">. </w:t>
      </w:r>
    </w:p>
    <w:p w14:paraId="206C0970" w14:textId="0A171A9E" w:rsidR="003A0D6B" w:rsidRDefault="004327B1" w:rsidP="00C410A7">
      <w:pPr>
        <w:pStyle w:val="EEALiterature"/>
      </w:pPr>
      <w:r w:rsidRPr="002D2E57">
        <w:t xml:space="preserve">Van Leeuwen, J. P., N. Saby, A. Jones, G. Louwagie, E. Micheli, M. Rutgers et al. </w:t>
      </w:r>
      <w:r>
        <w:t xml:space="preserve">(2017). Gap assessment in current soil monitoring networks across Europe for measuring soil functions. Environ. Res. Lett. 12: 124007. </w:t>
      </w:r>
      <w:proofErr w:type="gramStart"/>
      <w:r>
        <w:t>doi</w:t>
      </w:r>
      <w:proofErr w:type="gramEnd"/>
      <w:r>
        <w:t>: 10.1088/1748-9326/aa9c5c</w:t>
      </w:r>
      <w:r w:rsidR="00711C8D">
        <w:t xml:space="preserve">. </w:t>
      </w:r>
    </w:p>
    <w:p w14:paraId="467D09A6" w14:textId="77777777" w:rsidR="004327B1" w:rsidRDefault="004327B1" w:rsidP="00C410A7">
      <w:pPr>
        <w:pStyle w:val="EEALiterature"/>
      </w:pPr>
    </w:p>
    <w:p w14:paraId="12A235AE" w14:textId="70D94EF0" w:rsidR="008F64E4" w:rsidRDefault="008F64E4" w:rsidP="008F64E4">
      <w:pPr>
        <w:pStyle w:val="berschrift2"/>
      </w:pPr>
      <w:bookmarkStart w:id="455" w:name="_Toc83997422"/>
      <w:r w:rsidRPr="008F64E4">
        <w:t xml:space="preserve">Soil </w:t>
      </w:r>
      <w:r>
        <w:t>erosion</w:t>
      </w:r>
      <w:bookmarkEnd w:id="455"/>
    </w:p>
    <w:p w14:paraId="27A5E35D" w14:textId="77777777" w:rsidR="009B7AF6" w:rsidRDefault="009B7AF6" w:rsidP="00C410A7">
      <w:pPr>
        <w:pStyle w:val="EEALiterature"/>
      </w:pPr>
    </w:p>
    <w:p w14:paraId="10EB4F61" w14:textId="77777777" w:rsidR="00F01DB9" w:rsidRDefault="00F01DB9" w:rsidP="00C410A7">
      <w:pPr>
        <w:pStyle w:val="EEALiterature"/>
      </w:pPr>
      <w:r w:rsidRPr="00CD55D6">
        <w:rPr>
          <w:lang w:val="de-AT"/>
        </w:rPr>
        <w:t xml:space="preserve">Auerswald, K., F.K. Fischer, T. Winterrath and R. Brandhuber (2019). </w:t>
      </w:r>
      <w:r>
        <w:t>Rain erosivity map for Germany derived from contiguous radar rain data. Hydrol. Earth Syst. Sci. 23: 1819–1832.</w:t>
      </w:r>
    </w:p>
    <w:p w14:paraId="2E50F87B" w14:textId="5295A856" w:rsidR="00F01DB9" w:rsidRDefault="00742092" w:rsidP="00C410A7">
      <w:pPr>
        <w:pStyle w:val="EEALiterature"/>
      </w:pPr>
      <w:hyperlink r:id="rId82" w:history="1">
        <w:r w:rsidR="00711C8D" w:rsidRPr="00277778">
          <w:rPr>
            <w:rStyle w:val="Hyperlink"/>
          </w:rPr>
          <w:t>https://doi.org/10.5194/hess-23-1819-2019</w:t>
        </w:r>
      </w:hyperlink>
      <w:r w:rsidR="007D1F2F">
        <w:t>.</w:t>
      </w:r>
    </w:p>
    <w:p w14:paraId="471243C4" w14:textId="1D0205F7" w:rsidR="00F01DB9" w:rsidRDefault="00F01DB9" w:rsidP="00C410A7">
      <w:pPr>
        <w:pStyle w:val="EEALiterature"/>
      </w:pPr>
      <w:proofErr w:type="gramStart"/>
      <w:r>
        <w:t>Avwunudiogba.,</w:t>
      </w:r>
      <w:proofErr w:type="gramEnd"/>
      <w:r>
        <w:t xml:space="preserve"> A. and P.F. Hudson (2014). A Review of Soil Erosion Models with Special Reference to the needs of Humid Tropical Mountainous Environments</w:t>
      </w:r>
      <w:r w:rsidR="008F7610">
        <w:t>.</w:t>
      </w:r>
      <w:r>
        <w:t xml:space="preserve"> European Journal of Sustainable Development 3, 4: 299-310</w:t>
      </w:r>
      <w:r w:rsidR="007D1F2F">
        <w:t>.</w:t>
      </w:r>
    </w:p>
    <w:p w14:paraId="7BD037E1" w14:textId="77777777" w:rsidR="000328FE" w:rsidRDefault="000328FE" w:rsidP="00C410A7">
      <w:pPr>
        <w:pStyle w:val="EEALiterature"/>
      </w:pPr>
      <w:r w:rsidRPr="000328FE">
        <w:t xml:space="preserve">BAFU (ed.) (2017) Boden in der Schweiz. </w:t>
      </w:r>
      <w:r w:rsidRPr="000328FE">
        <w:rPr>
          <w:lang w:val="de-DE"/>
        </w:rPr>
        <w:t xml:space="preserve">Zustand und Entwicklung. Stand 2017. Bundesamt für Umwelt, Bern. </w:t>
      </w:r>
      <w:r w:rsidRPr="000328FE">
        <w:t>Umwelt-Zustand Nr. 1721: 86 S.</w:t>
      </w:r>
    </w:p>
    <w:p w14:paraId="0441D717" w14:textId="77777777" w:rsidR="00431311" w:rsidRDefault="00431311" w:rsidP="00C410A7">
      <w:pPr>
        <w:pStyle w:val="EEALiterature"/>
      </w:pPr>
      <w:r w:rsidRPr="00431311">
        <w:t>Bakker, M.M., G. Govers and M.D.A. Rounsevell (2004). The crop-productivity-erosion relationship: an analysis based on experimental works. Catena 57: 55-76.</w:t>
      </w:r>
    </w:p>
    <w:p w14:paraId="06FFAD43" w14:textId="187965C4" w:rsidR="00F01DB9" w:rsidRDefault="00F01DB9" w:rsidP="00C410A7">
      <w:pPr>
        <w:pStyle w:val="EEALiterature"/>
      </w:pPr>
      <w:r>
        <w:t>Benet, A.S. (2006). Spain. In: Boardman and Poesen (</w:t>
      </w:r>
      <w:proofErr w:type="gramStart"/>
      <w:r>
        <w:t>eds</w:t>
      </w:r>
      <w:proofErr w:type="gramEnd"/>
      <w:r>
        <w:t>). Soil Erosion in Europe. John Wiley &amp; Sons, Ltd Soil Erosion in Europe. Chapter 1.26.</w:t>
      </w:r>
    </w:p>
    <w:p w14:paraId="1C3189F3" w14:textId="77777777" w:rsidR="00DF2C38" w:rsidRDefault="00DF2C38" w:rsidP="00C410A7">
      <w:pPr>
        <w:pStyle w:val="EEALiterature"/>
      </w:pPr>
      <w:r>
        <w:t>Boardman, J. (1998). An average soil erosion rate for Europe: Myth or reality? Journal of Soil and Water Conservation January 53 (1): 46-50.</w:t>
      </w:r>
    </w:p>
    <w:p w14:paraId="3385EED1" w14:textId="77777777" w:rsidR="00DF2C38" w:rsidRDefault="00DF2C38" w:rsidP="00C410A7">
      <w:pPr>
        <w:pStyle w:val="EEALiterature"/>
      </w:pPr>
      <w:r>
        <w:t>Boardman, J. (2006). Soil erosion science: Reflections on the limitations of current approaches. Catena 68: 73-86.</w:t>
      </w:r>
    </w:p>
    <w:p w14:paraId="3427A2F7" w14:textId="77777777" w:rsidR="00DF2C38" w:rsidRDefault="00DF2C38" w:rsidP="00C410A7">
      <w:pPr>
        <w:pStyle w:val="EEALiterature"/>
      </w:pPr>
      <w:r>
        <w:lastRenderedPageBreak/>
        <w:t>Boardman, J., and J. Poesen (2006). Soil Erosion in Europe: Major Processes, Causes and Consequences. In: Boardman, J., and J. Poesen (</w:t>
      </w:r>
      <w:proofErr w:type="gramStart"/>
      <w:r>
        <w:t>eds</w:t>
      </w:r>
      <w:proofErr w:type="gramEnd"/>
      <w:r>
        <w:t>). Soil Erosion in Europe. Chapter 36. John Wiley &amp; Sons, Ltd. doi.org/10.1002/0470859202.ch36.</w:t>
      </w:r>
    </w:p>
    <w:p w14:paraId="76FC60EA" w14:textId="6FA3ABCE" w:rsidR="008F64E4" w:rsidRPr="00C51D7E" w:rsidRDefault="00DF2C38" w:rsidP="00C410A7">
      <w:pPr>
        <w:pStyle w:val="EEALiterature"/>
      </w:pPr>
      <w:r>
        <w:t>Boardman, J. and R. Evans (2009). The measurement, estimation and monitoring of soil erosion by runoff at the field scale: Challenges and possibilities with particular reference to Britain. Progress in Physical Geography 1-19. DOI: 10.1177/0309133319861833.</w:t>
      </w:r>
      <w:r w:rsidR="008F64E4" w:rsidRPr="00C51D7E">
        <w:t>Cerdan</w:t>
      </w:r>
      <w:r w:rsidR="005E5F01">
        <w:t>,</w:t>
      </w:r>
      <w:r w:rsidR="008F64E4" w:rsidRPr="00C51D7E">
        <w:t xml:space="preserve"> O</w:t>
      </w:r>
      <w:r w:rsidR="00A12711">
        <w:t>.</w:t>
      </w:r>
      <w:r w:rsidR="005E5F01">
        <w:t>, G.</w:t>
      </w:r>
      <w:r w:rsidR="008F64E4" w:rsidRPr="00C51D7E">
        <w:t xml:space="preserve"> Govers</w:t>
      </w:r>
      <w:r w:rsidR="005E5F01">
        <w:t>,</w:t>
      </w:r>
      <w:r w:rsidR="008F64E4" w:rsidRPr="00C51D7E">
        <w:t xml:space="preserve"> </w:t>
      </w:r>
      <w:r w:rsidR="00377793">
        <w:t xml:space="preserve">Y. </w:t>
      </w:r>
      <w:r w:rsidR="008F64E4" w:rsidRPr="00C51D7E">
        <w:t xml:space="preserve">Le Bissonnais et </w:t>
      </w:r>
      <w:r w:rsidR="00EE6B3D">
        <w:t>al.</w:t>
      </w:r>
      <w:r w:rsidR="00377793">
        <w:t xml:space="preserve"> (</w:t>
      </w:r>
      <w:r w:rsidR="008F64E4" w:rsidRPr="00C51D7E">
        <w:t>2010</w:t>
      </w:r>
      <w:r w:rsidR="00377793">
        <w:t>)</w:t>
      </w:r>
      <w:r w:rsidR="00A12711">
        <w:t>.</w:t>
      </w:r>
      <w:r w:rsidR="008F64E4" w:rsidRPr="00C51D7E">
        <w:t xml:space="preserve"> Rates and spatial variations of soil erosion in Europe: A study based on erosion plot data</w:t>
      </w:r>
      <w:r w:rsidR="00A12711">
        <w:t>.</w:t>
      </w:r>
      <w:r w:rsidR="008F64E4" w:rsidRPr="00C51D7E">
        <w:t xml:space="preserve"> Geomorphology 122</w:t>
      </w:r>
      <w:r w:rsidR="00377793">
        <w:t>:</w:t>
      </w:r>
      <w:r w:rsidR="008F64E4" w:rsidRPr="00C51D7E">
        <w:t xml:space="preserve"> 167-177</w:t>
      </w:r>
      <w:r w:rsidR="00A12711">
        <w:t>.</w:t>
      </w:r>
    </w:p>
    <w:p w14:paraId="191F8929" w14:textId="77777777" w:rsidR="0082647E" w:rsidRDefault="0082647E" w:rsidP="00C410A7">
      <w:pPr>
        <w:pStyle w:val="EEALiterature"/>
      </w:pPr>
      <w:r w:rsidRPr="0082647E">
        <w:t>Burt, T., J. Boardman, I. Foster and N. Howden (2015). More rain, less soil: Long-term changes in rainfall intensity with climate change. Earth Surface Processes and Landforms 41(4): 563-566. doi.org/10.1002/esp.3868.</w:t>
      </w:r>
    </w:p>
    <w:p w14:paraId="4B1EE5D2" w14:textId="16F03B4C" w:rsidR="008F64E4" w:rsidRPr="00C51D7E" w:rsidRDefault="008F64E4" w:rsidP="00C410A7">
      <w:pPr>
        <w:pStyle w:val="EEALiterature"/>
      </w:pPr>
      <w:r w:rsidRPr="00C51D7E">
        <w:t>Chappell</w:t>
      </w:r>
      <w:r w:rsidR="00377793">
        <w:t>,</w:t>
      </w:r>
      <w:r w:rsidRPr="00C51D7E">
        <w:t xml:space="preserve"> A</w:t>
      </w:r>
      <w:r w:rsidR="00A12711">
        <w:t>.</w:t>
      </w:r>
      <w:r w:rsidR="00377793">
        <w:t>,</w:t>
      </w:r>
      <w:r w:rsidRPr="00C51D7E">
        <w:t xml:space="preserve"> </w:t>
      </w:r>
      <w:r w:rsidR="00377793">
        <w:t xml:space="preserve">J. </w:t>
      </w:r>
      <w:r w:rsidRPr="00C51D7E">
        <w:t xml:space="preserve">Baldock and </w:t>
      </w:r>
      <w:r w:rsidR="00377793">
        <w:t xml:space="preserve">J. </w:t>
      </w:r>
      <w:r w:rsidRPr="00C51D7E">
        <w:t>Sanderman</w:t>
      </w:r>
      <w:r w:rsidR="00377793">
        <w:t xml:space="preserve"> (</w:t>
      </w:r>
      <w:r w:rsidRPr="00C51D7E">
        <w:t>2016</w:t>
      </w:r>
      <w:r w:rsidR="00377793">
        <w:t>)</w:t>
      </w:r>
      <w:r w:rsidR="00A12711">
        <w:t>.</w:t>
      </w:r>
      <w:r w:rsidRPr="00C51D7E">
        <w:t xml:space="preserve"> The global significance of omitting soil erosion from soil organic carbon cycling schemes</w:t>
      </w:r>
      <w:r w:rsidR="00A12711">
        <w:t>.</w:t>
      </w:r>
      <w:r w:rsidRPr="00C51D7E">
        <w:t xml:space="preserve"> Nature Climate Change 6(2)</w:t>
      </w:r>
      <w:r w:rsidR="00377793">
        <w:t xml:space="preserve">: </w:t>
      </w:r>
      <w:r w:rsidRPr="00C51D7E">
        <w:t>187-191</w:t>
      </w:r>
      <w:r w:rsidR="00A12711">
        <w:t>.</w:t>
      </w:r>
    </w:p>
    <w:p w14:paraId="66D67542" w14:textId="77777777" w:rsidR="00960E75" w:rsidRDefault="00960E75" w:rsidP="00C410A7">
      <w:pPr>
        <w:pStyle w:val="EEALiterature"/>
      </w:pPr>
      <w:r w:rsidRPr="002D2E57">
        <w:rPr>
          <w:lang w:val="en-US"/>
        </w:rPr>
        <w:t xml:space="preserve">Darmendrail, D., O. Cerdan, A. Gobin, M. Bouzit, F. Blanchard, B. Siegele (2004). </w:t>
      </w:r>
      <w:r w:rsidRPr="00960E75">
        <w:t>Assessing the economic impact of soil deterioration: Case Studies and Database Research. Study Contract ENV.B.1/ETU/2003/0024. BRGM, 2004.</w:t>
      </w:r>
    </w:p>
    <w:p w14:paraId="7B638A05" w14:textId="2194DC5C" w:rsidR="008F64E4" w:rsidRPr="00C51D7E" w:rsidRDefault="008F64E4" w:rsidP="00C410A7">
      <w:pPr>
        <w:pStyle w:val="EEALiterature"/>
      </w:pPr>
      <w:r w:rsidRPr="00C51D7E">
        <w:t>EC</w:t>
      </w:r>
      <w:r w:rsidR="00377793">
        <w:t xml:space="preserve"> (2</w:t>
      </w:r>
      <w:r w:rsidRPr="00C51D7E">
        <w:t>006</w:t>
      </w:r>
      <w:r w:rsidR="00377793">
        <w:t>).</w:t>
      </w:r>
      <w:r w:rsidRPr="00C51D7E">
        <w:t xml:space="preserve"> Communication from the Commission to the Council</w:t>
      </w:r>
      <w:r w:rsidR="0057415D">
        <w:t>,</w:t>
      </w:r>
      <w:r w:rsidRPr="00C51D7E">
        <w:t xml:space="preserve"> the European Parliament</w:t>
      </w:r>
      <w:r w:rsidR="00A12711">
        <w:t>.</w:t>
      </w:r>
      <w:r w:rsidRPr="00C51D7E">
        <w:t xml:space="preserve"> </w:t>
      </w:r>
      <w:proofErr w:type="gramStart"/>
      <w:r w:rsidRPr="00C51D7E">
        <w:t>the</w:t>
      </w:r>
      <w:proofErr w:type="gramEnd"/>
      <w:r w:rsidRPr="00C51D7E">
        <w:t xml:space="preserve"> European Economic and Social Committee and the Committee of the Regions - Thematic Strategy for Soil Protection</w:t>
      </w:r>
      <w:r w:rsidR="00A12711">
        <w:t>.</w:t>
      </w:r>
      <w:r w:rsidRPr="00C51D7E">
        <w:t xml:space="preserve"> </w:t>
      </w:r>
      <w:proofErr w:type="gramStart"/>
      <w:r w:rsidRPr="00C51D7E">
        <w:t>COM(</w:t>
      </w:r>
      <w:proofErr w:type="gramEnd"/>
      <w:r w:rsidRPr="00C51D7E">
        <w:t>2006) 231</w:t>
      </w:r>
      <w:r w:rsidR="007D1F2F">
        <w:t>.</w:t>
      </w:r>
    </w:p>
    <w:p w14:paraId="383670C9" w14:textId="1752A76E" w:rsidR="00292A6C" w:rsidRPr="003A0D6B" w:rsidRDefault="00292A6C" w:rsidP="00C410A7">
      <w:pPr>
        <w:pStyle w:val="EEALiterature"/>
      </w:pPr>
      <w:r w:rsidRPr="003A0D6B">
        <w:t>EC</w:t>
      </w:r>
      <w:r w:rsidR="0057415D">
        <w:t xml:space="preserve"> (</w:t>
      </w:r>
      <w:r w:rsidRPr="003A0D6B">
        <w:t>2011</w:t>
      </w:r>
      <w:r w:rsidR="0057415D">
        <w:t>).</w:t>
      </w:r>
      <w:r w:rsidRPr="003A0D6B">
        <w:t xml:space="preserve"> Communication from the Commission to the Council</w:t>
      </w:r>
      <w:r w:rsidR="00A12711" w:rsidRPr="003A0D6B">
        <w:t>.</w:t>
      </w:r>
      <w:r w:rsidRPr="003A0D6B">
        <w:t xml:space="preserve"> </w:t>
      </w:r>
      <w:proofErr w:type="gramStart"/>
      <w:r w:rsidRPr="003A0D6B">
        <w:t>the</w:t>
      </w:r>
      <w:proofErr w:type="gramEnd"/>
      <w:r w:rsidRPr="003A0D6B">
        <w:t xml:space="preserve"> European Parliament</w:t>
      </w:r>
      <w:r w:rsidR="0057415D">
        <w:t>,</w:t>
      </w:r>
      <w:r w:rsidRPr="003A0D6B">
        <w:t xml:space="preserve"> the European Economic and Social Committee and the Committee of the Regions</w:t>
      </w:r>
      <w:r w:rsidR="00A12711" w:rsidRPr="003A0D6B">
        <w:t>.</w:t>
      </w:r>
      <w:r w:rsidRPr="003A0D6B">
        <w:t xml:space="preserve"> Roadmap to a Resource Efficient Europe</w:t>
      </w:r>
      <w:r w:rsidR="00A12711" w:rsidRPr="003A0D6B">
        <w:t>.</w:t>
      </w:r>
      <w:r w:rsidRPr="003A0D6B">
        <w:t xml:space="preserve"> </w:t>
      </w:r>
      <w:proofErr w:type="gramStart"/>
      <w:r w:rsidRPr="003A0D6B">
        <w:t>COM(</w:t>
      </w:r>
      <w:proofErr w:type="gramEnd"/>
      <w:r w:rsidRPr="003A0D6B">
        <w:t>2011) 571</w:t>
      </w:r>
      <w:r w:rsidR="0057415D">
        <w:t>.</w:t>
      </w:r>
    </w:p>
    <w:p w14:paraId="62F8E0E4" w14:textId="38F6103F" w:rsidR="009B7AF6" w:rsidRDefault="009B7AF6" w:rsidP="00C410A7">
      <w:pPr>
        <w:pStyle w:val="EEALiterature"/>
      </w:pPr>
      <w:r>
        <w:t xml:space="preserve">EC - </w:t>
      </w:r>
      <w:r w:rsidRPr="00034770">
        <w:t>European Commission Directorate</w:t>
      </w:r>
      <w:r>
        <w:t>s</w:t>
      </w:r>
      <w:r w:rsidRPr="00034770">
        <w:t xml:space="preserve"> General for </w:t>
      </w:r>
      <w:r>
        <w:t xml:space="preserve">Agriculture and Rural Development and Quality, </w:t>
      </w:r>
      <w:r w:rsidRPr="00034770">
        <w:t>Research</w:t>
      </w:r>
      <w:r>
        <w:t xml:space="preserve">, </w:t>
      </w:r>
      <w:r w:rsidRPr="00034770">
        <w:t xml:space="preserve">Innovation </w:t>
      </w:r>
      <w:r>
        <w:t xml:space="preserve">and Outreach </w:t>
      </w:r>
      <w:r w:rsidRPr="00034770">
        <w:t>(2020) Caring for soil is caring for life [accessed Nov 26 2020]:</w:t>
      </w:r>
      <w:r>
        <w:t xml:space="preserve"> </w:t>
      </w:r>
      <w:hyperlink r:id="rId83" w:history="1">
        <w:r w:rsidRPr="00034770">
          <w:rPr>
            <w:rStyle w:val="Hyperlink"/>
            <w:color w:val="auto"/>
            <w:u w:val="none"/>
          </w:rPr>
          <w:t>https://op.europa.eu/en/web/eu-law-and-publications/publication-detail/-/publication/32d5d312-b689-11ea-bb7a-01aa75ed71a1</w:t>
        </w:r>
      </w:hyperlink>
      <w:r w:rsidR="007D1F2F">
        <w:rPr>
          <w:rStyle w:val="Hyperlink"/>
          <w:color w:val="auto"/>
          <w:u w:val="none"/>
        </w:rPr>
        <w:t>.</w:t>
      </w:r>
    </w:p>
    <w:p w14:paraId="34B2CEC3" w14:textId="7E7ED686" w:rsidR="008F64E4" w:rsidRPr="00C51D7E" w:rsidRDefault="008F64E4" w:rsidP="00C410A7">
      <w:pPr>
        <w:pStyle w:val="EEALiterature"/>
      </w:pPr>
      <w:r w:rsidRPr="00C51D7E">
        <w:t>EEA</w:t>
      </w:r>
      <w:r w:rsidR="0057415D">
        <w:t xml:space="preserve"> (</w:t>
      </w:r>
      <w:r w:rsidRPr="00C51D7E">
        <w:t>2000</w:t>
      </w:r>
      <w:r w:rsidR="0057415D">
        <w:t>)</w:t>
      </w:r>
      <w:r w:rsidR="00A12711">
        <w:t>.</w:t>
      </w:r>
      <w:r w:rsidRPr="00C51D7E">
        <w:t xml:space="preserve"> Down to earth: soil degradation and sustainable development in Europe</w:t>
      </w:r>
      <w:r w:rsidR="00A12711">
        <w:t>.</w:t>
      </w:r>
      <w:r w:rsidRPr="00C51D7E">
        <w:t xml:space="preserve"> Environmental Issues Series No</w:t>
      </w:r>
      <w:r w:rsidR="00A12711">
        <w:t>.</w:t>
      </w:r>
      <w:r w:rsidRPr="00C51D7E">
        <w:t xml:space="preserve"> 16</w:t>
      </w:r>
      <w:r w:rsidR="00A12711">
        <w:t>.</w:t>
      </w:r>
      <w:r w:rsidRPr="00C51D7E">
        <w:t xml:space="preserve"> European Environment Agency</w:t>
      </w:r>
      <w:r w:rsidR="0057415D">
        <w:t>,</w:t>
      </w:r>
      <w:r w:rsidRPr="00C51D7E">
        <w:t xml:space="preserve"> Copenhagen</w:t>
      </w:r>
      <w:r w:rsidR="00A12711">
        <w:t>.</w:t>
      </w:r>
      <w:r w:rsidRPr="00C51D7E">
        <w:t xml:space="preserve"> 32 pp</w:t>
      </w:r>
      <w:r w:rsidR="00A12711">
        <w:t>.</w:t>
      </w:r>
    </w:p>
    <w:p w14:paraId="6A53555E" w14:textId="002F3334" w:rsidR="000029D6" w:rsidRDefault="000029D6" w:rsidP="00C410A7">
      <w:pPr>
        <w:pStyle w:val="EEALiterature"/>
      </w:pPr>
      <w:r w:rsidRPr="000029D6">
        <w:t xml:space="preserve">EEA (European Environment Agency) (2019). The European environment — state and outlook 2020. Knowledge for transition to a sustainable Europe. Luxembourg: Publications Office of the European Union, 2019. </w:t>
      </w:r>
      <w:proofErr w:type="gramStart"/>
      <w:r w:rsidRPr="000029D6">
        <w:t>doi:</w:t>
      </w:r>
      <w:proofErr w:type="gramEnd"/>
      <w:r w:rsidRPr="000029D6">
        <w:t>10.2800/96749.</w:t>
      </w:r>
    </w:p>
    <w:p w14:paraId="0330310E" w14:textId="233EF011" w:rsidR="00814E91" w:rsidRDefault="00814E91" w:rsidP="00C410A7">
      <w:pPr>
        <w:pStyle w:val="EEALiterature"/>
      </w:pPr>
      <w:r>
        <w:t xml:space="preserve">Evans, R. (1995). </w:t>
      </w:r>
      <w:r w:rsidR="00A504AB">
        <w:t xml:space="preserve">Some methods </w:t>
      </w:r>
      <w:r w:rsidR="008F51B3">
        <w:t xml:space="preserve">of </w:t>
      </w:r>
      <w:r w:rsidR="00A504AB">
        <w:t>directly addressing water erosion of cultivated land</w:t>
      </w:r>
      <w:r w:rsidR="008F51B3">
        <w:t xml:space="preserve"> – a comparison of measurements made on plats and in fields. Progress in Physical Geography 19(1): 115-129.</w:t>
      </w:r>
    </w:p>
    <w:p w14:paraId="36A9FD41" w14:textId="77777777" w:rsidR="00CC071C" w:rsidRDefault="00CC071C" w:rsidP="00C410A7">
      <w:pPr>
        <w:pStyle w:val="EEALiterature"/>
      </w:pPr>
      <w:r>
        <w:t>Evans, R., A. Collins, I.D.L. Foster, R. Rickson, S.G. Anthony, T. Brewer, L. Deeks, J.P. Newell‐Price, I.G. Truckell and Y. Zhang (2016). Extent, frequency and rate of water erosion of arable land in Britain – benefits and challenges for modelling. Soil Use and Management 32(Supplement 1): 149–161.</w:t>
      </w:r>
    </w:p>
    <w:p w14:paraId="15D5DE40" w14:textId="0E3E32D1" w:rsidR="0055335A" w:rsidRDefault="0055335A" w:rsidP="00C410A7">
      <w:pPr>
        <w:pStyle w:val="EEALiterature"/>
      </w:pPr>
      <w:r w:rsidRPr="0055335A">
        <w:t>Evans, R. and J. Boardman (2016). The new assessment of soil loss by water erosion in Europe. Panagos P. et al., 2015 Environmental Science &amp; Policy 54, 438–447—A response. Environmental Science &amp; Policy 58: 11-15.</w:t>
      </w:r>
    </w:p>
    <w:p w14:paraId="1539DD7C" w14:textId="6FC93A7E" w:rsidR="00AB0592" w:rsidRPr="002D2E57" w:rsidRDefault="00AB0592" w:rsidP="00C410A7">
      <w:pPr>
        <w:pStyle w:val="EEALiterature"/>
        <w:rPr>
          <w:lang w:val="en-US"/>
        </w:rPr>
      </w:pPr>
      <w:r>
        <w:t xml:space="preserve">Eurostat (2020). Sustainable development in the European Union — Monitoring report on progress towards the SDGs in an EU context — 2020 edition. </w:t>
      </w:r>
      <w:r w:rsidRPr="002D2E57">
        <w:rPr>
          <w:lang w:val="en-US"/>
        </w:rPr>
        <w:t>ISBN: 978-92-76-17443-1.</w:t>
      </w:r>
    </w:p>
    <w:p w14:paraId="1C06BB44" w14:textId="3849A327" w:rsidR="008538E1" w:rsidRPr="002D2E57" w:rsidRDefault="008538E1" w:rsidP="00C410A7">
      <w:pPr>
        <w:pStyle w:val="EEALiterature"/>
        <w:rPr>
          <w:lang w:val="en-US"/>
        </w:rPr>
      </w:pPr>
      <w:r w:rsidRPr="002D2E57">
        <w:rPr>
          <w:lang w:val="en-US"/>
        </w:rPr>
        <w:t xml:space="preserve">Fiener, P. and K. Auerswald (2016). </w:t>
      </w:r>
      <w:r w:rsidRPr="008538E1">
        <w:rPr>
          <w:lang w:val="en-US"/>
        </w:rPr>
        <w:t xml:space="preserve">Comment on “The new assessment of soil loss by water erosion in Europe” by Panagos et al. </w:t>
      </w:r>
      <w:r w:rsidRPr="002D2E57">
        <w:rPr>
          <w:lang w:val="en-US"/>
        </w:rPr>
        <w:t>(Environmental Science &amp; Policy 54 (2015) 438–447). Environmental Science &amp; Policy 57: 140-142.</w:t>
      </w:r>
    </w:p>
    <w:p w14:paraId="11A89014" w14:textId="6DBD8E3D" w:rsidR="00AB0592" w:rsidRDefault="00AB0592" w:rsidP="00C410A7">
      <w:pPr>
        <w:pStyle w:val="EEALiterature"/>
      </w:pPr>
      <w:r w:rsidRPr="002D2E57">
        <w:rPr>
          <w:lang w:val="en-US"/>
        </w:rPr>
        <w:t xml:space="preserve">Fischer, F.K., M. Kistler, R. Brandhuber et al. </w:t>
      </w:r>
      <w:r>
        <w:t>(2017). Validation of official erosion modelling based on high resolution rain data by aerial photo erosion classification. Earth Surface Processes and Landforms. DOI: 10.1002/esp.4216.</w:t>
      </w:r>
    </w:p>
    <w:p w14:paraId="57F8FBA9" w14:textId="2BD8D87D" w:rsidR="00B542B4" w:rsidRDefault="00B542B4" w:rsidP="00C410A7">
      <w:pPr>
        <w:pStyle w:val="EEALiterature"/>
      </w:pPr>
      <w:r>
        <w:t>Gibbs, H.J. (1962)</w:t>
      </w:r>
      <w:r w:rsidR="00F217CF">
        <w:t xml:space="preserve">. </w:t>
      </w:r>
      <w:r>
        <w:t>A study of erosion and tractive force characteristics in relation to soil mechanics properties: Earth Research Program</w:t>
      </w:r>
      <w:r w:rsidR="00F217CF">
        <w:t xml:space="preserve">. </w:t>
      </w:r>
      <w:r w:rsidR="00F217CF" w:rsidRPr="00F217CF">
        <w:t>Denver, Colo.: Office of Assistant Commissioner and Chief Engineer, Division of Engineering Laboratories, 1962</w:t>
      </w:r>
      <w:r w:rsidR="007D1F2F">
        <w:t>.</w:t>
      </w:r>
    </w:p>
    <w:p w14:paraId="698CB4F8" w14:textId="3FDDB2B7" w:rsidR="00AB0592" w:rsidRPr="00CD55D6" w:rsidRDefault="00AB0592" w:rsidP="00C410A7">
      <w:pPr>
        <w:pStyle w:val="EEALiterature"/>
        <w:rPr>
          <w:lang w:val="es-ES"/>
        </w:rPr>
      </w:pPr>
      <w:r w:rsidRPr="00C51D7E">
        <w:t>Grimm</w:t>
      </w:r>
      <w:r>
        <w:t>.</w:t>
      </w:r>
      <w:r w:rsidRPr="00C51D7E">
        <w:t xml:space="preserve"> M</w:t>
      </w:r>
      <w:r>
        <w:t>.,</w:t>
      </w:r>
      <w:r w:rsidRPr="00C51D7E">
        <w:t xml:space="preserve"> </w:t>
      </w:r>
      <w:r>
        <w:t xml:space="preserve">R.J.A. </w:t>
      </w:r>
      <w:r w:rsidRPr="00C51D7E">
        <w:t>Jones</w:t>
      </w:r>
      <w:r>
        <w:t xml:space="preserve"> and L. </w:t>
      </w:r>
      <w:r w:rsidRPr="00C51D7E">
        <w:t>Montanarella</w:t>
      </w:r>
      <w:r>
        <w:t xml:space="preserve"> (</w:t>
      </w:r>
      <w:r w:rsidRPr="00C51D7E">
        <w:t>2002</w:t>
      </w:r>
      <w:r>
        <w:t>).</w:t>
      </w:r>
      <w:r w:rsidRPr="00C51D7E">
        <w:t xml:space="preserve"> Soil Erosion Risk in Europe</w:t>
      </w:r>
      <w:r>
        <w:t>.</w:t>
      </w:r>
      <w:r w:rsidRPr="00C51D7E">
        <w:t xml:space="preserve"> Revised version</w:t>
      </w:r>
      <w:r>
        <w:t>.</w:t>
      </w:r>
      <w:r w:rsidRPr="00C51D7E">
        <w:t xml:space="preserve"> EUR 19939 EN</w:t>
      </w:r>
      <w:r>
        <w:t>.</w:t>
      </w:r>
      <w:r w:rsidRPr="00C51D7E">
        <w:t xml:space="preserve"> 40 pp</w:t>
      </w:r>
      <w:r>
        <w:t>.</w:t>
      </w:r>
      <w:r w:rsidRPr="00C51D7E">
        <w:t xml:space="preserve"> Office for Official Publications of the European Communities</w:t>
      </w:r>
      <w:r>
        <w:t>.</w:t>
      </w:r>
      <w:r w:rsidRPr="00C51D7E">
        <w:t xml:space="preserve"> </w:t>
      </w:r>
      <w:r w:rsidRPr="00CD55D6">
        <w:rPr>
          <w:lang w:val="es-ES"/>
        </w:rPr>
        <w:t>Luxembourg.</w:t>
      </w:r>
    </w:p>
    <w:p w14:paraId="2093B336" w14:textId="64526027" w:rsidR="00F77218" w:rsidRDefault="00F77218" w:rsidP="00C410A7">
      <w:pPr>
        <w:pStyle w:val="EEALiterature"/>
        <w:rPr>
          <w:lang w:val="es-ES"/>
        </w:rPr>
      </w:pPr>
      <w:r w:rsidRPr="00F77218">
        <w:rPr>
          <w:lang w:val="es-ES"/>
        </w:rPr>
        <w:lastRenderedPageBreak/>
        <w:t>Gobin, A., R. Jones, M. Kirkby, P. Campling, G. Govers, C. Kosmas and A.R. Gentile (2004). Indicators for pan-European assessment and monitoring of soil erosion by water. Environmental Science &amp; Policy 7: 25–38.</w:t>
      </w:r>
    </w:p>
    <w:p w14:paraId="05A4112C" w14:textId="79969309" w:rsidR="00AB0592" w:rsidRDefault="00AB0592" w:rsidP="00C410A7">
      <w:pPr>
        <w:pStyle w:val="EEALiterature"/>
      </w:pPr>
      <w:r w:rsidRPr="00CD55D6">
        <w:rPr>
          <w:lang w:val="es-ES"/>
        </w:rPr>
        <w:t xml:space="preserve">Guerra, C.A., T. Pinto-Correia and M.J. Metzger (2014). </w:t>
      </w:r>
      <w:r>
        <w:t xml:space="preserve">Mapping soil erosion prevention using an ecosystem service </w:t>
      </w:r>
      <w:r w:rsidR="00371832">
        <w:t>modelling</w:t>
      </w:r>
      <w:r>
        <w:t xml:space="preserve"> framework for integrated land management and policy. Ecosystems 17 (5), 878–889. </w:t>
      </w:r>
      <w:proofErr w:type="gramStart"/>
      <w:r>
        <w:t>doi:</w:t>
      </w:r>
      <w:proofErr w:type="gramEnd"/>
      <w:r>
        <w:t>10.1007/s10021-014-9766-4.</w:t>
      </w:r>
    </w:p>
    <w:p w14:paraId="314EDD5F" w14:textId="6BF3FD06" w:rsidR="008F64E4" w:rsidRPr="00C51D7E" w:rsidRDefault="008F64E4" w:rsidP="00C410A7">
      <w:pPr>
        <w:pStyle w:val="EEALiterature"/>
      </w:pPr>
      <w:r w:rsidRPr="00C51D7E">
        <w:t>Herweg</w:t>
      </w:r>
      <w:r w:rsidR="00A12711">
        <w:t>.</w:t>
      </w:r>
      <w:r w:rsidRPr="00C51D7E">
        <w:t xml:space="preserve"> K</w:t>
      </w:r>
      <w:r w:rsidR="00A12711">
        <w:t>.</w:t>
      </w:r>
      <w:r w:rsidRPr="00C51D7E">
        <w:t xml:space="preserve"> 1996</w:t>
      </w:r>
      <w:r w:rsidR="00A12711">
        <w:t>.</w:t>
      </w:r>
      <w:r w:rsidRPr="00C51D7E">
        <w:t xml:space="preserve"> Field manual for assessment of current erosion damage</w:t>
      </w:r>
      <w:r w:rsidR="00A12711">
        <w:t>.</w:t>
      </w:r>
      <w:r w:rsidRPr="00C51D7E">
        <w:t xml:space="preserve"> Soil Conservation Research Programme</w:t>
      </w:r>
      <w:r w:rsidR="00A12711">
        <w:t>.</w:t>
      </w:r>
      <w:r w:rsidRPr="00C51D7E">
        <w:t xml:space="preserve"> Ethiopia and Centre for Development and Environment</w:t>
      </w:r>
      <w:r w:rsidR="00A12711">
        <w:t>.</w:t>
      </w:r>
      <w:r w:rsidRPr="00C51D7E">
        <w:t xml:space="preserve"> University of Berne</w:t>
      </w:r>
      <w:r w:rsidR="00A12711">
        <w:t>.</w:t>
      </w:r>
      <w:r w:rsidRPr="00C51D7E">
        <w:t xml:space="preserve"> Switzerland</w:t>
      </w:r>
      <w:r w:rsidR="00A12711">
        <w:t>.</w:t>
      </w:r>
      <w:r w:rsidRPr="00C51D7E">
        <w:t xml:space="preserve"> 69 pp</w:t>
      </w:r>
      <w:r w:rsidR="00A12711">
        <w:t>.</w:t>
      </w:r>
    </w:p>
    <w:p w14:paraId="6D6AA03D" w14:textId="77777777" w:rsidR="00D97D8A" w:rsidRPr="00D97D8A" w:rsidRDefault="00D97D8A" w:rsidP="00C410A7">
      <w:pPr>
        <w:pStyle w:val="EEALiterature"/>
        <w:rPr>
          <w:lang w:val="en-US"/>
        </w:rPr>
      </w:pPr>
      <w:r w:rsidRPr="00D97D8A">
        <w:t xml:space="preserve">Huber, S., Prokop, G., Arrouays, D., Banko, G., Bispo, A., Jones, R.J.A., Kibblewhite, M.G., Lexer, W., Möller, A., Rickson, R.J., Shishkov, T., Stephens, M., Toth, G. Van den Akker, J.J.H., Varallyay, G., Verheijen, F.G.A. &amp; Jones, A.R. (eds) (2008). </w:t>
      </w:r>
      <w:r w:rsidRPr="00BA32D8">
        <w:rPr>
          <w:lang w:val="en-US"/>
        </w:rPr>
        <w:t xml:space="preserve">Environmental Assessment of Soil for Monitoring: Volume I Indicators &amp; Criteria. </w:t>
      </w:r>
      <w:r w:rsidRPr="00D97D8A">
        <w:rPr>
          <w:lang w:val="en-US"/>
        </w:rPr>
        <w:t>EUR23490 EN/1, Office for the Official Publications of the European Communities, Luxembourg, 339pp.</w:t>
      </w:r>
    </w:p>
    <w:p w14:paraId="3915914F" w14:textId="475F3DF6" w:rsidR="00754C00" w:rsidRDefault="00754C00" w:rsidP="00C410A7">
      <w:pPr>
        <w:pStyle w:val="EEALiterature"/>
        <w:rPr>
          <w:color w:val="000000" w:themeColor="text1"/>
        </w:rPr>
      </w:pPr>
      <w:r w:rsidRPr="002C4774">
        <w:t>Keizer</w:t>
      </w:r>
      <w:r>
        <w:t>, J.</w:t>
      </w:r>
      <w:r w:rsidRPr="002C4774">
        <w:t>, H</w:t>
      </w:r>
      <w:r>
        <w:t>.</w:t>
      </w:r>
      <w:r w:rsidRPr="002C4774">
        <w:t xml:space="preserve"> Djuma and V</w:t>
      </w:r>
      <w:r>
        <w:t>.</w:t>
      </w:r>
      <w:r w:rsidRPr="002C4774">
        <w:t xml:space="preserve"> Prasuhn </w:t>
      </w:r>
      <w:r>
        <w:t xml:space="preserve">(2016). Chapter 2. Soil Erosion by water. </w:t>
      </w:r>
      <w:r w:rsidRPr="008F7610">
        <w:t xml:space="preserve">In: Stolte et al. </w:t>
      </w:r>
      <w:r w:rsidRPr="002D2E57">
        <w:rPr>
          <w:lang w:val="en-US"/>
        </w:rPr>
        <w:t>(</w:t>
      </w:r>
      <w:proofErr w:type="gramStart"/>
      <w:r w:rsidRPr="002D2E57">
        <w:rPr>
          <w:lang w:val="en-US"/>
        </w:rPr>
        <w:t>eds</w:t>
      </w:r>
      <w:proofErr w:type="gramEnd"/>
      <w:r w:rsidRPr="002D2E57">
        <w:rPr>
          <w:lang w:val="en-US"/>
        </w:rPr>
        <w:t>).</w:t>
      </w:r>
      <w:r w:rsidR="00BB186A" w:rsidRPr="002D2E57">
        <w:rPr>
          <w:lang w:val="en-US"/>
        </w:rPr>
        <w:t xml:space="preserve"> </w:t>
      </w:r>
      <w:r w:rsidR="00BB186A" w:rsidRPr="0077707D">
        <w:t>(2016). Soil threats in Europe. EUR 27607 EN</w:t>
      </w:r>
      <w:r w:rsidR="007D1F2F">
        <w:t>.</w:t>
      </w:r>
    </w:p>
    <w:p w14:paraId="0DA62F19" w14:textId="77777777" w:rsidR="00997BAC" w:rsidRPr="00CD55D6" w:rsidRDefault="00997BAC" w:rsidP="00C410A7">
      <w:pPr>
        <w:pStyle w:val="EEALiterature"/>
        <w:rPr>
          <w:lang w:val="es-ES"/>
        </w:rPr>
      </w:pPr>
      <w:r>
        <w:t xml:space="preserve">King, C., N. Baghdadi, V. Lecomte and O. Cerdan (2005). The application of remote-sensing data to monitoring and modelling of soil erosion. </w:t>
      </w:r>
      <w:r w:rsidRPr="00CD55D6">
        <w:rPr>
          <w:lang w:val="es-ES"/>
        </w:rPr>
        <w:t>Catena 62: 79 – 93.</w:t>
      </w:r>
    </w:p>
    <w:p w14:paraId="521937F3" w14:textId="3819DB03" w:rsidR="00413CD3" w:rsidRPr="001F5E88" w:rsidRDefault="00413CD3" w:rsidP="00C410A7">
      <w:pPr>
        <w:pStyle w:val="EEALiterature"/>
        <w:rPr>
          <w:lang w:val="en-US"/>
        </w:rPr>
      </w:pPr>
      <w:r w:rsidRPr="00413CD3">
        <w:rPr>
          <w:lang w:val="es-ES"/>
        </w:rPr>
        <w:t xml:space="preserve">Kirkby, M.J., Jones, R.J.A., Irvine, B., Gobin, A, Govers, G., Cerdan, O., Van Rompaey, A.J.J., Le Bissonnais, Y., Daroussin, J., King, D., Montanarella, L., Grimm, M., Vieillefont, V., Puigdefabregas, J., Boer, M., Kosmas, C., Yassoglou, N., Tsara, M., Mantel, S., Van Lynden, G.J. and Huting, J. (2004). </w:t>
      </w:r>
      <w:r w:rsidRPr="00413CD3">
        <w:rPr>
          <w:lang w:val="en-US"/>
        </w:rPr>
        <w:t xml:space="preserve">Pan-European Soil Erosion Risk Assessment: The PESERA Map, Version 1 October 2003. Explanation of Special Publication Ispra 2004 No.73 (S.P.I.04.73). European Soil Bureau Research Report No.16, EUR 21176, 18pp. and 1 map in ISO B1 format. </w:t>
      </w:r>
      <w:r w:rsidRPr="001F5E88">
        <w:rPr>
          <w:lang w:val="en-US"/>
        </w:rPr>
        <w:t>Office for Official Publications of the European Communities, Luxembourg.</w:t>
      </w:r>
    </w:p>
    <w:p w14:paraId="5E73D800" w14:textId="77777777" w:rsidR="001F5E88" w:rsidRDefault="001F5E88" w:rsidP="00C410A7">
      <w:pPr>
        <w:pStyle w:val="EEALiterature"/>
        <w:rPr>
          <w:lang w:val="en-US"/>
        </w:rPr>
      </w:pPr>
      <w:r w:rsidRPr="001F5E88">
        <w:rPr>
          <w:lang w:val="en-US"/>
        </w:rPr>
        <w:t>Ledermann, T., K. Herweg, H. Liniger, F. Schneider, H. Hurni and V. Prasuhn. (2010). Erosion damage mapping: assessing current soil erosion damage in Switzerland. Advances in Geoecology 39: 263-284.</w:t>
      </w:r>
    </w:p>
    <w:p w14:paraId="0FE5CE8A" w14:textId="7B71F93F" w:rsidR="00997BAC" w:rsidRDefault="00997BAC" w:rsidP="00C410A7">
      <w:pPr>
        <w:pStyle w:val="EEALiterature"/>
      </w:pPr>
      <w:r w:rsidRPr="001F5E88">
        <w:rPr>
          <w:lang w:val="de-DE"/>
        </w:rPr>
        <w:t xml:space="preserve">Maetens, W., M. Vanmaercke, J. Poesen, B. Jankauskas, G. Jankauskiene and I. Ionita (2012). </w:t>
      </w:r>
      <w:r>
        <w:t xml:space="preserve">Effects of land use on annual runoff and soil loss in Europe and the Mediterranean: A meta-analysis of plot data. Progress in Physical Geography 36(5): 597 - 651. </w:t>
      </w:r>
      <w:proofErr w:type="gramStart"/>
      <w:r>
        <w:t>doi:</w:t>
      </w:r>
      <w:proofErr w:type="gramEnd"/>
      <w:r>
        <w:t>10.1177/0309133312451303</w:t>
      </w:r>
      <w:r w:rsidR="007D1F2F">
        <w:t>.</w:t>
      </w:r>
    </w:p>
    <w:p w14:paraId="38D59C2A" w14:textId="77777777" w:rsidR="00997BAC" w:rsidRDefault="00997BAC" w:rsidP="00C410A7">
      <w:pPr>
        <w:pStyle w:val="EEALiterature"/>
      </w:pPr>
      <w:r w:rsidRPr="000F43A9">
        <w:t>Montgomery, D. R. (2007). Soil erosion and agricultural sustainability. Proceedings of the National Academy of Sciences of the United States of America, 104(33): 13268-72.</w:t>
      </w:r>
    </w:p>
    <w:p w14:paraId="75D4C76E" w14:textId="77777777" w:rsidR="00997BAC" w:rsidRPr="00C51D7E" w:rsidRDefault="00997BAC" w:rsidP="00C410A7">
      <w:pPr>
        <w:pStyle w:val="EEALiterature"/>
      </w:pPr>
      <w:r w:rsidRPr="00C51D7E">
        <w:t>Morgan</w:t>
      </w:r>
      <w:r>
        <w:t>,</w:t>
      </w:r>
      <w:r w:rsidRPr="00C51D7E">
        <w:t xml:space="preserve"> R</w:t>
      </w:r>
      <w:r>
        <w:t>.</w:t>
      </w:r>
      <w:r w:rsidRPr="00C51D7E">
        <w:t>P</w:t>
      </w:r>
      <w:r>
        <w:t>.</w:t>
      </w:r>
      <w:r w:rsidRPr="00C51D7E">
        <w:t>C</w:t>
      </w:r>
      <w:r>
        <w:t>.</w:t>
      </w:r>
      <w:r w:rsidRPr="00C51D7E">
        <w:t xml:space="preserve"> (1986) Soil erosion &amp; conservation</w:t>
      </w:r>
      <w:r>
        <w:t>.</w:t>
      </w:r>
      <w:r w:rsidRPr="00C51D7E">
        <w:t xml:space="preserve"> Harlow</w:t>
      </w:r>
      <w:r>
        <w:t>,</w:t>
      </w:r>
      <w:r w:rsidRPr="00C51D7E">
        <w:t xml:space="preserve"> Longman</w:t>
      </w:r>
      <w:r>
        <w:t>.</w:t>
      </w:r>
    </w:p>
    <w:p w14:paraId="439091ED" w14:textId="6A833A44" w:rsidR="00997BAC" w:rsidRDefault="00997BAC" w:rsidP="00C410A7">
      <w:pPr>
        <w:pStyle w:val="EEALiterature"/>
      </w:pPr>
      <w:r>
        <w:t>Mueller, L., G. Shepherd, U. Schindler, B.C. Ball, L.J. Munkholm, V.</w:t>
      </w:r>
      <w:r w:rsidR="008F7610">
        <w:t xml:space="preserve"> </w:t>
      </w:r>
      <w:r>
        <w:t>Hennings, et al. (2013). Evaluation of soil structure in the framework of an overall soil quality rating. Soil and Tillage Research 127: 74–84. doi:10.1016/j.still.2012.03.002 706</w:t>
      </w:r>
      <w:r w:rsidR="007D1F2F">
        <w:t>.</w:t>
      </w:r>
    </w:p>
    <w:p w14:paraId="21615C61" w14:textId="77777777" w:rsidR="00997BAC" w:rsidRPr="00BE7C9A" w:rsidRDefault="00997BAC" w:rsidP="00C410A7">
      <w:pPr>
        <w:pStyle w:val="EEALiterature"/>
        <w:rPr>
          <w:lang w:val="de-DE"/>
        </w:rPr>
      </w:pPr>
      <w:r>
        <w:t xml:space="preserve">Müller, U. and A. Waldeck (2011). </w:t>
      </w:r>
      <w:r w:rsidRPr="00CD55D6">
        <w:rPr>
          <w:lang w:val="de-AT"/>
        </w:rPr>
        <w:t xml:space="preserve">Auswertungsmethoden im Bodenschutz: Dokumentation zur Methodenbank des Niedersächsischen Bodeninformationssystems (NIBIS®). </w:t>
      </w:r>
      <w:r w:rsidRPr="00BE7C9A">
        <w:rPr>
          <w:lang w:val="de-DE"/>
        </w:rPr>
        <w:t>GeoBerichte 19.</w:t>
      </w:r>
    </w:p>
    <w:p w14:paraId="39130900" w14:textId="1042B76B" w:rsidR="00997BAC" w:rsidRDefault="00997BAC" w:rsidP="00C410A7">
      <w:pPr>
        <w:pStyle w:val="EEALiterature"/>
      </w:pPr>
      <w:r w:rsidRPr="00BE7C9A">
        <w:rPr>
          <w:lang w:val="de-DE"/>
        </w:rPr>
        <w:t xml:space="preserve">Nadeu, E., A. Gobin, P. Fiener, B. van Wesemael and K. van Oost (2015). </w:t>
      </w:r>
      <w:r>
        <w:t>Modelling the impact of agricultural management on soil carbon stocks at the regional scale: the role of lateral fluxes. Glob. Chang. Biol. 21 (8): 3181-3192. https://doi.org/10.1111/gcb.12889</w:t>
      </w:r>
      <w:r w:rsidR="007D1F2F">
        <w:t>.</w:t>
      </w:r>
    </w:p>
    <w:p w14:paraId="127FC8DB" w14:textId="68473ED7" w:rsidR="008F64E4" w:rsidRPr="00C51D7E" w:rsidRDefault="008F64E4" w:rsidP="00C410A7">
      <w:pPr>
        <w:pStyle w:val="EEALiterature"/>
      </w:pPr>
      <w:r w:rsidRPr="00C51D7E">
        <w:t>OECD (2008)</w:t>
      </w:r>
      <w:r w:rsidR="00A12711">
        <w:t>.</w:t>
      </w:r>
      <w:r w:rsidRPr="00C51D7E">
        <w:t xml:space="preserve"> Environmental Performance of Agriculture in OECD countries since 1990</w:t>
      </w:r>
      <w:r w:rsidR="00A12711">
        <w:t>.</w:t>
      </w:r>
      <w:r w:rsidRPr="00C51D7E">
        <w:t xml:space="preserve"> Paris</w:t>
      </w:r>
      <w:r w:rsidR="00A12711">
        <w:t>.</w:t>
      </w:r>
      <w:r w:rsidRPr="00C51D7E">
        <w:t xml:space="preserve"> France</w:t>
      </w:r>
      <w:r w:rsidR="00A12711">
        <w:t>.</w:t>
      </w:r>
      <w:r w:rsidRPr="00C51D7E">
        <w:t xml:space="preserve"> www</w:t>
      </w:r>
      <w:r w:rsidR="00A12711">
        <w:t>.</w:t>
      </w:r>
      <w:r w:rsidRPr="00C51D7E">
        <w:t>oecd</w:t>
      </w:r>
      <w:r w:rsidR="00A12711">
        <w:t>.</w:t>
      </w:r>
      <w:r w:rsidRPr="00C51D7E">
        <w:t>org/tad/env/indicators</w:t>
      </w:r>
      <w:r w:rsidR="007D1F2F">
        <w:t>.</w:t>
      </w:r>
    </w:p>
    <w:p w14:paraId="1D92973A" w14:textId="7A6AA4F5" w:rsidR="005E691C" w:rsidRPr="00CD55D6" w:rsidRDefault="005E691C" w:rsidP="00C410A7">
      <w:pPr>
        <w:pStyle w:val="EEALiterature"/>
        <w:rPr>
          <w:lang w:val="en-US"/>
        </w:rPr>
      </w:pPr>
      <w:r w:rsidRPr="00CD55D6">
        <w:rPr>
          <w:lang w:val="en-US"/>
        </w:rPr>
        <w:t>OECD (2013). Compendium of Agri-environmental Indicators. https://doi.org/10.1787/9789264186217-en</w:t>
      </w:r>
      <w:r w:rsidR="007D1F2F">
        <w:rPr>
          <w:lang w:val="en-US"/>
        </w:rPr>
        <w:t>.</w:t>
      </w:r>
    </w:p>
    <w:p w14:paraId="126BF7E3" w14:textId="77777777" w:rsidR="00AB7AAC" w:rsidRPr="00CD55D6" w:rsidRDefault="00AB7AAC" w:rsidP="00C410A7">
      <w:pPr>
        <w:pStyle w:val="EEALiterature"/>
        <w:rPr>
          <w:lang w:val="es-ES"/>
        </w:rPr>
      </w:pPr>
      <w:r w:rsidRPr="00CD55D6">
        <w:rPr>
          <w:lang w:val="es-ES"/>
        </w:rPr>
        <w:t xml:space="preserve">Panagos, P., P. </w:t>
      </w:r>
      <w:r w:rsidRPr="00C51D7E">
        <w:rPr>
          <w:lang w:val="es-ES"/>
        </w:rPr>
        <w:t>Borrelli</w:t>
      </w:r>
      <w:r>
        <w:rPr>
          <w:lang w:val="es-ES"/>
        </w:rPr>
        <w:t>,</w:t>
      </w:r>
      <w:r w:rsidRPr="00C51D7E">
        <w:rPr>
          <w:lang w:val="es-ES"/>
        </w:rPr>
        <w:t xml:space="preserve"> </w:t>
      </w:r>
      <w:r>
        <w:rPr>
          <w:lang w:val="es-ES"/>
        </w:rPr>
        <w:t xml:space="preserve">J. </w:t>
      </w:r>
      <w:r w:rsidRPr="00C51D7E">
        <w:rPr>
          <w:lang w:val="es-ES"/>
        </w:rPr>
        <w:t>Poesen</w:t>
      </w:r>
      <w:r>
        <w:rPr>
          <w:lang w:val="es-ES"/>
        </w:rPr>
        <w:t>,</w:t>
      </w:r>
      <w:r w:rsidRPr="00C51D7E">
        <w:rPr>
          <w:lang w:val="es-ES"/>
        </w:rPr>
        <w:t xml:space="preserve"> </w:t>
      </w:r>
      <w:r>
        <w:rPr>
          <w:lang w:val="es-ES"/>
        </w:rPr>
        <w:t xml:space="preserve">C. </w:t>
      </w:r>
      <w:r w:rsidRPr="00C51D7E">
        <w:rPr>
          <w:lang w:val="es-ES"/>
        </w:rPr>
        <w:t>Ballabio</w:t>
      </w:r>
      <w:r>
        <w:rPr>
          <w:lang w:val="es-ES"/>
        </w:rPr>
        <w:t>,</w:t>
      </w:r>
      <w:r w:rsidRPr="00C51D7E">
        <w:rPr>
          <w:lang w:val="es-ES"/>
        </w:rPr>
        <w:t xml:space="preserve"> </w:t>
      </w:r>
      <w:r>
        <w:rPr>
          <w:lang w:val="es-ES"/>
        </w:rPr>
        <w:t xml:space="preserve">E. </w:t>
      </w:r>
      <w:r w:rsidRPr="00C51D7E">
        <w:rPr>
          <w:lang w:val="es-ES"/>
        </w:rPr>
        <w:t>Lugato</w:t>
      </w:r>
      <w:r>
        <w:rPr>
          <w:lang w:val="es-ES"/>
        </w:rPr>
        <w:t>,</w:t>
      </w:r>
      <w:r w:rsidRPr="00C51D7E">
        <w:rPr>
          <w:lang w:val="es-ES"/>
        </w:rPr>
        <w:t xml:space="preserve"> </w:t>
      </w:r>
      <w:r>
        <w:rPr>
          <w:lang w:val="es-ES"/>
        </w:rPr>
        <w:t xml:space="preserve">K. </w:t>
      </w:r>
      <w:r w:rsidRPr="00C51D7E">
        <w:rPr>
          <w:lang w:val="es-ES"/>
        </w:rPr>
        <w:t>Meusburger</w:t>
      </w:r>
      <w:r>
        <w:rPr>
          <w:lang w:val="es-ES"/>
        </w:rPr>
        <w:t>, L.</w:t>
      </w:r>
      <w:r w:rsidRPr="00C51D7E">
        <w:rPr>
          <w:lang w:val="es-ES"/>
        </w:rPr>
        <w:t xml:space="preserve"> Montanarella</w:t>
      </w:r>
      <w:r>
        <w:rPr>
          <w:lang w:val="es-ES"/>
        </w:rPr>
        <w:t xml:space="preserve"> </w:t>
      </w:r>
      <w:r w:rsidRPr="00C51D7E">
        <w:rPr>
          <w:lang w:val="es-ES"/>
        </w:rPr>
        <w:t xml:space="preserve">and </w:t>
      </w:r>
      <w:r>
        <w:rPr>
          <w:lang w:val="es-ES"/>
        </w:rPr>
        <w:t xml:space="preserve">C. </w:t>
      </w:r>
      <w:r w:rsidRPr="00C51D7E">
        <w:rPr>
          <w:lang w:val="es-ES"/>
        </w:rPr>
        <w:t>Alewell</w:t>
      </w:r>
      <w:r>
        <w:rPr>
          <w:lang w:val="es-ES"/>
        </w:rPr>
        <w:t xml:space="preserve"> (</w:t>
      </w:r>
      <w:r w:rsidRPr="00C51D7E">
        <w:rPr>
          <w:lang w:val="es-ES"/>
        </w:rPr>
        <w:t>2015</w:t>
      </w:r>
      <w:r>
        <w:rPr>
          <w:lang w:val="es-ES"/>
        </w:rPr>
        <w:t>).</w:t>
      </w:r>
      <w:r w:rsidRPr="00C51D7E">
        <w:rPr>
          <w:lang w:val="es-ES"/>
        </w:rPr>
        <w:t xml:space="preserve"> </w:t>
      </w:r>
      <w:r w:rsidRPr="00C51D7E">
        <w:t>The new assessment of soil loss by water erosion in Europe</w:t>
      </w:r>
      <w:r>
        <w:t>.</w:t>
      </w:r>
      <w:r w:rsidRPr="00C51D7E">
        <w:t xml:space="preserve"> </w:t>
      </w:r>
      <w:r w:rsidRPr="00CD55D6">
        <w:rPr>
          <w:lang w:val="es-ES"/>
        </w:rPr>
        <w:t>Environmental Science &amp; policy 54: 438-447.</w:t>
      </w:r>
    </w:p>
    <w:p w14:paraId="61E70AB5" w14:textId="77777777" w:rsidR="00D04BF3" w:rsidRDefault="00D04BF3" w:rsidP="00C410A7">
      <w:pPr>
        <w:pStyle w:val="EEALiterature"/>
      </w:pPr>
      <w:r>
        <w:t>Panagos P., Ballabio C., Lugato E., Jones A., Borrelli P. (2017). Condition of agricultural soil: Factsheet on soil erosion, EUR 29020, Publications Office of the European Union, Luxembourg, 2017. ISBN 978-92-79-77328-0, doi</w:t>
      </w:r>
      <w:proofErr w:type="gramStart"/>
      <w:r>
        <w:t>:10.2760</w:t>
      </w:r>
      <w:proofErr w:type="gramEnd"/>
      <w:r>
        <w:t>/728794, JRC110011.</w:t>
      </w:r>
    </w:p>
    <w:p w14:paraId="53117AE2" w14:textId="77777777" w:rsidR="00AB7AAC" w:rsidRPr="00C51D7E" w:rsidRDefault="00AB7AAC" w:rsidP="00C410A7">
      <w:pPr>
        <w:pStyle w:val="EEALiterature"/>
      </w:pPr>
      <w:r w:rsidRPr="00CD55D6">
        <w:rPr>
          <w:lang w:val="es-ES"/>
        </w:rPr>
        <w:lastRenderedPageBreak/>
        <w:t xml:space="preserve">Panagos, P., C. Ballabio, S. Scarpa, P. Borrelli, E. Lugato and L. Montanarella (2020). </w:t>
      </w:r>
      <w:r w:rsidRPr="00C51D7E">
        <w:t>Soil related indicators to support agri-environmental policies</w:t>
      </w:r>
      <w:r>
        <w:t>.</w:t>
      </w:r>
      <w:r w:rsidRPr="00C51D7E">
        <w:t xml:space="preserve"> EUR 30090 EN</w:t>
      </w:r>
      <w:r>
        <w:t>.</w:t>
      </w:r>
      <w:r w:rsidRPr="00C51D7E">
        <w:t xml:space="preserve"> Publications Office of the European Union</w:t>
      </w:r>
      <w:r>
        <w:t>,</w:t>
      </w:r>
      <w:r w:rsidRPr="00C51D7E">
        <w:t xml:space="preserve"> Luxembourg</w:t>
      </w:r>
      <w:r>
        <w:t>.</w:t>
      </w:r>
      <w:r w:rsidRPr="00C51D7E">
        <w:t xml:space="preserve"> ISBN 978-92-76-15644-4</w:t>
      </w:r>
      <w:r>
        <w:t>.</w:t>
      </w:r>
      <w:r w:rsidRPr="00C51D7E">
        <w:t xml:space="preserve"> </w:t>
      </w:r>
      <w:proofErr w:type="gramStart"/>
      <w:r w:rsidRPr="00C51D7E">
        <w:t>doi:</w:t>
      </w:r>
      <w:proofErr w:type="gramEnd"/>
      <w:r w:rsidRPr="00C51D7E">
        <w:t>10</w:t>
      </w:r>
      <w:r>
        <w:t>.</w:t>
      </w:r>
      <w:r w:rsidRPr="00C51D7E">
        <w:t>2760/011194</w:t>
      </w:r>
      <w:r>
        <w:t>.</w:t>
      </w:r>
      <w:r w:rsidRPr="00C51D7E">
        <w:t xml:space="preserve"> JRC119220</w:t>
      </w:r>
      <w:r>
        <w:t>.</w:t>
      </w:r>
    </w:p>
    <w:p w14:paraId="14707C44" w14:textId="441C59D3" w:rsidR="00997BAC" w:rsidRPr="00D04BF3" w:rsidRDefault="00997BAC" w:rsidP="00C410A7">
      <w:pPr>
        <w:pStyle w:val="EEALiterature"/>
        <w:rPr>
          <w:lang w:val="en-US"/>
        </w:rPr>
      </w:pPr>
      <w:r w:rsidRPr="00CD55D6">
        <w:rPr>
          <w:lang w:val="es-ES"/>
        </w:rPr>
        <w:t xml:space="preserve">Panagos, P., C. Ballabio, J. Poesen, E. Lugato, S. Scarpa, L. Montanarella and P. Borrelli (2020). </w:t>
      </w:r>
      <w:r>
        <w:t xml:space="preserve">A soil erosion indicator for supporting agricultural, environmental and climate policies in the European Union. </w:t>
      </w:r>
      <w:r w:rsidRPr="00D04BF3">
        <w:rPr>
          <w:lang w:val="en-US"/>
        </w:rPr>
        <w:t>Remote Sens. 12 (9): 1365. https://doi.org/10.3390/rs12091365</w:t>
      </w:r>
      <w:r w:rsidR="007D1F2F" w:rsidRPr="00D04BF3">
        <w:rPr>
          <w:lang w:val="en-US"/>
        </w:rPr>
        <w:t>.</w:t>
      </w:r>
    </w:p>
    <w:p w14:paraId="1632424D" w14:textId="77777777" w:rsidR="00D04BF3" w:rsidRDefault="00D04BF3" w:rsidP="00C410A7">
      <w:pPr>
        <w:pStyle w:val="EEALiterature"/>
      </w:pPr>
      <w:r>
        <w:t>Poesen, J. (2018). Soil erosion in the Anthropocene: Research needs.  Earth Surf. Process. Landforms 43: 64–84.</w:t>
      </w:r>
    </w:p>
    <w:p w14:paraId="523F48E1" w14:textId="62168D29" w:rsidR="00997BAC" w:rsidRDefault="00997BAC" w:rsidP="00C410A7">
      <w:pPr>
        <w:pStyle w:val="EEALiterature"/>
      </w:pPr>
      <w:r>
        <w:t>Prasuhn, V. (2011). Soil erosion in the Swiss midlands: results of a 10‐year field survey. Geomorphology 126(1‐2): 32–41.</w:t>
      </w:r>
    </w:p>
    <w:p w14:paraId="6C6A8665" w14:textId="0EAEC853" w:rsidR="00997BAC" w:rsidRDefault="00997BAC" w:rsidP="00C410A7">
      <w:pPr>
        <w:pStyle w:val="EEALiterature"/>
      </w:pPr>
      <w:r>
        <w:t>Prasuhn, V. (2020). Twenty years of soil erosion on‐farm measurement: annual variation, spatial distribution and the impact of conservation programmes for soil loss rates in Switzerland. Earth Surface Processes and Landforms 45: 1539–1554. https://doi.org/10.1002/esp.4829</w:t>
      </w:r>
      <w:r w:rsidR="007D1F2F">
        <w:t>.</w:t>
      </w:r>
    </w:p>
    <w:p w14:paraId="60A40B83" w14:textId="4F0F98BF" w:rsidR="00AB7AAC" w:rsidRPr="00C51D7E" w:rsidRDefault="00AB7AAC" w:rsidP="00C410A7">
      <w:pPr>
        <w:pStyle w:val="EEALiterature"/>
      </w:pPr>
      <w:r w:rsidRPr="00CD55D6">
        <w:rPr>
          <w:lang w:val="en-US"/>
        </w:rPr>
        <w:t xml:space="preserve">Renard, K.G., G.R. Foster, </w:t>
      </w:r>
      <w:r w:rsidRPr="00C51D7E">
        <w:t>G</w:t>
      </w:r>
      <w:r>
        <w:t>.</w:t>
      </w:r>
      <w:r w:rsidRPr="00C51D7E">
        <w:t>A</w:t>
      </w:r>
      <w:r>
        <w:t>.</w:t>
      </w:r>
      <w:r w:rsidRPr="00C51D7E">
        <w:t xml:space="preserve"> Weesies</w:t>
      </w:r>
      <w:r>
        <w:t>,</w:t>
      </w:r>
      <w:r w:rsidRPr="00C51D7E">
        <w:t xml:space="preserve"> D</w:t>
      </w:r>
      <w:r>
        <w:t>.</w:t>
      </w:r>
      <w:r w:rsidRPr="00C51D7E">
        <w:t>K</w:t>
      </w:r>
      <w:r>
        <w:t>.</w:t>
      </w:r>
      <w:r w:rsidRPr="00C51D7E">
        <w:t xml:space="preserve"> McCool </w:t>
      </w:r>
      <w:r>
        <w:t>and</w:t>
      </w:r>
      <w:r w:rsidRPr="00C51D7E">
        <w:t xml:space="preserve"> D</w:t>
      </w:r>
      <w:r>
        <w:t>.</w:t>
      </w:r>
      <w:r w:rsidRPr="00C51D7E">
        <w:t>C</w:t>
      </w:r>
      <w:r>
        <w:t>.</w:t>
      </w:r>
      <w:r w:rsidRPr="00C51D7E">
        <w:t xml:space="preserve"> Yoder</w:t>
      </w:r>
      <w:r>
        <w:t xml:space="preserve"> </w:t>
      </w:r>
      <w:r w:rsidRPr="00C51D7E">
        <w:t>(1997)</w:t>
      </w:r>
      <w:r>
        <w:t>.</w:t>
      </w:r>
      <w:r w:rsidRPr="00C51D7E">
        <w:t xml:space="preserve"> Predicting soil erosion by water: a guide to conservation planning with the Revised Universal Soil Loss Equation (RUSLE)</w:t>
      </w:r>
      <w:r>
        <w:t>.</w:t>
      </w:r>
      <w:r w:rsidRPr="00C51D7E">
        <w:t xml:space="preserve"> US Department of Agriculture</w:t>
      </w:r>
      <w:r>
        <w:t>.</w:t>
      </w:r>
      <w:r w:rsidRPr="00C51D7E">
        <w:t xml:space="preserve"> Agriculture Handbook 703</w:t>
      </w:r>
      <w:r w:rsidR="001B2CAB">
        <w:t>.</w:t>
      </w:r>
    </w:p>
    <w:p w14:paraId="7292D4E9" w14:textId="77777777" w:rsidR="003F31FF" w:rsidRDefault="003F31FF" w:rsidP="00C410A7">
      <w:pPr>
        <w:pStyle w:val="EEALiterature"/>
      </w:pPr>
      <w:r>
        <w:t>Salesa, D., and A. Cerdà (2020). Soil erosion on mountain trails as a consequence of recreational activities. A comprehensive review of the scientific literature. Journal of Environmental Management, 271, 110990.</w:t>
      </w:r>
    </w:p>
    <w:p w14:paraId="6F63D406" w14:textId="77777777" w:rsidR="003F31FF" w:rsidRPr="002D2E57" w:rsidRDefault="003F31FF" w:rsidP="00C410A7">
      <w:pPr>
        <w:pStyle w:val="EEALiterature"/>
        <w:rPr>
          <w:lang w:val="de-DE"/>
        </w:rPr>
      </w:pPr>
      <w:r>
        <w:t xml:space="preserve">Seutloali, K. E. and H.R. Beckedahl (2015). A review of road-related soil erosion: an assessment of causes, evaluation techniques and available control measures. </w:t>
      </w:r>
      <w:r w:rsidRPr="002D2E57">
        <w:rPr>
          <w:lang w:val="de-DE"/>
        </w:rPr>
        <w:t>Earth Sciences Research Journal, 19(1): 73-80.</w:t>
      </w:r>
    </w:p>
    <w:p w14:paraId="56D92D6F" w14:textId="1F829391" w:rsidR="00997BAC" w:rsidRPr="00CD55D6" w:rsidRDefault="00997BAC" w:rsidP="00C410A7">
      <w:pPr>
        <w:pStyle w:val="EEALiterature"/>
        <w:rPr>
          <w:lang w:val="de-AT"/>
        </w:rPr>
      </w:pPr>
      <w:r w:rsidRPr="002D2E57">
        <w:rPr>
          <w:lang w:val="de-DE"/>
        </w:rPr>
        <w:t xml:space="preserve">Schaefer, W. and A. Thiermann (2005). </w:t>
      </w:r>
      <w:r w:rsidRPr="004327B1">
        <w:rPr>
          <w:lang w:val="de-DE"/>
        </w:rPr>
        <w:t xml:space="preserve">Kap. 2.5 Niedersachsen. </w:t>
      </w:r>
      <w:r w:rsidRPr="00CD55D6">
        <w:rPr>
          <w:lang w:val="de-AT"/>
        </w:rPr>
        <w:t>In: Feldwisch, N. and E. Dankelmann (eds). Bodenerosion durch Wasser - Bewertungsmethodik und Instrumente der deutschen Bundesländer. BVB-Materialien, Band 14:  pp. 60-67. Bundesverband Boden (BVB) e. V., Erich Schmidt Verlag, Berlin.</w:t>
      </w:r>
    </w:p>
    <w:p w14:paraId="7404DBAD" w14:textId="77777777" w:rsidR="00997BAC" w:rsidRDefault="00997BAC" w:rsidP="00C410A7">
      <w:pPr>
        <w:pStyle w:val="EEALiterature"/>
      </w:pPr>
      <w:r w:rsidRPr="002D2E57">
        <w:rPr>
          <w:lang w:val="en-US"/>
        </w:rPr>
        <w:t xml:space="preserve">Sepuru, T.K. and T. Dube (2018). </w:t>
      </w:r>
      <w:r>
        <w:t>An appraisal on the progress of remote sensing applications in soil erosion mapping and monitoring. Remote Sensing Applications: Society and Environment 9: 1-9.</w:t>
      </w:r>
    </w:p>
    <w:p w14:paraId="5BDDE5E6" w14:textId="6247D55E" w:rsidR="00F86B98" w:rsidRPr="00CD55D6" w:rsidRDefault="00F86B98" w:rsidP="00C410A7">
      <w:pPr>
        <w:pStyle w:val="EEALiterature"/>
        <w:rPr>
          <w:lang w:val="en-US"/>
        </w:rPr>
      </w:pPr>
      <w:r w:rsidRPr="00CD55D6">
        <w:rPr>
          <w:lang w:val="en-US"/>
        </w:rPr>
        <w:t>Steinhoff-Knopp, B. and B. Burkhard (2018</w:t>
      </w:r>
      <w:r w:rsidR="00F634EF" w:rsidRPr="00CD55D6">
        <w:rPr>
          <w:lang w:val="en-US"/>
        </w:rPr>
        <w:t>a</w:t>
      </w:r>
      <w:r w:rsidRPr="00CD55D6">
        <w:rPr>
          <w:lang w:val="en-US"/>
        </w:rPr>
        <w:t>). Mapping Control of Erosion Rates: Comparing Model and Monitoring Data for Croplands in Northern Germany. One Ecosystem 3: e26382. https://doi.org/10.3897/oneeco.3.e26382</w:t>
      </w:r>
      <w:r w:rsidR="007D1F2F">
        <w:rPr>
          <w:lang w:val="en-US"/>
        </w:rPr>
        <w:t>.</w:t>
      </w:r>
    </w:p>
    <w:p w14:paraId="6F2DCFC5" w14:textId="4336E9AA" w:rsidR="00997BAC" w:rsidRDefault="00997BAC" w:rsidP="00C410A7">
      <w:pPr>
        <w:pStyle w:val="EEALiterature"/>
      </w:pPr>
      <w:r>
        <w:t>Steinhoff‐Knopp, B. and B. Burkhard (2018</w:t>
      </w:r>
      <w:r w:rsidR="00F634EF">
        <w:t>b</w:t>
      </w:r>
      <w:r>
        <w:t>). Soil erosion by water in northern Germany: long‐term monitoring results from Lower Saxony. Catena 165: 299–309.</w:t>
      </w:r>
    </w:p>
    <w:p w14:paraId="19ABE029" w14:textId="6FFB134C" w:rsidR="00A11679" w:rsidRPr="00CD55D6" w:rsidRDefault="00A11679" w:rsidP="00C410A7">
      <w:pPr>
        <w:pStyle w:val="EEALiterature"/>
        <w:rPr>
          <w:lang w:val="en-US"/>
        </w:rPr>
      </w:pPr>
      <w:r>
        <w:t xml:space="preserve">Steinhoff‐Knopp, B., K. Kuhn and B. Burkhard (2020). </w:t>
      </w:r>
      <w:r w:rsidRPr="00CD55D6">
        <w:rPr>
          <w:lang w:val="en-US"/>
        </w:rPr>
        <w:t xml:space="preserve">The impact of soil erosion on soil-related ecosystem services: Development and testing a scenario-based assessment approach. </w:t>
      </w:r>
      <w:r w:rsidR="007E1E59" w:rsidRPr="00CD55D6">
        <w:rPr>
          <w:lang w:val="en-US"/>
        </w:rPr>
        <w:t>EMAS (Environmental Monitoring and Assessment).</w:t>
      </w:r>
    </w:p>
    <w:p w14:paraId="0E8EF40B" w14:textId="78D16058" w:rsidR="00183039" w:rsidRPr="0077707D" w:rsidRDefault="00183039" w:rsidP="00C410A7">
      <w:pPr>
        <w:pStyle w:val="EEALiterature"/>
      </w:pPr>
      <w:r w:rsidRPr="002371E5">
        <w:rPr>
          <w:lang w:val="en-US"/>
        </w:rPr>
        <w:t xml:space="preserve">Stolte, J., M. Tesfai, L. Øygarden, S. Kværnø, J. Keizer, F. Verheijen and R. Hessel. </w:t>
      </w:r>
      <w:r w:rsidRPr="0077707D">
        <w:t>R. (Eds.). (2016). Soil threats in Europe. EUR 27607 EN; doi</w:t>
      </w:r>
      <w:proofErr w:type="gramStart"/>
      <w:r w:rsidRPr="0077707D">
        <w:t>:10.2788</w:t>
      </w:r>
      <w:proofErr w:type="gramEnd"/>
      <w:r w:rsidRPr="0077707D">
        <w:t>/488054 (print); doi:10.2788/828742 (online)</w:t>
      </w:r>
      <w:r w:rsidR="007D1F2F">
        <w:t>.</w:t>
      </w:r>
    </w:p>
    <w:p w14:paraId="138A170D" w14:textId="77777777" w:rsidR="00B6497A" w:rsidRDefault="00B6497A" w:rsidP="00C410A7">
      <w:pPr>
        <w:pStyle w:val="EEALiterature"/>
      </w:pPr>
      <w:r w:rsidRPr="00B6497A">
        <w:t>Stroosnijder, L. (2005). Measurement of erosion: Is it possible</w:t>
      </w:r>
      <w:proofErr w:type="gramStart"/>
      <w:r w:rsidRPr="00B6497A">
        <w:t>?.</w:t>
      </w:r>
      <w:proofErr w:type="gramEnd"/>
      <w:r w:rsidRPr="00B6497A">
        <w:t xml:space="preserve"> Catena 64: 162-173. 10.1016/j.catena.2005.08.004.</w:t>
      </w:r>
    </w:p>
    <w:p w14:paraId="5F86C910" w14:textId="77777777" w:rsidR="00E47B4E" w:rsidRDefault="00E47B4E" w:rsidP="00C410A7">
      <w:pPr>
        <w:pStyle w:val="EEALiterature"/>
      </w:pPr>
      <w:r w:rsidRPr="00E47B4E">
        <w:t>Van-Camp. L., Bujarrabal, B., Gentile, A-R., Jones, R.J.A., Montanarella, L., Olazabal, C. and Selvaradjou, S-K. (2004). Reports of the Technical Working Groups Established under the Thematic Strategy for Soil Protection. EUR 21319 EN/4, 872 pp. Office for Official Publications of the European Communities, Luxembourg. VOLUME II – EROSION.</w:t>
      </w:r>
    </w:p>
    <w:p w14:paraId="316FF6C0" w14:textId="77777777" w:rsidR="008E5D25" w:rsidRDefault="008E5D25" w:rsidP="00C410A7">
      <w:pPr>
        <w:pStyle w:val="EEALiterature"/>
      </w:pPr>
      <w:r w:rsidRPr="008E5D25">
        <w:t xml:space="preserve">Veerman, C., T.P. Correia, C. Bastioli, B. Biro, J. Bouma, E. Cienciala, B. Emmett, E. A. Frison, A. Grand, L.H. Filchew, Z. Kriaučiūnienė, M. Pogrzeba, J.F. Soussana, C.V. Olmo and R. Wittkowski (2020). Caring for soil is caring for life – Ensure 75% of soils are healthy by 2030 for food, people, nature and climate European Commission. Independent expert report. Luxembourg: Publications Office of the European Union, 2020. </w:t>
      </w:r>
      <w:proofErr w:type="gramStart"/>
      <w:r w:rsidRPr="008E5D25">
        <w:t>doi</w:t>
      </w:r>
      <w:proofErr w:type="gramEnd"/>
      <w:r w:rsidRPr="008E5D25">
        <w:t>: 10.2777/821504.</w:t>
      </w:r>
    </w:p>
    <w:p w14:paraId="0F0BC466" w14:textId="62C4C2BF" w:rsidR="00DD794E" w:rsidRDefault="00DD794E" w:rsidP="00C410A7">
      <w:pPr>
        <w:pStyle w:val="EEALiterature"/>
      </w:pPr>
      <w:r w:rsidRPr="00B07D34">
        <w:t>Verheijen, F. G. A., Jones, R. J. A., Rickson, R. J. and C.J. Smith (2009). Tolerable versus actual soil erosion rates in Europe. Earth-Science Reviews, 94(1-4): 23-38.</w:t>
      </w:r>
    </w:p>
    <w:p w14:paraId="1F31ADED" w14:textId="77777777" w:rsidR="00C44409" w:rsidRDefault="00C44409" w:rsidP="00C410A7">
      <w:pPr>
        <w:pStyle w:val="EEALiterature"/>
      </w:pPr>
      <w:r w:rsidRPr="00C44409">
        <w:t>Verstraeten, G. P. Bazzoffi, A. Lajczak, M. Rãdoane, F. Rey, J. Poesen and J. De Vente (2006). Reservoir and Pond Sedimentation in Europe. In: Soil Erosion in Europe; 2006; pp. 757 – 774.</w:t>
      </w:r>
    </w:p>
    <w:p w14:paraId="517A4476" w14:textId="399834E3" w:rsidR="00DD794E" w:rsidRDefault="00DD794E" w:rsidP="00C410A7">
      <w:pPr>
        <w:pStyle w:val="EEALiterature"/>
      </w:pPr>
      <w:r>
        <w:lastRenderedPageBreak/>
        <w:t>Wakatsuki, T. and A. Rasyidin (1992). Rates of weathering and soil formation. Geoderma 52 (3–4): 251–263.</w:t>
      </w:r>
    </w:p>
    <w:p w14:paraId="488ED75A" w14:textId="6030489D" w:rsidR="002015C7" w:rsidRDefault="002015C7" w:rsidP="00C410A7">
      <w:pPr>
        <w:pStyle w:val="EEALiterature"/>
      </w:pPr>
      <w:r>
        <w:t>World Health Organization (‎1991</w:t>
      </w:r>
      <w:proofErr w:type="gramStart"/>
      <w:r>
        <w:t>)‎</w:t>
      </w:r>
      <w:proofErr w:type="gramEnd"/>
      <w:r>
        <w:t>. Surface water drainage for low-income communities. World Health Organization. https://apps.who.int/iris/handle/10665/39775</w:t>
      </w:r>
      <w:r w:rsidR="00BB186A">
        <w:t>.</w:t>
      </w:r>
    </w:p>
    <w:p w14:paraId="5AA140AD" w14:textId="375E9623" w:rsidR="00DD794E" w:rsidRDefault="00DD794E" w:rsidP="00C410A7">
      <w:pPr>
        <w:pStyle w:val="EEALiterature"/>
      </w:pPr>
      <w:r>
        <w:t xml:space="preserve">Zhang, Z., L. Sheng, J. Yang, X.A. Chen, L. Kong and B. Wagan (2015). Effects of Land Use and Slope Gradient on Soil Erosion in a Red Soil Hilly Watershed of Southern China. Sustainability 7: 14309-14325. </w:t>
      </w:r>
      <w:proofErr w:type="gramStart"/>
      <w:r>
        <w:t>doi:</w:t>
      </w:r>
      <w:proofErr w:type="gramEnd"/>
      <w:r>
        <w:t>10.3390/su71014309</w:t>
      </w:r>
      <w:r w:rsidR="00BB186A">
        <w:t>.</w:t>
      </w:r>
    </w:p>
    <w:p w14:paraId="56F3CB19" w14:textId="482B4460" w:rsidR="00171C00" w:rsidRDefault="00171C00" w:rsidP="00C410A7">
      <w:pPr>
        <w:pStyle w:val="EEALiterature"/>
      </w:pPr>
    </w:p>
    <w:p w14:paraId="3EEAE0FB" w14:textId="77777777" w:rsidR="00171C00" w:rsidRDefault="00171C00" w:rsidP="00C410A7">
      <w:pPr>
        <w:pStyle w:val="EEALiterature"/>
      </w:pPr>
    </w:p>
    <w:p w14:paraId="35A8156B" w14:textId="252887B4" w:rsidR="008F64E4" w:rsidRDefault="008F64E4" w:rsidP="008F64E4">
      <w:pPr>
        <w:pStyle w:val="berschrift2"/>
      </w:pPr>
      <w:bookmarkStart w:id="456" w:name="_Toc83997423"/>
      <w:r w:rsidRPr="008F64E4">
        <w:t>Soil compaction</w:t>
      </w:r>
      <w:bookmarkEnd w:id="456"/>
      <w:r w:rsidRPr="008F64E4">
        <w:t xml:space="preserve"> </w:t>
      </w:r>
    </w:p>
    <w:p w14:paraId="46441485" w14:textId="77777777" w:rsidR="004A4EFA" w:rsidRPr="00C410A7" w:rsidRDefault="004A4EFA" w:rsidP="00C410A7">
      <w:pPr>
        <w:pStyle w:val="EEALiterature"/>
      </w:pPr>
    </w:p>
    <w:p w14:paraId="4BEF1CE4" w14:textId="77777777" w:rsidR="001F6AF7" w:rsidRPr="00C410A7" w:rsidRDefault="001F6AF7" w:rsidP="00C410A7">
      <w:pPr>
        <w:pStyle w:val="EEALiterature"/>
      </w:pPr>
      <w:r w:rsidRPr="00C410A7">
        <w:t>Ad hoc AG Boden (2005): Bodenkundliche Kartieranleitung, 5. Auflage (KA5). Schweizerbart´sche Verlagsbuchhandlung, Stuttgart. A</w:t>
      </w:r>
    </w:p>
    <w:p w14:paraId="213BB9BD" w14:textId="527ACBF3" w:rsidR="00DD6A3C" w:rsidRPr="00C410A7" w:rsidRDefault="00DD6A3C" w:rsidP="00C410A7">
      <w:pPr>
        <w:pStyle w:val="EEALiterature"/>
      </w:pPr>
      <w:r w:rsidRPr="00C410A7">
        <w:t>Alaoui, A., Lipiec, J., Gerke, H.H.</w:t>
      </w:r>
      <w:r w:rsidR="00794DEC" w:rsidRPr="00C410A7">
        <w:t xml:space="preserve"> (</w:t>
      </w:r>
      <w:r w:rsidRPr="00C410A7">
        <w:t>2011</w:t>
      </w:r>
      <w:r w:rsidR="00794DEC" w:rsidRPr="00C410A7">
        <w:t>)</w:t>
      </w:r>
      <w:r w:rsidRPr="00C410A7">
        <w:t>. A review of the changes in the soil pore system due to soil deformation: A hydrodynamic perspective. Soil and Tillage Research 115–116</w:t>
      </w:r>
      <w:r w:rsidR="00794DEC" w:rsidRPr="00C410A7">
        <w:t>:</w:t>
      </w:r>
      <w:r w:rsidRPr="00C410A7">
        <w:t xml:space="preserve"> 1-15.</w:t>
      </w:r>
    </w:p>
    <w:p w14:paraId="0B514ED9" w14:textId="42FEE94A" w:rsidR="00DD6A3C" w:rsidRPr="00C410A7" w:rsidRDefault="00DD6A3C" w:rsidP="00C410A7">
      <w:pPr>
        <w:pStyle w:val="EEALiterature"/>
      </w:pPr>
      <w:r w:rsidRPr="00C410A7">
        <w:t>Augustin</w:t>
      </w:r>
      <w:proofErr w:type="gramStart"/>
      <w:r w:rsidRPr="00C410A7">
        <w:t>,K</w:t>
      </w:r>
      <w:proofErr w:type="gramEnd"/>
      <w:r w:rsidRPr="00C410A7">
        <w:t xml:space="preserve">., </w:t>
      </w:r>
      <w:r w:rsidR="00794DEC" w:rsidRPr="00C410A7">
        <w:t>M.</w:t>
      </w:r>
      <w:r w:rsidRPr="00C410A7">
        <w:t xml:space="preserve"> Kuhwald, </w:t>
      </w:r>
      <w:r w:rsidR="00794DEC" w:rsidRPr="00C410A7">
        <w:t xml:space="preserve">H. </w:t>
      </w:r>
      <w:r w:rsidRPr="00C410A7">
        <w:t>Brunotte</w:t>
      </w:r>
      <w:r w:rsidR="00794DEC" w:rsidRPr="00C410A7">
        <w:t xml:space="preserve"> and R.</w:t>
      </w:r>
      <w:r w:rsidRPr="00C410A7">
        <w:t xml:space="preserve"> Duttmann</w:t>
      </w:r>
      <w:r w:rsidR="00794DEC" w:rsidRPr="00C410A7">
        <w:t xml:space="preserve"> (</w:t>
      </w:r>
      <w:r w:rsidRPr="00C410A7">
        <w:t>2020</w:t>
      </w:r>
      <w:r w:rsidR="00794DEC" w:rsidRPr="00C410A7">
        <w:t>)</w:t>
      </w:r>
      <w:r w:rsidRPr="00C410A7">
        <w:t>. Wheel Load and Wheel Pass Frequency as Indicators for Soil Compaction Risk: A Four-Year Analysis of Traffic Intensity at Field Scale Geosciences 10</w:t>
      </w:r>
      <w:r w:rsidR="00794DEC" w:rsidRPr="00C410A7">
        <w:t>:</w:t>
      </w:r>
      <w:r w:rsidRPr="00C410A7">
        <w:t xml:space="preserve"> 292; doi</w:t>
      </w:r>
      <w:proofErr w:type="gramStart"/>
      <w:r w:rsidRPr="00C410A7">
        <w:t>:10.3390</w:t>
      </w:r>
      <w:proofErr w:type="gramEnd"/>
      <w:r w:rsidRPr="00C410A7">
        <w:t>/geosciences10080292</w:t>
      </w:r>
      <w:r w:rsidR="00F729A4" w:rsidRPr="00C410A7">
        <w:t>.</w:t>
      </w:r>
    </w:p>
    <w:p w14:paraId="08A71D0C" w14:textId="311B3E94" w:rsidR="00DD6A3C" w:rsidRPr="00C410A7" w:rsidRDefault="00DD6A3C" w:rsidP="00C410A7">
      <w:pPr>
        <w:pStyle w:val="EEALiterature"/>
      </w:pPr>
      <w:r w:rsidRPr="00C410A7">
        <w:t>Batey, T. (2009)</w:t>
      </w:r>
      <w:r w:rsidR="00F729A4" w:rsidRPr="00C410A7">
        <w:t>.</w:t>
      </w:r>
      <w:r w:rsidRPr="00C410A7">
        <w:t xml:space="preserve"> Soil compaction and soil management – a review. Soil Use and Management 25</w:t>
      </w:r>
      <w:r w:rsidR="00F729A4" w:rsidRPr="00C410A7">
        <w:t>:</w:t>
      </w:r>
      <w:r w:rsidRPr="00C410A7">
        <w:t xml:space="preserve"> 335–345.</w:t>
      </w:r>
    </w:p>
    <w:p w14:paraId="5FEC1683" w14:textId="3A88AB9B" w:rsidR="00322832" w:rsidRPr="00C410A7" w:rsidRDefault="00322832" w:rsidP="00C410A7">
      <w:pPr>
        <w:pStyle w:val="EEALiterature"/>
      </w:pPr>
      <w:r w:rsidRPr="00C410A7">
        <w:t>Beylich, A., Oberholzer, H., Schrader, R., Hoper, S., Wilke, B.M.</w:t>
      </w:r>
      <w:r w:rsidR="00AB1064" w:rsidRPr="00C410A7">
        <w:t xml:space="preserve"> (</w:t>
      </w:r>
      <w:r w:rsidRPr="00C410A7">
        <w:t>2010</w:t>
      </w:r>
      <w:r w:rsidR="00AB1064" w:rsidRPr="00C410A7">
        <w:t>)</w:t>
      </w:r>
      <w:r w:rsidRPr="00C410A7">
        <w:t>. Evaluation of soil compaction effects on soil biota and soil biological processes in soils. Soil &amp; Tillage Research 109</w:t>
      </w:r>
      <w:r w:rsidR="00AB1064" w:rsidRPr="00C410A7">
        <w:t>:</w:t>
      </w:r>
      <w:r w:rsidRPr="00C410A7">
        <w:t xml:space="preserve"> 133–143.</w:t>
      </w:r>
    </w:p>
    <w:p w14:paraId="28F0E391" w14:textId="40194ADF" w:rsidR="00DD6A3C" w:rsidRPr="00C410A7" w:rsidRDefault="00DD6A3C" w:rsidP="00C410A7">
      <w:pPr>
        <w:pStyle w:val="EEALiterature"/>
      </w:pPr>
      <w:r w:rsidRPr="00C410A7">
        <w:t>Diez T., Weigelt H. (1997)</w:t>
      </w:r>
      <w:r w:rsidR="00F729A4" w:rsidRPr="00C410A7">
        <w:t>.</w:t>
      </w:r>
      <w:r w:rsidRPr="00C410A7">
        <w:t xml:space="preserve"> Bodenstruktur erkennen und beurteilen. Bayerische Landesanstalt für Bodenkultur und Pflanzenbau (Hrsg.). Sonderdruck dlz agrarmagazin, München, 2. Geänderte Auflage.</w:t>
      </w:r>
    </w:p>
    <w:p w14:paraId="3C56EA79" w14:textId="40D551A4" w:rsidR="00DD6A3C" w:rsidRPr="00C410A7" w:rsidRDefault="00DD6A3C" w:rsidP="00C410A7">
      <w:pPr>
        <w:pStyle w:val="EEALiterature"/>
      </w:pPr>
      <w:r w:rsidRPr="00C410A7">
        <w:t>Duttmann</w:t>
      </w:r>
      <w:proofErr w:type="gramStart"/>
      <w:r w:rsidRPr="00C410A7">
        <w:t>,R</w:t>
      </w:r>
      <w:proofErr w:type="gramEnd"/>
      <w:r w:rsidRPr="00C410A7">
        <w:t xml:space="preserve">., Schwanebeck, M., Nolde,M., Horn,R. </w:t>
      </w:r>
      <w:r w:rsidR="00F729A4" w:rsidRPr="00C410A7">
        <w:t>(</w:t>
      </w:r>
      <w:r w:rsidRPr="00C410A7">
        <w:t>2014</w:t>
      </w:r>
      <w:r w:rsidR="00F729A4" w:rsidRPr="00C410A7">
        <w:t>).</w:t>
      </w:r>
      <w:r w:rsidRPr="00C410A7">
        <w:t xml:space="preserve"> Predicting Soil Compaction Risks Related to Field Traffic during Silage Maize Harvest.  Soil Science Soc. Amer. J 78</w:t>
      </w:r>
      <w:r w:rsidR="00F729A4" w:rsidRPr="00C410A7">
        <w:t xml:space="preserve"> (</w:t>
      </w:r>
      <w:r w:rsidRPr="00C410A7">
        <w:t>2</w:t>
      </w:r>
      <w:r w:rsidR="00F729A4" w:rsidRPr="00C410A7">
        <w:t>)</w:t>
      </w:r>
      <w:r w:rsidRPr="00C410A7">
        <w:t xml:space="preserve">: 408-421. </w:t>
      </w:r>
    </w:p>
    <w:p w14:paraId="2DDCA1BC" w14:textId="3AEE1303" w:rsidR="00DD6A3C" w:rsidRPr="00C410A7" w:rsidRDefault="00DD6A3C" w:rsidP="00C410A7">
      <w:pPr>
        <w:pStyle w:val="EEALiterature"/>
      </w:pPr>
      <w:r w:rsidRPr="00C410A7">
        <w:t xml:space="preserve">Gräsle, W. (1999). Numerische Simulation mechanischer, hydraulischer und gekoppelter Prozesse in Böden unter Verwendung der Finite Elemente Methode. Inst. Plant Nutrition and Soil Science: 400 pgs. ISSN: 0933-680X </w:t>
      </w:r>
    </w:p>
    <w:p w14:paraId="1073CFBD" w14:textId="6935A4C6" w:rsidR="00DD6A3C" w:rsidRPr="00C410A7" w:rsidRDefault="00DD6A3C" w:rsidP="00C410A7">
      <w:pPr>
        <w:pStyle w:val="EEALiterature"/>
      </w:pPr>
      <w:r w:rsidRPr="00C410A7">
        <w:t xml:space="preserve">Horn, R. </w:t>
      </w:r>
      <w:r w:rsidR="00D97A57" w:rsidRPr="00C410A7">
        <w:t>(</w:t>
      </w:r>
      <w:r w:rsidRPr="00C410A7">
        <w:t>2015</w:t>
      </w:r>
      <w:r w:rsidR="00D97A57" w:rsidRPr="00C410A7">
        <w:t>)</w:t>
      </w:r>
      <w:r w:rsidRPr="00C410A7">
        <w:t>.  Soil Compaction and consequences of soil deformation on changes in soil functions. 28-33</w:t>
      </w:r>
      <w:r w:rsidR="00D97A57" w:rsidRPr="00C410A7">
        <w:t>. I</w:t>
      </w:r>
      <w:r w:rsidRPr="00C410A7">
        <w:t>n</w:t>
      </w:r>
      <w:r w:rsidR="00D97A57" w:rsidRPr="00C410A7">
        <w:t>:</w:t>
      </w:r>
      <w:r w:rsidRPr="00C410A7">
        <w:t xml:space="preserve"> S.</w:t>
      </w:r>
      <w:r w:rsidR="00840AEE" w:rsidRPr="00C410A7">
        <w:t xml:space="preserve"> </w:t>
      </w:r>
      <w:r w:rsidRPr="00C410A7">
        <w:t>Nortcliff (</w:t>
      </w:r>
      <w:proofErr w:type="gramStart"/>
      <w:r w:rsidRPr="00C410A7">
        <w:t>ed</w:t>
      </w:r>
      <w:proofErr w:type="gramEnd"/>
      <w:r w:rsidRPr="00C410A7">
        <w:t>): Task Force: Soil matters- Solutions under Foot. Catena Publ. Geoecology Essays. ISBN: 978-3-923381-63-0</w:t>
      </w:r>
    </w:p>
    <w:p w14:paraId="45F54C78" w14:textId="5A8C7449" w:rsidR="00DD6A3C" w:rsidRPr="00C410A7" w:rsidRDefault="001540BB" w:rsidP="00C410A7">
      <w:pPr>
        <w:pStyle w:val="EEALiterature"/>
      </w:pPr>
      <w:r w:rsidRPr="00C410A7">
        <w:t>H</w:t>
      </w:r>
      <w:r w:rsidR="00DD6A3C" w:rsidRPr="00C410A7">
        <w:t xml:space="preserve">orn, R. </w:t>
      </w:r>
      <w:r w:rsidR="00D97A57" w:rsidRPr="00C410A7">
        <w:t>(</w:t>
      </w:r>
      <w:r w:rsidR="00DD6A3C" w:rsidRPr="00C410A7">
        <w:t>2021</w:t>
      </w:r>
      <w:r w:rsidR="00D97A57" w:rsidRPr="00C410A7">
        <w:t>)</w:t>
      </w:r>
      <w:r w:rsidR="00DD6A3C" w:rsidRPr="00C410A7">
        <w:t>.  Soils in Agricultural Engineering: Eﬀect of Land-use Management Systems on Mechanical Soil Processes. In Hydrogeology, Chemical Weathering, and Soil Formation; Hunt, A.</w:t>
      </w:r>
      <w:proofErr w:type="gramStart"/>
      <w:r w:rsidR="00DD6A3C" w:rsidRPr="00C410A7">
        <w:t>,(</w:t>
      </w:r>
      <w:proofErr w:type="gramEnd"/>
      <w:r w:rsidR="00DD6A3C" w:rsidRPr="00C410A7">
        <w:t xml:space="preserve">Ed.) Chapter 10A, 187-199; Wiley&amp;Sons: Hoboken, NJ, USA </w:t>
      </w:r>
    </w:p>
    <w:p w14:paraId="6E836405" w14:textId="0AA061E2" w:rsidR="00DD6A3C" w:rsidRPr="00C410A7" w:rsidRDefault="00DD6A3C" w:rsidP="00C410A7">
      <w:pPr>
        <w:pStyle w:val="EEALiterature"/>
      </w:pPr>
      <w:r w:rsidRPr="00C410A7">
        <w:t>Horn, R.</w:t>
      </w:r>
      <w:r w:rsidR="00D97A57" w:rsidRPr="00C410A7">
        <w:t xml:space="preserve"> and</w:t>
      </w:r>
      <w:r w:rsidRPr="00C410A7">
        <w:t xml:space="preserve"> </w:t>
      </w:r>
      <w:r w:rsidR="00D97A57" w:rsidRPr="00C410A7">
        <w:t xml:space="preserve">H. </w:t>
      </w:r>
      <w:r w:rsidRPr="00C410A7">
        <w:t xml:space="preserve">Fleige </w:t>
      </w:r>
      <w:r w:rsidR="00D97A57" w:rsidRPr="00C410A7">
        <w:t>(</w:t>
      </w:r>
      <w:r w:rsidRPr="00C410A7">
        <w:t>2003</w:t>
      </w:r>
      <w:r w:rsidR="00D97A57" w:rsidRPr="00C410A7">
        <w:t>)</w:t>
      </w:r>
      <w:r w:rsidRPr="00C410A7">
        <w:t>. A method of assessing the impact of load on mechanical stability and on physical properties of soils. Soil Till.Res. 73</w:t>
      </w:r>
      <w:r w:rsidR="00D97A57" w:rsidRPr="00C410A7">
        <w:t>:</w:t>
      </w:r>
      <w:r w:rsidRPr="00C410A7">
        <w:t xml:space="preserve"> 89 – 100</w:t>
      </w:r>
      <w:r w:rsidR="00D97A57" w:rsidRPr="00C410A7">
        <w:t>.</w:t>
      </w:r>
    </w:p>
    <w:p w14:paraId="41A0F825" w14:textId="5E3A4194" w:rsidR="00DD6A3C" w:rsidRPr="00C410A7" w:rsidRDefault="00DD6A3C" w:rsidP="00C410A7">
      <w:pPr>
        <w:pStyle w:val="EEALiterature"/>
      </w:pPr>
      <w:r w:rsidRPr="00C410A7">
        <w:t>Horn, R.</w:t>
      </w:r>
      <w:r w:rsidR="003C4390" w:rsidRPr="00C410A7">
        <w:t xml:space="preserve"> and H.</w:t>
      </w:r>
      <w:r w:rsidRPr="00C410A7">
        <w:t xml:space="preserve"> Fleige</w:t>
      </w:r>
      <w:r w:rsidR="003C4390" w:rsidRPr="00C410A7">
        <w:t xml:space="preserve"> (</w:t>
      </w:r>
      <w:r w:rsidRPr="00C410A7">
        <w:t>2009</w:t>
      </w:r>
      <w:r w:rsidR="003C4390" w:rsidRPr="00C410A7">
        <w:t>)</w:t>
      </w:r>
      <w:r w:rsidRPr="00C410A7">
        <w:t>. Risk assessment of subsoil compaction for arable soils in Northwest Germany at farm scale. Soil &amp; Tillage Research 102</w:t>
      </w:r>
      <w:r w:rsidR="003C4390" w:rsidRPr="00C410A7">
        <w:t>:</w:t>
      </w:r>
      <w:r w:rsidRPr="00C410A7">
        <w:t xml:space="preserve"> 201–208. </w:t>
      </w:r>
    </w:p>
    <w:p w14:paraId="575C85AC" w14:textId="7E4BFFB3" w:rsidR="00DD6A3C" w:rsidRPr="00C410A7" w:rsidRDefault="00DD6A3C" w:rsidP="00C410A7">
      <w:pPr>
        <w:pStyle w:val="EEALiterature"/>
      </w:pPr>
      <w:r w:rsidRPr="00C410A7">
        <w:t>Horn</w:t>
      </w:r>
      <w:proofErr w:type="gramStart"/>
      <w:r w:rsidRPr="00C410A7">
        <w:t>,R</w:t>
      </w:r>
      <w:proofErr w:type="gramEnd"/>
      <w:r w:rsidRPr="00C410A7">
        <w:t>.</w:t>
      </w:r>
      <w:r w:rsidR="003C4390" w:rsidRPr="00C410A7">
        <w:t xml:space="preserve"> and</w:t>
      </w:r>
      <w:r w:rsidRPr="00C410A7">
        <w:t xml:space="preserve"> H.</w:t>
      </w:r>
      <w:r w:rsidR="003C4390" w:rsidRPr="00C410A7">
        <w:t xml:space="preserve"> </w:t>
      </w:r>
      <w:r w:rsidRPr="00C410A7">
        <w:t xml:space="preserve">Fleige </w:t>
      </w:r>
      <w:r w:rsidR="003C4390" w:rsidRPr="00C410A7">
        <w:t>(</w:t>
      </w:r>
      <w:r w:rsidRPr="00C410A7">
        <w:t>2011</w:t>
      </w:r>
      <w:r w:rsidR="003C4390" w:rsidRPr="00C410A7">
        <w:t>).</w:t>
      </w:r>
      <w:r w:rsidRPr="00C410A7">
        <w:t xml:space="preserve"> Subsoil compaction. 870-873. In: Glinski, Horabik und Lipiec (</w:t>
      </w:r>
      <w:proofErr w:type="gramStart"/>
      <w:r w:rsidRPr="00C410A7">
        <w:t>eds</w:t>
      </w:r>
      <w:proofErr w:type="gramEnd"/>
      <w:r w:rsidRPr="00C410A7">
        <w:t>) Encyclopedia of Agrophysics. Springer Verlag, Dordrecht, ISBN: 978-90-481-3584-4</w:t>
      </w:r>
      <w:r w:rsidR="003C4390" w:rsidRPr="00C410A7">
        <w:t>.</w:t>
      </w:r>
    </w:p>
    <w:p w14:paraId="1380F659" w14:textId="7E14C810" w:rsidR="00DD6A3C" w:rsidRPr="00C410A7" w:rsidRDefault="00DD6A3C" w:rsidP="00C410A7">
      <w:pPr>
        <w:pStyle w:val="EEALiterature"/>
      </w:pPr>
      <w:r w:rsidRPr="00C410A7">
        <w:t>Horn, R. und S.</w:t>
      </w:r>
      <w:r w:rsidR="003C4390" w:rsidRPr="00C410A7">
        <w:t xml:space="preserve"> </w:t>
      </w:r>
      <w:r w:rsidRPr="00C410A7">
        <w:t xml:space="preserve">Peth </w:t>
      </w:r>
      <w:r w:rsidR="003C4390" w:rsidRPr="00C410A7">
        <w:t>(</w:t>
      </w:r>
      <w:r w:rsidRPr="00C410A7">
        <w:t>2011</w:t>
      </w:r>
      <w:r w:rsidR="003C4390" w:rsidRPr="00C410A7">
        <w:t>).</w:t>
      </w:r>
      <w:r w:rsidRPr="00C410A7">
        <w:t xml:space="preserve"> Mechanics of Unsaturated Soils for Agricultural Applications. Chapter 3. 31 pages in: Huang</w:t>
      </w:r>
      <w:proofErr w:type="gramStart"/>
      <w:r w:rsidRPr="00C410A7">
        <w:t>,Li,Sumner</w:t>
      </w:r>
      <w:proofErr w:type="gramEnd"/>
      <w:r w:rsidRPr="00C410A7">
        <w:t xml:space="preserve"> (eds). Handbook of Soil Sciences, 2nd. Ed. Taylor and </w:t>
      </w:r>
      <w:proofErr w:type="gramStart"/>
      <w:r w:rsidRPr="00C410A7">
        <w:t>Francis ,</w:t>
      </w:r>
      <w:proofErr w:type="gramEnd"/>
      <w:r w:rsidRPr="00C410A7">
        <w:t xml:space="preserve"> Kap.3, 1-30, ISBN: 978-1-4398-0305-9</w:t>
      </w:r>
      <w:r w:rsidR="003C4390" w:rsidRPr="00C410A7">
        <w:t>.</w:t>
      </w:r>
    </w:p>
    <w:p w14:paraId="55776629" w14:textId="74D5165F" w:rsidR="00DD6A3C" w:rsidRPr="00C410A7" w:rsidRDefault="00DD6A3C" w:rsidP="00C410A7">
      <w:pPr>
        <w:pStyle w:val="EEALiterature"/>
      </w:pPr>
      <w:r w:rsidRPr="00C410A7">
        <w:t>Horn</w:t>
      </w:r>
      <w:proofErr w:type="gramStart"/>
      <w:r w:rsidRPr="00C410A7">
        <w:t>,R</w:t>
      </w:r>
      <w:proofErr w:type="gramEnd"/>
      <w:r w:rsidRPr="00C410A7">
        <w:t xml:space="preserve">., M.Lebert and N.Burger </w:t>
      </w:r>
      <w:r w:rsidR="003C4390" w:rsidRPr="00C410A7">
        <w:t>(</w:t>
      </w:r>
      <w:r w:rsidRPr="00C410A7">
        <w:t>1989</w:t>
      </w:r>
      <w:r w:rsidR="003C4390" w:rsidRPr="00C410A7">
        <w:t>).</w:t>
      </w:r>
      <w:r w:rsidRPr="00C410A7">
        <w:t xml:space="preserve"> Prediction of the mechanical strength of arable soils based on laboratory and in situ measurements. (</w:t>
      </w:r>
      <w:proofErr w:type="gramStart"/>
      <w:r w:rsidRPr="00C410A7">
        <w:t>in</w:t>
      </w:r>
      <w:proofErr w:type="gramEnd"/>
      <w:r w:rsidRPr="00C410A7">
        <w:t xml:space="preserve"> German, with English summary and captures) Vorhersage der mechanischen Belastbarkeit von Böden </w:t>
      </w:r>
      <w:proofErr w:type="gramStart"/>
      <w:r w:rsidRPr="00C410A7">
        <w:t>als</w:t>
      </w:r>
      <w:proofErr w:type="gramEnd"/>
      <w:r w:rsidRPr="00C410A7">
        <w:t xml:space="preserve"> Pflanzenstandort auf der Grundlage von Labor- and in situ Messungen. Abschlußbericht Bayer. StMLU Bewilligungs-Nr. 6333-972-57238, 178 S.</w:t>
      </w:r>
    </w:p>
    <w:p w14:paraId="609704B7" w14:textId="16BED253" w:rsidR="00DD6A3C" w:rsidRPr="00C410A7" w:rsidRDefault="00DD6A3C" w:rsidP="00C410A7">
      <w:pPr>
        <w:pStyle w:val="EEALiterature"/>
      </w:pPr>
      <w:r w:rsidRPr="00C410A7">
        <w:t>Horn, R., H. Fleige, F.-H. Richter, E. A. Czyz, A. Dexter, E. Diaz-Pereira, E. Dumitru, R. Enarche, Mayol, F., K. Rajkai , D. De la Rosa, C. Simota (2005)</w:t>
      </w:r>
      <w:r w:rsidR="003C4390" w:rsidRPr="00C410A7">
        <w:t>.</w:t>
      </w:r>
      <w:r w:rsidRPr="00C410A7">
        <w:t xml:space="preserve"> SIDASS project part 5: Prediction of mechanical strength of </w:t>
      </w:r>
      <w:r w:rsidRPr="00C410A7">
        <w:lastRenderedPageBreak/>
        <w:t>arable soils and its effects on physical properties at various map scales. Soil and Tillage Res.82</w:t>
      </w:r>
      <w:r w:rsidR="003C4390" w:rsidRPr="00C410A7">
        <w:t>:</w:t>
      </w:r>
      <w:r w:rsidRPr="00C410A7">
        <w:t xml:space="preserve"> 47-56</w:t>
      </w:r>
    </w:p>
    <w:p w14:paraId="1C9CC7CF" w14:textId="2E4D9BD8" w:rsidR="00DD6A3C" w:rsidRPr="00C410A7" w:rsidRDefault="00DD6A3C" w:rsidP="00C410A7">
      <w:pPr>
        <w:pStyle w:val="EEALiterature"/>
      </w:pPr>
      <w:r w:rsidRPr="00C410A7">
        <w:t xml:space="preserve">Horn R., Peng X., Fleige H. &amp; Dörner J. </w:t>
      </w:r>
      <w:r w:rsidR="003C4390" w:rsidRPr="00C410A7">
        <w:t>(</w:t>
      </w:r>
      <w:r w:rsidRPr="00C410A7">
        <w:t>2014</w:t>
      </w:r>
      <w:r w:rsidR="003C4390" w:rsidRPr="00C410A7">
        <w:t>).</w:t>
      </w:r>
      <w:r w:rsidRPr="00C410A7">
        <w:t xml:space="preserve"> Pore rigidity in structured soils—only a theoretical boundary condition for hydraulic properties? Soil Science and Plant Nutrition 60</w:t>
      </w:r>
      <w:r w:rsidR="003C4390" w:rsidRPr="00C410A7">
        <w:t>:</w:t>
      </w:r>
      <w:r w:rsidRPr="00C410A7">
        <w:t xml:space="preserve"> 3-14</w:t>
      </w:r>
      <w:r w:rsidR="003C4390" w:rsidRPr="00C410A7">
        <w:t>.</w:t>
      </w:r>
    </w:p>
    <w:p w14:paraId="45AA162F" w14:textId="08A7954E" w:rsidR="00DD6A3C" w:rsidRPr="00C410A7" w:rsidRDefault="00DD6A3C" w:rsidP="00C410A7">
      <w:pPr>
        <w:pStyle w:val="EEALiterature"/>
      </w:pPr>
      <w:r w:rsidRPr="00C410A7">
        <w:t>Horn, R.</w:t>
      </w:r>
      <w:r w:rsidR="003C4390" w:rsidRPr="00C410A7">
        <w:t>,</w:t>
      </w:r>
      <w:r w:rsidRPr="00C410A7">
        <w:t xml:space="preserve"> </w:t>
      </w:r>
      <w:r w:rsidR="003C4390" w:rsidRPr="00C410A7">
        <w:t xml:space="preserve">A. </w:t>
      </w:r>
      <w:r w:rsidRPr="00C410A7">
        <w:t xml:space="preserve">Mordhorst, </w:t>
      </w:r>
      <w:r w:rsidR="003C4390" w:rsidRPr="00C410A7">
        <w:t>H.</w:t>
      </w:r>
      <w:r w:rsidRPr="00C410A7">
        <w:t xml:space="preserve"> Fleige, </w:t>
      </w:r>
      <w:r w:rsidR="003C4390" w:rsidRPr="00C410A7">
        <w:t>I.</w:t>
      </w:r>
      <w:r w:rsidRPr="00C410A7">
        <w:t xml:space="preserve"> Zimmermann, </w:t>
      </w:r>
      <w:r w:rsidR="003C4390" w:rsidRPr="00C410A7">
        <w:t>B.</w:t>
      </w:r>
      <w:r w:rsidRPr="00C410A7">
        <w:t xml:space="preserve"> Burbaum, </w:t>
      </w:r>
      <w:r w:rsidR="003C4390" w:rsidRPr="00C410A7">
        <w:t>M.</w:t>
      </w:r>
      <w:r w:rsidRPr="00C410A7">
        <w:t xml:space="preserve"> Filipinski</w:t>
      </w:r>
      <w:r w:rsidR="003C4390" w:rsidRPr="00C410A7">
        <w:t xml:space="preserve"> and</w:t>
      </w:r>
      <w:r w:rsidRPr="00C410A7">
        <w:t xml:space="preserve"> </w:t>
      </w:r>
      <w:r w:rsidR="003C4390" w:rsidRPr="00C410A7">
        <w:t>E.</w:t>
      </w:r>
      <w:r w:rsidRPr="00C410A7">
        <w:t xml:space="preserve"> Cordsen</w:t>
      </w:r>
      <w:r w:rsidR="003C4390" w:rsidRPr="00C410A7">
        <w:t xml:space="preserve"> (</w:t>
      </w:r>
      <w:r w:rsidRPr="00C410A7">
        <w:t>2019</w:t>
      </w:r>
      <w:r w:rsidR="003C4390" w:rsidRPr="00C410A7">
        <w:t>)</w:t>
      </w:r>
      <w:r w:rsidRPr="00C410A7">
        <w:t>. Soil type and land use effects on tensorial properties of saturated hydraulic conductivity in Northern Germany European Journal of Soil Science. DOI: 10.1111/ejss.12864</w:t>
      </w:r>
    </w:p>
    <w:p w14:paraId="186277B5" w14:textId="77777777" w:rsidR="00BA32D8" w:rsidRPr="00C410A7" w:rsidRDefault="00BA32D8" w:rsidP="00C410A7">
      <w:pPr>
        <w:pStyle w:val="EEALiterature"/>
      </w:pPr>
      <w:r w:rsidRPr="00C410A7">
        <w:t>Huber, S., Prokop, G., Arrouays, D., Banko, G., Bispo, A., Jones, R.J.A., Kibblewhite, M.G., Lexer, W., Möller, A., Rickson, R.J., Shishkov, T., Stephens, M., Toth, G. Van den Akker, J.J.H., Varallyay, G., Verheijen, F.G.A. &amp; Jones, A.R. (eds) (2008). Environmental Assessment of Soil for Monitoring: Volume I Indicators &amp; Criteria. EUR23490 EN/1, Office for the Official Publications of the European Communities, Luxembourg, 339pp.</w:t>
      </w:r>
    </w:p>
    <w:p w14:paraId="5796D810" w14:textId="54E4A035" w:rsidR="00DD6A3C" w:rsidRPr="00C410A7" w:rsidRDefault="001240F9" w:rsidP="00C410A7">
      <w:pPr>
        <w:pStyle w:val="EEALiterature"/>
      </w:pPr>
      <w:r w:rsidRPr="00C410A7">
        <w:t xml:space="preserve">Jones, R.J.A., G. Spoor and A.J. Thomasson </w:t>
      </w:r>
      <w:r w:rsidR="00DD6A3C" w:rsidRPr="00C410A7">
        <w:t>(2003)</w:t>
      </w:r>
      <w:r w:rsidR="003C4390" w:rsidRPr="00C410A7">
        <w:t>.</w:t>
      </w:r>
      <w:r w:rsidR="00DD6A3C" w:rsidRPr="00C410A7">
        <w:t xml:space="preserve"> Vulnerability of subsoils in Europe to compaction: a preliminary analysis. Soil and Tillage Research 73</w:t>
      </w:r>
      <w:r w:rsidR="003C4390" w:rsidRPr="00C410A7">
        <w:t>:</w:t>
      </w:r>
      <w:r w:rsidR="00DD6A3C" w:rsidRPr="00C410A7">
        <w:t xml:space="preserve"> 131–143 </w:t>
      </w:r>
    </w:p>
    <w:p w14:paraId="5E120E18" w14:textId="6AECB55F" w:rsidR="00636A4B" w:rsidRPr="00C410A7" w:rsidRDefault="00636A4B" w:rsidP="00C410A7">
      <w:pPr>
        <w:pStyle w:val="EEALiterature"/>
      </w:pPr>
      <w:r w:rsidRPr="00C410A7">
        <w:t xml:space="preserve">Jones, </w:t>
      </w:r>
      <w:r w:rsidR="009F794E" w:rsidRPr="00C410A7">
        <w:t>A., P</w:t>
      </w:r>
      <w:r w:rsidR="00751C26" w:rsidRPr="00C410A7">
        <w:t>.</w:t>
      </w:r>
      <w:r w:rsidR="009F794E" w:rsidRPr="00C410A7">
        <w:t xml:space="preserve"> Panagos, S</w:t>
      </w:r>
      <w:r w:rsidR="00751C26" w:rsidRPr="00C410A7">
        <w:t>.</w:t>
      </w:r>
      <w:r w:rsidR="009F794E" w:rsidRPr="00C410A7">
        <w:t xml:space="preserve"> Barcelo, F</w:t>
      </w:r>
      <w:r w:rsidR="00751C26" w:rsidRPr="00C410A7">
        <w:t>.</w:t>
      </w:r>
      <w:r w:rsidR="009F794E" w:rsidRPr="00C410A7">
        <w:t xml:space="preserve"> Bouraoui, C</w:t>
      </w:r>
      <w:r w:rsidR="00751C26" w:rsidRPr="00C410A7">
        <w:t>.</w:t>
      </w:r>
      <w:r w:rsidR="009F794E" w:rsidRPr="00C410A7">
        <w:t xml:space="preserve"> Bosco, O</w:t>
      </w:r>
      <w:r w:rsidR="00751C26" w:rsidRPr="00C410A7">
        <w:t>.</w:t>
      </w:r>
      <w:r w:rsidR="009F794E" w:rsidRPr="00C410A7">
        <w:t xml:space="preserve"> Dewitte, C</w:t>
      </w:r>
      <w:r w:rsidR="00751C26" w:rsidRPr="00C410A7">
        <w:t xml:space="preserve">. </w:t>
      </w:r>
      <w:r w:rsidR="009F794E" w:rsidRPr="00C410A7">
        <w:t xml:space="preserve">Gardi, </w:t>
      </w:r>
      <w:r w:rsidR="00204DED" w:rsidRPr="00C410A7">
        <w:t xml:space="preserve">M. Erhard, </w:t>
      </w:r>
      <w:r w:rsidR="009F794E" w:rsidRPr="00C410A7">
        <w:t>J</w:t>
      </w:r>
      <w:r w:rsidR="00751C26" w:rsidRPr="00C410A7">
        <w:t>.</w:t>
      </w:r>
      <w:r w:rsidR="009F794E" w:rsidRPr="00C410A7">
        <w:t xml:space="preserve"> Hervás, R</w:t>
      </w:r>
      <w:r w:rsidR="00751C26" w:rsidRPr="00C410A7">
        <w:t>.</w:t>
      </w:r>
      <w:r w:rsidR="009F794E" w:rsidRPr="00C410A7">
        <w:t xml:space="preserve"> Hiederer, S</w:t>
      </w:r>
      <w:r w:rsidR="00751C26" w:rsidRPr="00C410A7">
        <w:t xml:space="preserve">. </w:t>
      </w:r>
      <w:r w:rsidR="009F794E" w:rsidRPr="00C410A7">
        <w:t xml:space="preserve">Jeffery, </w:t>
      </w:r>
      <w:r w:rsidR="0096466C" w:rsidRPr="00C410A7">
        <w:t xml:space="preserve">A. Lükewille, L. Marmo, </w:t>
      </w:r>
      <w:r w:rsidR="009F794E" w:rsidRPr="00C410A7">
        <w:t>L</w:t>
      </w:r>
      <w:r w:rsidR="00751C26" w:rsidRPr="00C410A7">
        <w:t>.</w:t>
      </w:r>
      <w:r w:rsidR="009F794E" w:rsidRPr="00C410A7">
        <w:t xml:space="preserve"> Montanarella, </w:t>
      </w:r>
      <w:r w:rsidR="0096466C" w:rsidRPr="00C410A7">
        <w:t xml:space="preserve">C. Olazábal, J.E. Petersen, </w:t>
      </w:r>
      <w:r w:rsidR="009F794E" w:rsidRPr="00C410A7">
        <w:t>V</w:t>
      </w:r>
      <w:r w:rsidR="00751C26" w:rsidRPr="00C410A7">
        <w:t>.</w:t>
      </w:r>
      <w:r w:rsidR="009F794E" w:rsidRPr="00C410A7">
        <w:t xml:space="preserve"> Penizek, </w:t>
      </w:r>
      <w:r w:rsidR="0096466C" w:rsidRPr="00C410A7">
        <w:t xml:space="preserve">T. Strassburger, </w:t>
      </w:r>
      <w:r w:rsidR="009F794E" w:rsidRPr="00C410A7">
        <w:t>G</w:t>
      </w:r>
      <w:r w:rsidR="00751C26" w:rsidRPr="00C410A7">
        <w:t xml:space="preserve">. </w:t>
      </w:r>
      <w:r w:rsidR="009F794E" w:rsidRPr="00C410A7">
        <w:t>Tóth, M</w:t>
      </w:r>
      <w:r w:rsidR="00751C26" w:rsidRPr="00C410A7">
        <w:t>.</w:t>
      </w:r>
      <w:r w:rsidR="009F794E" w:rsidRPr="00C410A7">
        <w:t xml:space="preserve"> Van Den Eeckhaut, M</w:t>
      </w:r>
      <w:r w:rsidR="00751C26" w:rsidRPr="00C410A7">
        <w:t>.</w:t>
      </w:r>
      <w:r w:rsidR="009F794E" w:rsidRPr="00C410A7">
        <w:t xml:space="preserve"> Van Liedekerke, F</w:t>
      </w:r>
      <w:r w:rsidR="00751C26" w:rsidRPr="00C410A7">
        <w:t>.</w:t>
      </w:r>
      <w:r w:rsidR="009F794E" w:rsidRPr="00C410A7">
        <w:t xml:space="preserve"> Verheijen</w:t>
      </w:r>
      <w:r w:rsidR="0096466C" w:rsidRPr="00C410A7">
        <w:t>, E. Viestova</w:t>
      </w:r>
      <w:r w:rsidR="00751C26" w:rsidRPr="00C410A7">
        <w:t xml:space="preserve"> and</w:t>
      </w:r>
      <w:r w:rsidR="009F794E" w:rsidRPr="00C410A7">
        <w:t xml:space="preserve"> Y</w:t>
      </w:r>
      <w:r w:rsidR="00751C26" w:rsidRPr="00C410A7">
        <w:t>.</w:t>
      </w:r>
      <w:r w:rsidR="009F794E" w:rsidRPr="00C410A7">
        <w:t xml:space="preserve"> Yigini</w:t>
      </w:r>
      <w:r w:rsidR="00751C26" w:rsidRPr="00C410A7">
        <w:t xml:space="preserve"> (2012). </w:t>
      </w:r>
      <w:r w:rsidR="002D115C" w:rsidRPr="00C410A7">
        <w:t>The State of Soil in Europe. A contribution of the JRC to the European Environment Agency’s Environment State and Outlook Report— SOER 2010.</w:t>
      </w:r>
      <w:r w:rsidR="001B2DDA" w:rsidRPr="00C410A7">
        <w:t xml:space="preserve"> EUR 25186 EN. </w:t>
      </w:r>
      <w:proofErr w:type="gramStart"/>
      <w:r w:rsidR="001B2DDA" w:rsidRPr="00C410A7">
        <w:t>doi</w:t>
      </w:r>
      <w:proofErr w:type="gramEnd"/>
      <w:r w:rsidR="001B2DDA" w:rsidRPr="00C410A7">
        <w:t>: 10.2788/77361. Luxembourg: Publications Office of the European Union, 2012.</w:t>
      </w:r>
    </w:p>
    <w:p w14:paraId="7DB4F60D" w14:textId="4E3A64D5" w:rsidR="00DD6A3C" w:rsidRPr="00C410A7" w:rsidRDefault="00A25511" w:rsidP="00C410A7">
      <w:pPr>
        <w:pStyle w:val="EEALiterature"/>
      </w:pPr>
      <w:r w:rsidRPr="00C410A7">
        <w:t>Ad hoc AG Boden</w:t>
      </w:r>
      <w:r w:rsidR="00DD6A3C" w:rsidRPr="00C410A7">
        <w:t xml:space="preserve"> (2005): Bodenkundliche Kartieranleitung, 5. Auflage</w:t>
      </w:r>
      <w:r w:rsidRPr="00C410A7">
        <w:t xml:space="preserve"> (KA5).</w:t>
      </w:r>
      <w:r w:rsidR="00DD6A3C" w:rsidRPr="00C410A7">
        <w:t xml:space="preserve"> Schweizerbart´sche Verlagsbuchhandlung, Stuttgart. </w:t>
      </w:r>
    </w:p>
    <w:p w14:paraId="22505A4B" w14:textId="77777777" w:rsidR="00DD6A3C" w:rsidRPr="00C410A7" w:rsidRDefault="00DD6A3C" w:rsidP="00C410A7">
      <w:pPr>
        <w:pStyle w:val="EEALiterature"/>
      </w:pPr>
      <w:r w:rsidRPr="00C410A7">
        <w:t>Keller, T., Défossez, P. Weisskopf, P.</w:t>
      </w:r>
      <w:proofErr w:type="gramStart"/>
      <w:r w:rsidRPr="00C410A7">
        <w:t>,Arvidsson</w:t>
      </w:r>
      <w:proofErr w:type="gramEnd"/>
      <w:r w:rsidRPr="00C410A7">
        <w:t>, J.Richard, G. (2007). "SoilFlex: A model for prediction of soil stresses and soil compaction due to agricultural field traffic including a synthesis of analytical approaches." Soil and Tillage Research 93(2): 391-411.</w:t>
      </w:r>
    </w:p>
    <w:p w14:paraId="7FA4B59A" w14:textId="6D3843A8" w:rsidR="00DD6A3C" w:rsidRPr="00C410A7" w:rsidRDefault="00DD6A3C" w:rsidP="00C410A7">
      <w:pPr>
        <w:pStyle w:val="EEALiterature"/>
      </w:pPr>
      <w:r w:rsidRPr="00C410A7">
        <w:t>Keller, T., Sandin, M., Colombi, T., Horn, R., Or, D.</w:t>
      </w:r>
      <w:r w:rsidR="00697353" w:rsidRPr="00C410A7">
        <w:t xml:space="preserve"> (</w:t>
      </w:r>
      <w:r w:rsidRPr="00C410A7">
        <w:t>2019</w:t>
      </w:r>
      <w:r w:rsidR="00697353" w:rsidRPr="00C410A7">
        <w:t>)</w:t>
      </w:r>
      <w:r w:rsidRPr="00C410A7">
        <w:t>. Historical evolution of soil stress levels and consequences for soil functioning. Soil &amp; Tillage Research 194</w:t>
      </w:r>
      <w:r w:rsidR="00697353" w:rsidRPr="00C410A7">
        <w:t>:</w:t>
      </w:r>
      <w:r w:rsidRPr="00C410A7">
        <w:t xml:space="preserve"> 1.19</w:t>
      </w:r>
    </w:p>
    <w:p w14:paraId="57DAAC3F" w14:textId="3D77D53A" w:rsidR="00053082" w:rsidRPr="00C410A7" w:rsidRDefault="00053082" w:rsidP="00C410A7">
      <w:pPr>
        <w:pStyle w:val="EEALiterature"/>
      </w:pPr>
      <w:r w:rsidRPr="00C410A7">
        <w:t>Koue, P. M., T. Balstrøm and H. Breuning-Madsen (2008). Update of the European Soil analytical database (SPADE-1) to version</w:t>
      </w:r>
      <w:r w:rsidR="00F9386F" w:rsidRPr="00C410A7">
        <w:t xml:space="preserve"> SPADE-8. Report to the European Soil Bureau, EC Joint Research Centre, Ispra, Italy, 2008.</w:t>
      </w:r>
    </w:p>
    <w:p w14:paraId="2C9221BA" w14:textId="34AE2EE3" w:rsidR="00DD6A3C" w:rsidRPr="00C410A7" w:rsidRDefault="00DD6A3C" w:rsidP="00C410A7">
      <w:pPr>
        <w:pStyle w:val="EEALiterature"/>
      </w:pPr>
      <w:r w:rsidRPr="00C410A7">
        <w:t>Lebert, M., Böken, H., Glante, F.</w:t>
      </w:r>
      <w:r w:rsidR="00697353" w:rsidRPr="00C410A7">
        <w:t xml:space="preserve"> (</w:t>
      </w:r>
      <w:r w:rsidRPr="00C410A7">
        <w:t>2007</w:t>
      </w:r>
      <w:r w:rsidR="00697353" w:rsidRPr="00C410A7">
        <w:t>)</w:t>
      </w:r>
      <w:r w:rsidRPr="00C410A7">
        <w:t>. Soil compaction-indicators for the assessment of harmful changes to the soil in the context of the German Federal Soil Protection Act Journal of Environmental Management 82(3)</w:t>
      </w:r>
      <w:r w:rsidR="00697353" w:rsidRPr="00C410A7">
        <w:t>:</w:t>
      </w:r>
      <w:r w:rsidRPr="00C410A7">
        <w:t xml:space="preserve"> 388–97.</w:t>
      </w:r>
    </w:p>
    <w:p w14:paraId="7D24A420" w14:textId="06BB9B49" w:rsidR="00DD6A3C" w:rsidRPr="00C410A7" w:rsidRDefault="00DD6A3C" w:rsidP="00C410A7">
      <w:pPr>
        <w:pStyle w:val="EEALiterature"/>
      </w:pPr>
      <w:r w:rsidRPr="00C410A7">
        <w:t>Lebert, M.</w:t>
      </w:r>
      <w:r w:rsidR="00697353" w:rsidRPr="00C410A7">
        <w:t xml:space="preserve"> (</w:t>
      </w:r>
      <w:r w:rsidRPr="00C410A7">
        <w:t>2010</w:t>
      </w:r>
      <w:r w:rsidR="00697353" w:rsidRPr="00C410A7">
        <w:t>).</w:t>
      </w:r>
      <w:r w:rsidRPr="00C410A7">
        <w:t xml:space="preserve"> Entwicklung eines Prüfkonzeptes zur Erfassung der tatsächlichen Verdichtungsgefährdung landwirtschaftlich genutzter Böden. UBA Text 51/2010 Förderkennzeichen 3707 71 202 UBA-FB 001417. http://www.uba.de/uba-info-medien/4027.html</w:t>
      </w:r>
    </w:p>
    <w:p w14:paraId="01B94B60" w14:textId="49047044" w:rsidR="00DD6A3C" w:rsidRPr="00C410A7" w:rsidRDefault="00DD6A3C" w:rsidP="00C410A7">
      <w:pPr>
        <w:pStyle w:val="EEALiterature"/>
      </w:pPr>
      <w:r w:rsidRPr="00C410A7">
        <w:t>Mordhorst, A. H. Fleige, B. Burbaum, M. Filipinski, R. Horn (2020)</w:t>
      </w:r>
      <w:r w:rsidR="00697353" w:rsidRPr="00C410A7">
        <w:t>.</w:t>
      </w:r>
      <w:r w:rsidRPr="00C410A7">
        <w:t xml:space="preserve"> Natural and anthropogenic </w:t>
      </w:r>
      <w:r w:rsidR="00F9386F" w:rsidRPr="00C410A7">
        <w:t>compaction</w:t>
      </w:r>
      <w:r w:rsidRPr="00C410A7">
        <w:t xml:space="preserve"> in North Germany (Schleswig‐Holstein): verification of harmful subsoil compactions. Soil Use and Management</w:t>
      </w:r>
      <w:r w:rsidR="00D833A3" w:rsidRPr="00C410A7">
        <w:t xml:space="preserve"> 37: 556-</w:t>
      </w:r>
      <w:r w:rsidR="006C3379" w:rsidRPr="00C410A7">
        <w:t>569</w:t>
      </w:r>
      <w:r w:rsidRPr="00C410A7">
        <w:t>. https:// doi.org/10.1111/sum.12631</w:t>
      </w:r>
      <w:r w:rsidR="006C3379" w:rsidRPr="00C410A7">
        <w:t xml:space="preserve"> </w:t>
      </w:r>
      <w:r w:rsidRPr="00C410A7">
        <w:t xml:space="preserve"> </w:t>
      </w:r>
    </w:p>
    <w:p w14:paraId="3C8D5D25" w14:textId="2AD9E525" w:rsidR="00DD6A3C" w:rsidRPr="00C410A7" w:rsidRDefault="00DD6A3C" w:rsidP="00C410A7">
      <w:pPr>
        <w:pStyle w:val="EEALiterature"/>
      </w:pPr>
      <w:r w:rsidRPr="00C410A7">
        <w:t>Richards,</w:t>
      </w:r>
      <w:r w:rsidR="00310CFB" w:rsidRPr="00C410A7">
        <w:t xml:space="preserve"> </w:t>
      </w:r>
      <w:r w:rsidRPr="00C410A7">
        <w:t>B.G., T.</w:t>
      </w:r>
      <w:r w:rsidR="00310CFB" w:rsidRPr="00C410A7">
        <w:t xml:space="preserve"> </w:t>
      </w:r>
      <w:r w:rsidRPr="00C410A7">
        <w:t>Baumgartl, R.</w:t>
      </w:r>
      <w:r w:rsidR="00310CFB" w:rsidRPr="00C410A7">
        <w:t xml:space="preserve"> </w:t>
      </w:r>
      <w:r w:rsidRPr="00C410A7">
        <w:t>Horn and W.</w:t>
      </w:r>
      <w:r w:rsidR="00310CFB" w:rsidRPr="00C410A7">
        <w:t xml:space="preserve"> </w:t>
      </w:r>
      <w:r w:rsidRPr="00C410A7">
        <w:t xml:space="preserve">Gräsle </w:t>
      </w:r>
      <w:r w:rsidR="00310CFB" w:rsidRPr="00C410A7">
        <w:t>(</w:t>
      </w:r>
      <w:r w:rsidRPr="00C410A7">
        <w:t>1997</w:t>
      </w:r>
      <w:r w:rsidR="00A1455D" w:rsidRPr="00C410A7">
        <w:t>).</w:t>
      </w:r>
      <w:r w:rsidRPr="00C410A7">
        <w:t xml:space="preserve"> Modelling soil strength and soil compressibility of arable soils by FEM (finite element model). International Agrophysics 11</w:t>
      </w:r>
      <w:r w:rsidR="00A1455D" w:rsidRPr="00C410A7">
        <w:t>:</w:t>
      </w:r>
      <w:r w:rsidRPr="00C410A7">
        <w:t xml:space="preserve"> 68-79</w:t>
      </w:r>
      <w:r w:rsidR="00A1455D" w:rsidRPr="00C410A7">
        <w:t>.</w:t>
      </w:r>
    </w:p>
    <w:p w14:paraId="163B21EC" w14:textId="77777777" w:rsidR="00DD6A3C" w:rsidRPr="00C410A7" w:rsidRDefault="00DD6A3C" w:rsidP="00C410A7">
      <w:pPr>
        <w:pStyle w:val="EEALiterature"/>
      </w:pPr>
      <w:r w:rsidRPr="00C410A7">
        <w:t>Richards, B., Peth, S., 2006. Modelling soil physical behaviour with particular reference to soil science Proceedings of ISTRO 17, 1-15 (ISBN 3-9811134-0-3)102, 216–224.</w:t>
      </w:r>
    </w:p>
    <w:p w14:paraId="75911E2B" w14:textId="5CD7B4ED" w:rsidR="00DD6A3C" w:rsidRPr="00C410A7" w:rsidRDefault="00DD6A3C" w:rsidP="00C410A7">
      <w:pPr>
        <w:pStyle w:val="EEALiterature"/>
      </w:pPr>
      <w:r w:rsidRPr="00C410A7">
        <w:t>Riggert,</w:t>
      </w:r>
      <w:r w:rsidR="00A1455D" w:rsidRPr="00C410A7">
        <w:t xml:space="preserve"> </w:t>
      </w:r>
      <w:r w:rsidRPr="00C410A7">
        <w:t>R., Fleige,</w:t>
      </w:r>
      <w:r w:rsidR="00A1455D" w:rsidRPr="00C410A7">
        <w:t xml:space="preserve"> </w:t>
      </w:r>
      <w:r w:rsidRPr="00C410A7">
        <w:t>H.</w:t>
      </w:r>
      <w:r w:rsidR="00A1455D" w:rsidRPr="00C410A7">
        <w:t xml:space="preserve"> and R.</w:t>
      </w:r>
      <w:r w:rsidRPr="00C410A7">
        <w:t xml:space="preserve"> Horn</w:t>
      </w:r>
      <w:r w:rsidR="00A1455D" w:rsidRPr="00C410A7">
        <w:t xml:space="preserve"> (</w:t>
      </w:r>
      <w:r w:rsidRPr="00C410A7">
        <w:t>2019</w:t>
      </w:r>
      <w:r w:rsidR="00A1455D" w:rsidRPr="00C410A7">
        <w:t>)</w:t>
      </w:r>
      <w:r w:rsidRPr="00C410A7">
        <w:t>. An Assessment Scheme for Soil Degradation Caused by Forestry Machinery on Skid Trails in Germany. Soil Sci. Soc. Am. J. doi</w:t>
      </w:r>
      <w:proofErr w:type="gramStart"/>
      <w:r w:rsidRPr="00C410A7">
        <w:t>:10.2136</w:t>
      </w:r>
      <w:proofErr w:type="gramEnd"/>
      <w:r w:rsidRPr="00C410A7">
        <w:t>/sssaj 2018.07.0255</w:t>
      </w:r>
    </w:p>
    <w:p w14:paraId="5B3F43BE" w14:textId="0CC9C9E0" w:rsidR="00DD6A3C" w:rsidRPr="00C410A7" w:rsidRDefault="00DD6A3C" w:rsidP="00C410A7">
      <w:pPr>
        <w:pStyle w:val="EEALiterature"/>
      </w:pPr>
      <w:r w:rsidRPr="00C410A7">
        <w:t>Rogger, M., Alaoui, A., Böschl, K., Peth</w:t>
      </w:r>
      <w:proofErr w:type="gramStart"/>
      <w:r w:rsidRPr="00C410A7">
        <w:t>,S</w:t>
      </w:r>
      <w:proofErr w:type="gramEnd"/>
      <w:r w:rsidRPr="00C410A7">
        <w:t>. (2018). "Does soil compaction increase floods? A review." Journal of Hydrology 557: 631-642.</w:t>
      </w:r>
    </w:p>
    <w:p w14:paraId="72204DB6" w14:textId="2238D510" w:rsidR="00DD6A3C" w:rsidRPr="00C410A7" w:rsidRDefault="00DD6A3C" w:rsidP="00C410A7">
      <w:pPr>
        <w:pStyle w:val="EEALiterature"/>
      </w:pPr>
      <w:r w:rsidRPr="00C410A7">
        <w:t xml:space="preserve">Schjønning, P., </w:t>
      </w:r>
      <w:r w:rsidR="00A25E20" w:rsidRPr="00C410A7">
        <w:t xml:space="preserve">M. </w:t>
      </w:r>
      <w:r w:rsidRPr="00C410A7">
        <w:t>Lamandé</w:t>
      </w:r>
      <w:r w:rsidR="00A25E20" w:rsidRPr="00C410A7">
        <w:t>,</w:t>
      </w:r>
      <w:r w:rsidR="0095623D" w:rsidRPr="00C410A7">
        <w:t xml:space="preserve"> </w:t>
      </w:r>
      <w:r w:rsidR="00A25E20" w:rsidRPr="00C410A7">
        <w:t xml:space="preserve">L.J. </w:t>
      </w:r>
      <w:r w:rsidRPr="00C410A7">
        <w:t>Munkholm, L. J.Lyngvig, H. S.Nielsen, J. A. (2016). "Soil precompression stress, penetration resistance and crop yield in relation to differently-trafficked, temperate-region sandy loam soils." Soil and Tillage Research 163: 298-308.</w:t>
      </w:r>
    </w:p>
    <w:p w14:paraId="359DBB70" w14:textId="57937968" w:rsidR="00E509EE" w:rsidRPr="00C410A7" w:rsidRDefault="00E509EE" w:rsidP="00C410A7">
      <w:pPr>
        <w:pStyle w:val="EEALiterature"/>
      </w:pPr>
      <w:r w:rsidRPr="00C410A7">
        <w:t>Schrader, S.</w:t>
      </w:r>
      <w:r w:rsidR="00573183" w:rsidRPr="00C410A7">
        <w:t xml:space="preserve"> (</w:t>
      </w:r>
      <w:r w:rsidRPr="00C410A7">
        <w:t>1999</w:t>
      </w:r>
      <w:r w:rsidR="00573183" w:rsidRPr="00C410A7">
        <w:t>)</w:t>
      </w:r>
      <w:r w:rsidRPr="00C410A7">
        <w:t>. Mechanische Belastung von Ackerböden: Einfluß auf ausgewählte Bodentiere und Mechanismen der zoogenen Gefügeregeneration. Habilitation Thesis, TU Braunschweig.</w:t>
      </w:r>
    </w:p>
    <w:p w14:paraId="6754B239" w14:textId="1354C1DB" w:rsidR="006B194E" w:rsidRPr="00C410A7" w:rsidRDefault="002F3F9C" w:rsidP="00C410A7">
      <w:pPr>
        <w:pStyle w:val="EEALiterature"/>
      </w:pPr>
      <w:r w:rsidRPr="00C410A7">
        <w:lastRenderedPageBreak/>
        <w:t>Simota, C., R. Horn, H. Fleige, A. Dexter, E.A. Czyz, E. Diaz-Pereira, F. Mayol, K. Rajkai and D. de la Rosa (</w:t>
      </w:r>
      <w:r w:rsidR="00362064" w:rsidRPr="00C410A7">
        <w:t>2005)</w:t>
      </w:r>
      <w:r w:rsidRPr="00C410A7">
        <w:t>.</w:t>
      </w:r>
      <w:r w:rsidR="00362064" w:rsidRPr="00C410A7">
        <w:t xml:space="preserve"> </w:t>
      </w:r>
      <w:r w:rsidR="006B194E" w:rsidRPr="00C410A7">
        <w:t>SIDASS project</w:t>
      </w:r>
      <w:r w:rsidR="00362064" w:rsidRPr="00C410A7">
        <w:t xml:space="preserve"> </w:t>
      </w:r>
      <w:r w:rsidR="006B194E" w:rsidRPr="00C410A7">
        <w:t>Part 1. A spatial distributed simulation model predicting the</w:t>
      </w:r>
      <w:r w:rsidR="00362064" w:rsidRPr="00C410A7">
        <w:t xml:space="preserve"> </w:t>
      </w:r>
      <w:r w:rsidR="006B194E" w:rsidRPr="00C410A7">
        <w:t>dynamics of agro-physical soil state for selection of</w:t>
      </w:r>
      <w:r w:rsidR="00362064" w:rsidRPr="00C410A7">
        <w:t xml:space="preserve"> </w:t>
      </w:r>
      <w:r w:rsidR="006B194E" w:rsidRPr="00C410A7">
        <w:t>management practices to prevent soil erosion</w:t>
      </w:r>
      <w:r w:rsidR="00362064" w:rsidRPr="00C410A7">
        <w:t xml:space="preserve"> Soil &amp; Tillage Research 82: 15–18.</w:t>
      </w:r>
    </w:p>
    <w:p w14:paraId="5C523E45" w14:textId="2F2B9A5C" w:rsidR="00DD6A3C" w:rsidRPr="00C410A7" w:rsidRDefault="00DD6A3C" w:rsidP="00C410A7">
      <w:pPr>
        <w:pStyle w:val="EEALiterature"/>
      </w:pPr>
      <w:r w:rsidRPr="00C410A7">
        <w:t>Stettler, M., Keller, T., Weisskopf, P., Lamandé, M., Lassen, P., &amp; Schjønning, P. (2014). Terranimo® – ein webbasiertes Modell zur Abschätzung des Bodenverdichtungsrisikos. LANDTECHNIK, 69(3), 132–138. https://doi.org/10.15150/lt.2014.181</w:t>
      </w:r>
    </w:p>
    <w:p w14:paraId="5A2BC058" w14:textId="77777777" w:rsidR="00DD6A3C" w:rsidRPr="00C410A7" w:rsidRDefault="00DD6A3C" w:rsidP="00C410A7">
      <w:pPr>
        <w:pStyle w:val="EEALiterature"/>
      </w:pPr>
      <w:r w:rsidRPr="00C410A7">
        <w:t>Trautner, A., van den Akker, J. J. H., Fleige, H., Arvidsson, J., Horn, R. (2003). "A subsoil compaction database: its development, structure and content." Soil &amp; Tillage Research 73(1-2): 9-13.</w:t>
      </w:r>
    </w:p>
    <w:p w14:paraId="5B7EE3A8" w14:textId="77777777" w:rsidR="00DD6A3C" w:rsidRPr="00C410A7" w:rsidRDefault="00DD6A3C" w:rsidP="00C410A7">
      <w:pPr>
        <w:pStyle w:val="EEALiterature"/>
      </w:pPr>
      <w:proofErr w:type="gramStart"/>
      <w:r w:rsidRPr="00C410A7">
        <w:t>van</w:t>
      </w:r>
      <w:proofErr w:type="gramEnd"/>
      <w:r w:rsidRPr="00C410A7">
        <w:t xml:space="preserve"> den Akker, J. J. H. (2004). "SOCOMO: a soil compaction model to calculate soil stresses and the subsoil carrying capacity." Soil &amp; Tillage Research 79(1): 113-127.</w:t>
      </w:r>
    </w:p>
    <w:p w14:paraId="2DF08F41" w14:textId="483E56AD" w:rsidR="00DD6A3C" w:rsidRPr="00C410A7" w:rsidRDefault="00CF4E12" w:rsidP="00C410A7">
      <w:pPr>
        <w:pStyle w:val="EEALiterature"/>
      </w:pPr>
      <w:r w:rsidRPr="00C410A7">
        <w:t>V</w:t>
      </w:r>
      <w:r w:rsidR="00DD6A3C" w:rsidRPr="00C410A7">
        <w:t>an</w:t>
      </w:r>
      <w:r w:rsidRPr="00C410A7">
        <w:t xml:space="preserve"> </w:t>
      </w:r>
      <w:r w:rsidR="00DD6A3C" w:rsidRPr="00C410A7">
        <w:t>der Akker,</w:t>
      </w:r>
      <w:r w:rsidR="006A4316" w:rsidRPr="00C410A7">
        <w:t xml:space="preserve"> </w:t>
      </w:r>
      <w:r w:rsidR="00DD6A3C" w:rsidRPr="00C410A7">
        <w:t xml:space="preserve">J., </w:t>
      </w:r>
      <w:r w:rsidR="006A4316" w:rsidRPr="00C410A7">
        <w:t xml:space="preserve">J. </w:t>
      </w:r>
      <w:r w:rsidR="00DD6A3C" w:rsidRPr="00C410A7">
        <w:t>Arvidsson</w:t>
      </w:r>
      <w:r w:rsidR="006A4316" w:rsidRPr="00C410A7">
        <w:t xml:space="preserve"> and</w:t>
      </w:r>
      <w:r w:rsidR="00DD6A3C" w:rsidRPr="00C410A7">
        <w:t xml:space="preserve"> </w:t>
      </w:r>
      <w:r w:rsidR="006A4316" w:rsidRPr="00C410A7">
        <w:t xml:space="preserve">R. </w:t>
      </w:r>
      <w:r w:rsidR="00DD6A3C" w:rsidRPr="00C410A7">
        <w:t>Horn (1998). "Experiences with the impact and prevention in the European Community."  Report 168.</w:t>
      </w:r>
    </w:p>
    <w:p w14:paraId="00B487AF" w14:textId="589CD096" w:rsidR="00DD6A3C" w:rsidRPr="00C410A7" w:rsidRDefault="00DD6A3C" w:rsidP="00C410A7">
      <w:pPr>
        <w:pStyle w:val="EEALiterature"/>
      </w:pPr>
      <w:proofErr w:type="gramStart"/>
      <w:r w:rsidRPr="00C410A7">
        <w:t>van</w:t>
      </w:r>
      <w:proofErr w:type="gramEnd"/>
      <w:r w:rsidRPr="00C410A7">
        <w:t xml:space="preserve"> den Akker, J. J. H., </w:t>
      </w:r>
      <w:r w:rsidR="006A4316" w:rsidRPr="00C410A7">
        <w:t xml:space="preserve">F. </w:t>
      </w:r>
      <w:r w:rsidRPr="00C410A7">
        <w:t xml:space="preserve">de Vries, </w:t>
      </w:r>
      <w:r w:rsidR="006A4316" w:rsidRPr="00C410A7">
        <w:t>G.D.</w:t>
      </w:r>
      <w:r w:rsidRPr="00C410A7">
        <w:t xml:space="preserve"> Vermeulen,</w:t>
      </w:r>
      <w:r w:rsidR="006A4316" w:rsidRPr="00C410A7" w:rsidDel="006A4316">
        <w:t xml:space="preserve"> </w:t>
      </w:r>
      <w:r w:rsidR="006A4316" w:rsidRPr="00C410A7">
        <w:t xml:space="preserve">M.J.D. </w:t>
      </w:r>
      <w:r w:rsidRPr="00C410A7">
        <w:t xml:space="preserve">Hack-ten Broeke and </w:t>
      </w:r>
      <w:r w:rsidR="006A4316" w:rsidRPr="00C410A7">
        <w:t xml:space="preserve">T. </w:t>
      </w:r>
      <w:r w:rsidRPr="00C410A7">
        <w:t>Schouten</w:t>
      </w:r>
      <w:r w:rsidR="006A4316" w:rsidRPr="00C410A7">
        <w:t xml:space="preserve"> (</w:t>
      </w:r>
      <w:r w:rsidRPr="00C410A7">
        <w:t>2013</w:t>
      </w:r>
      <w:r w:rsidR="006A4316" w:rsidRPr="00C410A7">
        <w:t xml:space="preserve">). </w:t>
      </w:r>
      <w:r w:rsidRPr="00C410A7">
        <w:t xml:space="preserve">Risico op ondergrond- verdichting in het landelijk gebied in kaart, Alterra-rapport 2409, Alterra, Wageningen University and Research Centre, Wagenin- gen, available at: http://edepot.wur.nl/251636 </w:t>
      </w:r>
    </w:p>
    <w:p w14:paraId="678E8655" w14:textId="5B5C6C41" w:rsidR="00B46073" w:rsidRPr="00C410A7" w:rsidRDefault="00B46073" w:rsidP="00C410A7">
      <w:pPr>
        <w:pStyle w:val="EEALiterature"/>
      </w:pPr>
      <w:r w:rsidRPr="00C410A7">
        <w:t xml:space="preserve">Van der Ploeg, R. R., </w:t>
      </w:r>
      <w:r w:rsidR="00EA7584" w:rsidRPr="00C410A7">
        <w:t xml:space="preserve">W. </w:t>
      </w:r>
      <w:r w:rsidRPr="00C410A7">
        <w:t>Ehlers</w:t>
      </w:r>
      <w:r w:rsidR="00EA7584" w:rsidRPr="00C410A7">
        <w:t xml:space="preserve"> and</w:t>
      </w:r>
      <w:r w:rsidRPr="00C410A7">
        <w:t xml:space="preserve"> </w:t>
      </w:r>
      <w:r w:rsidR="00EA7584" w:rsidRPr="00C410A7">
        <w:t xml:space="preserve">F. </w:t>
      </w:r>
      <w:r w:rsidRPr="00C410A7">
        <w:t>Sieker (1999). Floods and other possible adverse environmental effects of meadowland area decline in former West Germany. Naturwissenschaften 86(7): 313-319.</w:t>
      </w:r>
    </w:p>
    <w:p w14:paraId="3504765E" w14:textId="0A3B32A6" w:rsidR="00A76C85" w:rsidRPr="00C410A7" w:rsidRDefault="00A76C85" w:rsidP="00C410A7">
      <w:pPr>
        <w:pStyle w:val="EEALiterature"/>
      </w:pPr>
      <w:r w:rsidRPr="00C410A7">
        <w:t xml:space="preserve">Van Der Ploeg, R. R., </w:t>
      </w:r>
      <w:r w:rsidR="003F65CC" w:rsidRPr="00C410A7">
        <w:t xml:space="preserve">G. </w:t>
      </w:r>
      <w:r w:rsidRPr="00C410A7">
        <w:t>Machulla</w:t>
      </w:r>
      <w:r w:rsidR="003F65CC" w:rsidRPr="00C410A7">
        <w:t xml:space="preserve">, D. </w:t>
      </w:r>
      <w:r w:rsidRPr="00C410A7">
        <w:t xml:space="preserve">Hermsmeyer, </w:t>
      </w:r>
      <w:r w:rsidR="00E91CB5" w:rsidRPr="00C410A7">
        <w:t>J</w:t>
      </w:r>
      <w:r w:rsidRPr="00C410A7">
        <w:t>.</w:t>
      </w:r>
      <w:r w:rsidR="00E91CB5" w:rsidRPr="00C410A7">
        <w:t xml:space="preserve"> </w:t>
      </w:r>
      <w:r w:rsidRPr="00C410A7">
        <w:t xml:space="preserve">Ilsemann, </w:t>
      </w:r>
      <w:r w:rsidR="00E91CB5" w:rsidRPr="00C410A7">
        <w:t>M</w:t>
      </w:r>
      <w:r w:rsidRPr="00C410A7">
        <w:t>.</w:t>
      </w:r>
      <w:r w:rsidR="00E91CB5" w:rsidRPr="00C410A7">
        <w:t xml:space="preserve"> </w:t>
      </w:r>
      <w:r w:rsidRPr="00C410A7">
        <w:t>Gieska</w:t>
      </w:r>
      <w:r w:rsidR="00E91CB5" w:rsidRPr="00C410A7">
        <w:t xml:space="preserve"> and J. </w:t>
      </w:r>
      <w:r w:rsidRPr="00C410A7">
        <w:t xml:space="preserve">Bachmann (2002). "Changes in land use and the growing number of flash floods in Germany." IAHS-AISH </w:t>
      </w:r>
      <w:proofErr w:type="gramStart"/>
      <w:r w:rsidRPr="00C410A7">
        <w:t>Publication(</w:t>
      </w:r>
      <w:proofErr w:type="gramEnd"/>
      <w:r w:rsidRPr="00C410A7">
        <w:t>273): 317-321.</w:t>
      </w:r>
    </w:p>
    <w:p w14:paraId="28C5FA99" w14:textId="330866B6" w:rsidR="00DD6A3C" w:rsidRPr="00C410A7" w:rsidRDefault="00DD6A3C" w:rsidP="00C410A7">
      <w:pPr>
        <w:pStyle w:val="EEALiterature"/>
      </w:pPr>
      <w:r w:rsidRPr="00C410A7">
        <w:t>Widmer, D.</w:t>
      </w:r>
      <w:r w:rsidR="006A4316" w:rsidRPr="00C410A7">
        <w:t xml:space="preserve"> (</w:t>
      </w:r>
      <w:r w:rsidRPr="00C410A7">
        <w:t>2013</w:t>
      </w:r>
      <w:r w:rsidR="006A4316" w:rsidRPr="00C410A7">
        <w:t>)</w:t>
      </w:r>
      <w:r w:rsidRPr="00C410A7">
        <w:t>. Macropores and Air Permeability - Compaction of Agricultural Soils (In German). News umwelt-zentralschweiz.ch, Nr. 3, 2013, pp. 2e3. http://umwelt-zentralschweiz.ch/wp-content/uploads/2018/02/news_03_2013.pdf</w:t>
      </w:r>
      <w:r w:rsidR="0099454F" w:rsidRPr="00C410A7">
        <w:t>.</w:t>
      </w:r>
    </w:p>
    <w:p w14:paraId="4E2B9800" w14:textId="5A44D3EB" w:rsidR="00DD6A3C" w:rsidRPr="00C410A7" w:rsidRDefault="00DD6A3C" w:rsidP="00C410A7">
      <w:pPr>
        <w:pStyle w:val="EEALiterature"/>
      </w:pPr>
      <w:r w:rsidRPr="00C410A7">
        <w:t xml:space="preserve">Wiechmann, H. </w:t>
      </w:r>
      <w:r w:rsidR="006A4316" w:rsidRPr="00C410A7">
        <w:t>(</w:t>
      </w:r>
      <w:r w:rsidRPr="00C410A7">
        <w:t>1995</w:t>
      </w:r>
      <w:r w:rsidR="006A4316" w:rsidRPr="00C410A7">
        <w:t>)</w:t>
      </w:r>
      <w:r w:rsidR="00A1455D" w:rsidRPr="00C410A7">
        <w:t>.</w:t>
      </w:r>
      <w:r w:rsidR="006A4316" w:rsidRPr="00C410A7">
        <w:t xml:space="preserve"> </w:t>
      </w:r>
      <w:r w:rsidRPr="00C410A7">
        <w:t>Podsole. Handbuch der Bodenkunde, Kap. 3.3.2.8. 28 pgs. Wiley -VCH. ISBN: 978-3-527-34506-9</w:t>
      </w:r>
      <w:r w:rsidR="0099454F" w:rsidRPr="00C410A7">
        <w:t>.</w:t>
      </w:r>
    </w:p>
    <w:p w14:paraId="797303DD" w14:textId="76F04B68" w:rsidR="00DD6A3C" w:rsidRPr="00C410A7" w:rsidRDefault="00DD6A3C" w:rsidP="00C410A7">
      <w:pPr>
        <w:pStyle w:val="EEALiterature"/>
      </w:pPr>
      <w:r w:rsidRPr="00C410A7">
        <w:t xml:space="preserve">Wösten, J. H. M., </w:t>
      </w:r>
      <w:r w:rsidR="006A4316" w:rsidRPr="00C410A7">
        <w:t xml:space="preserve">A. </w:t>
      </w:r>
      <w:r w:rsidRPr="00C410A7">
        <w:t xml:space="preserve">Nemes, </w:t>
      </w:r>
      <w:r w:rsidR="006A4316" w:rsidRPr="00C410A7">
        <w:t xml:space="preserve">A. </w:t>
      </w:r>
      <w:r w:rsidRPr="00C410A7">
        <w:t>Lilly</w:t>
      </w:r>
      <w:r w:rsidR="00220269" w:rsidRPr="00C410A7">
        <w:t xml:space="preserve"> </w:t>
      </w:r>
      <w:r w:rsidR="006A4316" w:rsidRPr="00C410A7">
        <w:t>and C.</w:t>
      </w:r>
      <w:r w:rsidRPr="00C410A7">
        <w:t xml:space="preserve"> Le Bas</w:t>
      </w:r>
      <w:r w:rsidR="006A4316" w:rsidRPr="00C410A7">
        <w:t xml:space="preserve"> (</w:t>
      </w:r>
      <w:r w:rsidRPr="00C410A7">
        <w:t>1999</w:t>
      </w:r>
      <w:r w:rsidR="006A4316" w:rsidRPr="00C410A7">
        <w:t xml:space="preserve">). </w:t>
      </w:r>
      <w:r w:rsidRPr="00C410A7">
        <w:t>Development and use of a database of hydraulic properties of European soils. Geoderma 90</w:t>
      </w:r>
      <w:r w:rsidR="0099454F" w:rsidRPr="00C410A7">
        <w:t xml:space="preserve">: </w:t>
      </w:r>
      <w:r w:rsidRPr="00C410A7">
        <w:t>169-185</w:t>
      </w:r>
      <w:r w:rsidR="0099454F" w:rsidRPr="00C410A7">
        <w:t>.</w:t>
      </w:r>
    </w:p>
    <w:p w14:paraId="4C681EEF" w14:textId="32605C09" w:rsidR="00DD6A3C" w:rsidRPr="00C410A7" w:rsidRDefault="00DD6A3C" w:rsidP="00C410A7">
      <w:pPr>
        <w:pStyle w:val="EEALiterature"/>
      </w:pPr>
      <w:r w:rsidRPr="00C410A7">
        <w:t xml:space="preserve">Zink, A., </w:t>
      </w:r>
      <w:r w:rsidR="0099454F" w:rsidRPr="00C410A7">
        <w:t xml:space="preserve">H. </w:t>
      </w:r>
      <w:r w:rsidRPr="00C410A7">
        <w:t>Fleige</w:t>
      </w:r>
      <w:r w:rsidR="0099454F" w:rsidRPr="00C410A7">
        <w:t xml:space="preserve"> and R. </w:t>
      </w:r>
      <w:r w:rsidRPr="00C410A7">
        <w:t>Horn</w:t>
      </w:r>
      <w:r w:rsidR="0099454F" w:rsidRPr="00C410A7">
        <w:t xml:space="preserve"> (</w:t>
      </w:r>
      <w:r w:rsidRPr="00C410A7">
        <w:t>2010</w:t>
      </w:r>
      <w:r w:rsidR="0099454F" w:rsidRPr="00C410A7">
        <w:t>)</w:t>
      </w:r>
      <w:r w:rsidRPr="00C410A7">
        <w:t>. Load Risks of Subsoil Compaction and Depths of Stress Propagation in Arable Luvisols. Soil Sci. Soc. Am. J. 74(5)</w:t>
      </w:r>
      <w:r w:rsidR="0099454F" w:rsidRPr="00C410A7">
        <w:t>:</w:t>
      </w:r>
      <w:r w:rsidRPr="00C410A7">
        <w:t xml:space="preserve"> 1733–1742.</w:t>
      </w:r>
    </w:p>
    <w:p w14:paraId="51844857" w14:textId="041C9DF3" w:rsidR="008F64E4" w:rsidRPr="00C410A7" w:rsidRDefault="008F64E4" w:rsidP="00C410A7">
      <w:pPr>
        <w:pStyle w:val="EEALiterature"/>
      </w:pPr>
    </w:p>
    <w:p w14:paraId="2C5FDA1B" w14:textId="51B769AE" w:rsidR="004061CD" w:rsidRPr="00C410A7" w:rsidRDefault="004061CD" w:rsidP="00C410A7">
      <w:pPr>
        <w:pStyle w:val="EEALiterature"/>
      </w:pPr>
    </w:p>
    <w:p w14:paraId="4C1D05C3" w14:textId="0BCFDED8" w:rsidR="00FB506B" w:rsidRDefault="00FB506B" w:rsidP="00FB506B">
      <w:pPr>
        <w:pStyle w:val="berschrift2"/>
      </w:pPr>
      <w:bookmarkStart w:id="457" w:name="_Toc83997424"/>
      <w:r w:rsidRPr="008F64E4">
        <w:t xml:space="preserve">Soil </w:t>
      </w:r>
      <w:r>
        <w:t>sealing</w:t>
      </w:r>
      <w:bookmarkEnd w:id="457"/>
    </w:p>
    <w:p w14:paraId="2068B2F7" w14:textId="7C073E09" w:rsidR="00FB506B" w:rsidRDefault="00FB506B" w:rsidP="00C410A7">
      <w:pPr>
        <w:pStyle w:val="EEALiterature"/>
      </w:pPr>
    </w:p>
    <w:p w14:paraId="1B278C00" w14:textId="317B14D1" w:rsidR="00547842" w:rsidRPr="00547842" w:rsidRDefault="00547842" w:rsidP="00C410A7">
      <w:pPr>
        <w:pStyle w:val="EEALiterature"/>
        <w:rPr>
          <w:rFonts w:eastAsia="Calibri"/>
        </w:rPr>
      </w:pPr>
      <w:r w:rsidRPr="00547842">
        <w:rPr>
          <w:rFonts w:eastAsia="Calibri"/>
        </w:rPr>
        <w:t>Huber</w:t>
      </w:r>
      <w:r w:rsidR="006A4316">
        <w:rPr>
          <w:rFonts w:eastAsia="Calibri"/>
        </w:rPr>
        <w:t>,</w:t>
      </w:r>
      <w:r w:rsidRPr="00547842">
        <w:rPr>
          <w:rFonts w:eastAsia="Calibri"/>
        </w:rPr>
        <w:t xml:space="preserve"> S</w:t>
      </w:r>
      <w:r w:rsidR="00A12711">
        <w:rPr>
          <w:rFonts w:eastAsia="Calibri"/>
        </w:rPr>
        <w:t>.</w:t>
      </w:r>
      <w:r w:rsidR="006A4316">
        <w:rPr>
          <w:rFonts w:eastAsia="Calibri"/>
        </w:rPr>
        <w:t>,</w:t>
      </w:r>
      <w:r w:rsidRPr="00547842">
        <w:rPr>
          <w:rFonts w:eastAsia="Calibri"/>
        </w:rPr>
        <w:t xml:space="preserve"> </w:t>
      </w:r>
      <w:r w:rsidR="006A4316">
        <w:rPr>
          <w:rFonts w:eastAsia="Calibri"/>
        </w:rPr>
        <w:t xml:space="preserve">G. </w:t>
      </w:r>
      <w:r w:rsidRPr="00547842">
        <w:rPr>
          <w:rFonts w:eastAsia="Calibri"/>
        </w:rPr>
        <w:t>Prokop</w:t>
      </w:r>
      <w:r w:rsidR="006A4316">
        <w:rPr>
          <w:rFonts w:eastAsia="Calibri"/>
        </w:rPr>
        <w:t xml:space="preserve"> </w:t>
      </w:r>
      <w:r w:rsidRPr="00547842">
        <w:rPr>
          <w:rFonts w:eastAsia="Calibri"/>
        </w:rPr>
        <w:t>et al</w:t>
      </w:r>
      <w:r w:rsidR="006A4316">
        <w:rPr>
          <w:rFonts w:eastAsia="Calibri"/>
        </w:rPr>
        <w:t>.</w:t>
      </w:r>
      <w:r w:rsidRPr="00547842">
        <w:rPr>
          <w:rFonts w:eastAsia="Calibri"/>
        </w:rPr>
        <w:t xml:space="preserve"> (2008</w:t>
      </w:r>
      <w:r w:rsidR="006A4316" w:rsidRPr="00547842">
        <w:rPr>
          <w:rFonts w:eastAsia="Calibri"/>
        </w:rPr>
        <w:t>)</w:t>
      </w:r>
      <w:r w:rsidR="006A4316">
        <w:rPr>
          <w:rFonts w:eastAsia="Calibri"/>
        </w:rPr>
        <w:t>.</w:t>
      </w:r>
      <w:r w:rsidR="006A4316" w:rsidRPr="00547842">
        <w:rPr>
          <w:rFonts w:eastAsia="Calibri"/>
        </w:rPr>
        <w:t xml:space="preserve"> </w:t>
      </w:r>
      <w:r w:rsidRPr="00547842">
        <w:rPr>
          <w:rFonts w:eastAsia="Calibri"/>
        </w:rPr>
        <w:t>Environmental Assessment of Soil for Monitoring</w:t>
      </w:r>
      <w:r w:rsidR="00A12711">
        <w:rPr>
          <w:rFonts w:eastAsia="Calibri"/>
        </w:rPr>
        <w:t>.</w:t>
      </w:r>
      <w:r w:rsidRPr="00547842">
        <w:rPr>
          <w:rFonts w:eastAsia="Calibri"/>
        </w:rPr>
        <w:t xml:space="preserve"> Volume I: Indicators &amp; Criteria</w:t>
      </w:r>
      <w:r w:rsidR="00A12711">
        <w:rPr>
          <w:rFonts w:eastAsia="Calibri"/>
        </w:rPr>
        <w:t>.</w:t>
      </w:r>
      <w:r w:rsidRPr="00547842">
        <w:rPr>
          <w:rFonts w:eastAsia="Calibri"/>
        </w:rPr>
        <w:t xml:space="preserve"> Joint Research Centre of</w:t>
      </w:r>
      <w:r w:rsidR="006A4316">
        <w:rPr>
          <w:rFonts w:eastAsia="Calibri"/>
        </w:rPr>
        <w:t xml:space="preserve"> </w:t>
      </w:r>
      <w:r w:rsidRPr="00547842">
        <w:rPr>
          <w:rFonts w:eastAsia="Calibri"/>
        </w:rPr>
        <w:t>the European Commission</w:t>
      </w:r>
      <w:r w:rsidR="00A12711">
        <w:rPr>
          <w:rFonts w:eastAsia="Calibri"/>
        </w:rPr>
        <w:t>.</w:t>
      </w:r>
      <w:r w:rsidRPr="00547842">
        <w:rPr>
          <w:rFonts w:eastAsia="Calibri"/>
        </w:rPr>
        <w:t xml:space="preserve"> ISBN 978-92-79-09708-9</w:t>
      </w:r>
      <w:r w:rsidR="006A4316">
        <w:rPr>
          <w:rFonts w:eastAsia="Calibri"/>
        </w:rPr>
        <w:t>.</w:t>
      </w:r>
      <w:r w:rsidRPr="00547842">
        <w:rPr>
          <w:rFonts w:eastAsia="Calibri"/>
        </w:rPr>
        <w:t xml:space="preserve"> </w:t>
      </w:r>
    </w:p>
    <w:p w14:paraId="57329C4A" w14:textId="7DAD03F4" w:rsidR="00547842" w:rsidRPr="00D86900" w:rsidRDefault="00547842" w:rsidP="00C410A7">
      <w:pPr>
        <w:pStyle w:val="EEALiterature"/>
        <w:rPr>
          <w:rFonts w:eastAsia="Calibri"/>
          <w:lang w:val="en-US"/>
        </w:rPr>
      </w:pPr>
      <w:r w:rsidRPr="00547842">
        <w:rPr>
          <w:rFonts w:eastAsia="Calibri"/>
        </w:rPr>
        <w:t>Prokop</w:t>
      </w:r>
      <w:r w:rsidR="006A4316">
        <w:rPr>
          <w:rFonts w:eastAsia="Calibri"/>
        </w:rPr>
        <w:t>,</w:t>
      </w:r>
      <w:r w:rsidRPr="00547842">
        <w:rPr>
          <w:rFonts w:eastAsia="Calibri"/>
        </w:rPr>
        <w:t xml:space="preserve"> G</w:t>
      </w:r>
      <w:r w:rsidR="00A12711">
        <w:rPr>
          <w:rFonts w:eastAsia="Calibri"/>
        </w:rPr>
        <w:t>.</w:t>
      </w:r>
      <w:r w:rsidRPr="00547842">
        <w:rPr>
          <w:rFonts w:eastAsia="Calibri"/>
        </w:rPr>
        <w:t xml:space="preserve"> </w:t>
      </w:r>
      <w:r w:rsidR="006A4316">
        <w:rPr>
          <w:rFonts w:eastAsia="Calibri"/>
        </w:rPr>
        <w:t xml:space="preserve">and H. </w:t>
      </w:r>
      <w:r w:rsidRPr="00547842">
        <w:rPr>
          <w:rFonts w:eastAsia="Calibri"/>
        </w:rPr>
        <w:t>Jobstmann (2011</w:t>
      </w:r>
      <w:r w:rsidR="006A4316" w:rsidRPr="00547842">
        <w:rPr>
          <w:rFonts w:eastAsia="Calibri"/>
        </w:rPr>
        <w:t>)</w:t>
      </w:r>
      <w:r w:rsidR="006A4316">
        <w:rPr>
          <w:rFonts w:eastAsia="Calibri"/>
        </w:rPr>
        <w:t>.</w:t>
      </w:r>
      <w:r w:rsidR="006A4316" w:rsidRPr="00547842">
        <w:rPr>
          <w:rFonts w:eastAsia="Calibri"/>
        </w:rPr>
        <w:t xml:space="preserve"> </w:t>
      </w:r>
      <w:r w:rsidRPr="00547842">
        <w:rPr>
          <w:rFonts w:eastAsia="Calibri"/>
        </w:rPr>
        <w:t>Report on best practices for limiting soil sealing and mitigating its effects</w:t>
      </w:r>
      <w:r w:rsidR="00A12711">
        <w:rPr>
          <w:rFonts w:eastAsia="Calibri"/>
        </w:rPr>
        <w:t>.</w:t>
      </w:r>
      <w:r w:rsidRPr="00547842">
        <w:rPr>
          <w:rFonts w:eastAsia="Calibri"/>
        </w:rPr>
        <w:t xml:space="preserve"> Publisher: European Commission</w:t>
      </w:r>
      <w:r w:rsidR="00A12711">
        <w:rPr>
          <w:rFonts w:eastAsia="Calibri"/>
        </w:rPr>
        <w:t>.</w:t>
      </w:r>
      <w:r w:rsidRPr="00547842">
        <w:rPr>
          <w:rFonts w:eastAsia="Calibri"/>
        </w:rPr>
        <w:t xml:space="preserve"> Brussels</w:t>
      </w:r>
      <w:r w:rsidR="00A12711">
        <w:rPr>
          <w:rFonts w:eastAsia="Calibri"/>
        </w:rPr>
        <w:t>.</w:t>
      </w:r>
      <w:r w:rsidRPr="00547842">
        <w:rPr>
          <w:rFonts w:eastAsia="Calibri"/>
        </w:rPr>
        <w:t xml:space="preserve"> Technical Report - 2011 – 050</w:t>
      </w:r>
      <w:r w:rsidR="00A12711">
        <w:rPr>
          <w:rFonts w:eastAsia="Calibri"/>
        </w:rPr>
        <w:t>.</w:t>
      </w:r>
      <w:r w:rsidRPr="00547842">
        <w:rPr>
          <w:rFonts w:eastAsia="Calibri"/>
        </w:rPr>
        <w:t xml:space="preserve"> </w:t>
      </w:r>
      <w:proofErr w:type="gramStart"/>
      <w:r w:rsidRPr="00D86900">
        <w:rPr>
          <w:rFonts w:eastAsia="Calibri"/>
          <w:lang w:val="en-US"/>
        </w:rPr>
        <w:t>ISBN :</w:t>
      </w:r>
      <w:proofErr w:type="gramEnd"/>
      <w:r w:rsidRPr="00D86900">
        <w:rPr>
          <w:rFonts w:eastAsia="Calibri"/>
          <w:lang w:val="en-US"/>
        </w:rPr>
        <w:t xml:space="preserve"> 978-92-79-20669-6</w:t>
      </w:r>
      <w:r w:rsidR="00871400" w:rsidRPr="00D86900">
        <w:rPr>
          <w:rFonts w:eastAsia="Calibri"/>
          <w:lang w:val="en-US"/>
        </w:rPr>
        <w:t xml:space="preserve"> </w:t>
      </w:r>
      <w:r w:rsidRPr="00D86900">
        <w:rPr>
          <w:rFonts w:eastAsia="Calibri"/>
          <w:lang w:val="en-US"/>
        </w:rPr>
        <w:t>http://ec</w:t>
      </w:r>
      <w:r w:rsidR="00A12711" w:rsidRPr="00D86900">
        <w:rPr>
          <w:rFonts w:eastAsia="Calibri"/>
          <w:lang w:val="en-US"/>
        </w:rPr>
        <w:t>.</w:t>
      </w:r>
      <w:r w:rsidRPr="00D86900">
        <w:rPr>
          <w:rFonts w:eastAsia="Calibri"/>
          <w:lang w:val="en-US"/>
        </w:rPr>
        <w:t>europa</w:t>
      </w:r>
      <w:r w:rsidR="00A12711" w:rsidRPr="00D86900">
        <w:rPr>
          <w:rFonts w:eastAsia="Calibri"/>
          <w:lang w:val="en-US"/>
        </w:rPr>
        <w:t>.</w:t>
      </w:r>
      <w:r w:rsidRPr="00D86900">
        <w:rPr>
          <w:rFonts w:eastAsia="Calibri"/>
          <w:lang w:val="en-US"/>
        </w:rPr>
        <w:t>eu/environment/soil/pdf/sealing/Soil%20sealing%20-%20Final%20Report</w:t>
      </w:r>
      <w:r w:rsidR="00A12711" w:rsidRPr="00D86900">
        <w:rPr>
          <w:rFonts w:eastAsia="Calibri"/>
          <w:lang w:val="en-US"/>
        </w:rPr>
        <w:t>.</w:t>
      </w:r>
      <w:r w:rsidRPr="00D86900">
        <w:rPr>
          <w:rFonts w:eastAsia="Calibri"/>
          <w:lang w:val="en-US"/>
        </w:rPr>
        <w:t>pdf</w:t>
      </w:r>
      <w:r w:rsidR="006A4316" w:rsidRPr="00D86900">
        <w:rPr>
          <w:rFonts w:eastAsia="Calibri"/>
          <w:lang w:val="en-US"/>
        </w:rPr>
        <w:t>.</w:t>
      </w:r>
    </w:p>
    <w:p w14:paraId="4BA296E1" w14:textId="0A2D72E4" w:rsidR="00547842" w:rsidRPr="00547842" w:rsidRDefault="00547842" w:rsidP="00C410A7">
      <w:pPr>
        <w:pStyle w:val="EEALiterature"/>
        <w:rPr>
          <w:rFonts w:eastAsia="Calibri"/>
        </w:rPr>
      </w:pPr>
      <w:r w:rsidRPr="00547842">
        <w:rPr>
          <w:rFonts w:eastAsia="Calibri"/>
        </w:rPr>
        <w:t>European Commission (2012</w:t>
      </w:r>
      <w:r w:rsidR="006A4316" w:rsidRPr="00547842">
        <w:rPr>
          <w:rFonts w:eastAsia="Calibri"/>
        </w:rPr>
        <w:t>)</w:t>
      </w:r>
      <w:r w:rsidR="006A4316">
        <w:rPr>
          <w:rFonts w:eastAsia="Calibri"/>
        </w:rPr>
        <w:t>.</w:t>
      </w:r>
      <w:r w:rsidR="006A4316" w:rsidRPr="00547842">
        <w:rPr>
          <w:rFonts w:eastAsia="Calibri"/>
        </w:rPr>
        <w:t xml:space="preserve"> </w:t>
      </w:r>
      <w:r w:rsidRPr="00547842">
        <w:rPr>
          <w:rFonts w:eastAsia="Calibri"/>
        </w:rPr>
        <w:t>Guidelines on best practice to limit</w:t>
      </w:r>
      <w:r w:rsidR="00A12711">
        <w:rPr>
          <w:rFonts w:eastAsia="Calibri"/>
        </w:rPr>
        <w:t>.</w:t>
      </w:r>
      <w:r w:rsidRPr="00547842">
        <w:rPr>
          <w:rFonts w:eastAsia="Calibri"/>
        </w:rPr>
        <w:t xml:space="preserve"> </w:t>
      </w:r>
      <w:proofErr w:type="gramStart"/>
      <w:r w:rsidRPr="00547842">
        <w:rPr>
          <w:rFonts w:eastAsia="Calibri"/>
        </w:rPr>
        <w:t>mitigate</w:t>
      </w:r>
      <w:proofErr w:type="gramEnd"/>
      <w:r w:rsidRPr="00547842">
        <w:rPr>
          <w:rFonts w:eastAsia="Calibri"/>
        </w:rPr>
        <w:t xml:space="preserve"> or compensate soil sealing</w:t>
      </w:r>
      <w:r w:rsidR="00A12711">
        <w:rPr>
          <w:rFonts w:eastAsia="Calibri"/>
        </w:rPr>
        <w:t>.</w:t>
      </w:r>
      <w:r w:rsidRPr="00547842">
        <w:rPr>
          <w:rFonts w:eastAsia="Calibri"/>
        </w:rPr>
        <w:t xml:space="preserve"> </w:t>
      </w:r>
      <w:proofErr w:type="gramStart"/>
      <w:r w:rsidRPr="00547842">
        <w:rPr>
          <w:rFonts w:eastAsia="Calibri"/>
        </w:rPr>
        <w:t>SWD(</w:t>
      </w:r>
      <w:proofErr w:type="gramEnd"/>
      <w:r w:rsidRPr="00547842">
        <w:rPr>
          <w:rFonts w:eastAsia="Calibri"/>
        </w:rPr>
        <w:t>2012) 101 final/2</w:t>
      </w:r>
      <w:r w:rsidR="006A4316">
        <w:rPr>
          <w:rFonts w:eastAsia="Calibri"/>
        </w:rPr>
        <w:t>.</w:t>
      </w:r>
    </w:p>
    <w:p w14:paraId="378300F8" w14:textId="0C9D5CC3" w:rsidR="00547842" w:rsidRPr="00547842" w:rsidRDefault="00547842" w:rsidP="00C410A7">
      <w:pPr>
        <w:pStyle w:val="EEALiterature"/>
        <w:rPr>
          <w:rFonts w:eastAsia="Calibri"/>
        </w:rPr>
      </w:pPr>
      <w:r w:rsidRPr="00547842">
        <w:rPr>
          <w:rFonts w:eastAsia="Calibri"/>
        </w:rPr>
        <w:t xml:space="preserve">EEA </w:t>
      </w:r>
      <w:r w:rsidR="006A4316">
        <w:rPr>
          <w:rFonts w:eastAsia="Calibri"/>
        </w:rPr>
        <w:t>(</w:t>
      </w:r>
      <w:r w:rsidRPr="00547842">
        <w:rPr>
          <w:rFonts w:eastAsia="Calibri"/>
        </w:rPr>
        <w:t>2020</w:t>
      </w:r>
      <w:r w:rsidR="006A4316">
        <w:rPr>
          <w:rFonts w:eastAsia="Calibri"/>
        </w:rPr>
        <w:t>).</w:t>
      </w:r>
      <w:r w:rsidR="006A4316" w:rsidRPr="00547842">
        <w:rPr>
          <w:rFonts w:eastAsia="Calibri"/>
        </w:rPr>
        <w:t xml:space="preserve"> </w:t>
      </w:r>
      <w:r w:rsidRPr="00547842">
        <w:t>Imperviousness and imperviousness change in Europe</w:t>
      </w:r>
      <w:r w:rsidR="00A12711">
        <w:rPr>
          <w:rFonts w:eastAsia="Calibri"/>
        </w:rPr>
        <w:t>.</w:t>
      </w:r>
      <w:r w:rsidRPr="00547842">
        <w:rPr>
          <w:rFonts w:eastAsia="Calibri"/>
        </w:rPr>
        <w:t xml:space="preserve"> </w:t>
      </w:r>
      <w:proofErr w:type="gramStart"/>
      <w:r w:rsidRPr="00547842">
        <w:rPr>
          <w:rFonts w:eastAsia="Calibri"/>
        </w:rPr>
        <w:t>indicator</w:t>
      </w:r>
      <w:proofErr w:type="gramEnd"/>
      <w:r w:rsidRPr="00547842">
        <w:rPr>
          <w:rFonts w:eastAsia="Calibri"/>
        </w:rPr>
        <w:t xml:space="preserve"> LSI 02</w:t>
      </w:r>
      <w:r w:rsidR="00A12711">
        <w:rPr>
          <w:rFonts w:eastAsia="Calibri"/>
        </w:rPr>
        <w:t>.</w:t>
      </w:r>
      <w:r w:rsidRPr="00547842">
        <w:rPr>
          <w:rFonts w:eastAsia="Calibri"/>
        </w:rPr>
        <w:t xml:space="preserve"> </w:t>
      </w:r>
      <w:proofErr w:type="gramStart"/>
      <w:r w:rsidRPr="00547842">
        <w:rPr>
          <w:rFonts w:eastAsia="Calibri"/>
        </w:rPr>
        <w:t>available</w:t>
      </w:r>
      <w:proofErr w:type="gramEnd"/>
      <w:r w:rsidRPr="00547842">
        <w:rPr>
          <w:rFonts w:eastAsia="Calibri"/>
        </w:rPr>
        <w:t xml:space="preserve"> at EEA website: </w:t>
      </w:r>
      <w:hyperlink r:id="rId84" w:history="1">
        <w:r w:rsidRPr="00547842">
          <w:rPr>
            <w:rStyle w:val="Hyperlink"/>
            <w:color w:val="auto"/>
            <w:u w:val="none"/>
          </w:rPr>
          <w:t>https://www</w:t>
        </w:r>
        <w:r w:rsidR="00A12711">
          <w:rPr>
            <w:rStyle w:val="Hyperlink"/>
            <w:color w:val="auto"/>
            <w:u w:val="none"/>
          </w:rPr>
          <w:t>.</w:t>
        </w:r>
        <w:r w:rsidRPr="00547842">
          <w:rPr>
            <w:rStyle w:val="Hyperlink"/>
            <w:color w:val="auto"/>
            <w:u w:val="none"/>
          </w:rPr>
          <w:t>eea</w:t>
        </w:r>
        <w:r w:rsidR="00A12711">
          <w:rPr>
            <w:rStyle w:val="Hyperlink"/>
            <w:color w:val="auto"/>
            <w:u w:val="none"/>
          </w:rPr>
          <w:t>.</w:t>
        </w:r>
        <w:r w:rsidRPr="00547842">
          <w:rPr>
            <w:rStyle w:val="Hyperlink"/>
            <w:color w:val="auto"/>
            <w:u w:val="none"/>
          </w:rPr>
          <w:t>europa</w:t>
        </w:r>
        <w:r w:rsidR="00A12711">
          <w:rPr>
            <w:rStyle w:val="Hyperlink"/>
            <w:color w:val="auto"/>
            <w:u w:val="none"/>
          </w:rPr>
          <w:t>.</w:t>
        </w:r>
        <w:r w:rsidRPr="00547842">
          <w:rPr>
            <w:rStyle w:val="Hyperlink"/>
            <w:color w:val="auto"/>
            <w:u w:val="none"/>
          </w:rPr>
          <w:t>eu/data-and-maps/indicators/imperviousness-change-2/assessment</w:t>
        </w:r>
      </w:hyperlink>
      <w:r w:rsidRPr="00547842">
        <w:rPr>
          <w:rFonts w:eastAsia="Calibri"/>
        </w:rPr>
        <w:t xml:space="preserve"> [last accessed August 14 2020]</w:t>
      </w:r>
      <w:r w:rsidR="006A4316">
        <w:rPr>
          <w:rFonts w:eastAsia="Calibri"/>
        </w:rPr>
        <w:t>.</w:t>
      </w:r>
    </w:p>
    <w:p w14:paraId="37C8EBA8" w14:textId="202AE604" w:rsidR="00547842" w:rsidRPr="00547842" w:rsidRDefault="00547842" w:rsidP="00C410A7">
      <w:pPr>
        <w:pStyle w:val="EEALiterature"/>
        <w:rPr>
          <w:rFonts w:eastAsia="Calibri"/>
        </w:rPr>
      </w:pPr>
      <w:r w:rsidRPr="00430560">
        <w:rPr>
          <w:rFonts w:eastAsia="Calibri"/>
          <w:lang w:val="de-AT"/>
        </w:rPr>
        <w:t>Naumann</w:t>
      </w:r>
      <w:r w:rsidR="006A4316">
        <w:rPr>
          <w:rFonts w:eastAsia="Calibri"/>
          <w:lang w:val="de-AT"/>
        </w:rPr>
        <w:t>,</w:t>
      </w:r>
      <w:r w:rsidRPr="00430560">
        <w:rPr>
          <w:rFonts w:eastAsia="Calibri"/>
          <w:lang w:val="de-AT"/>
        </w:rPr>
        <w:t xml:space="preserve"> S</w:t>
      </w:r>
      <w:r w:rsidR="006A4316">
        <w:rPr>
          <w:rFonts w:eastAsia="Calibri"/>
          <w:lang w:val="de-AT"/>
        </w:rPr>
        <w:t>.,</w:t>
      </w:r>
      <w:r w:rsidR="006A4316" w:rsidRPr="00430560">
        <w:rPr>
          <w:rFonts w:eastAsia="Calibri"/>
          <w:lang w:val="de-AT"/>
        </w:rPr>
        <w:t xml:space="preserve"> </w:t>
      </w:r>
      <w:r w:rsidR="006A4316">
        <w:rPr>
          <w:rFonts w:eastAsia="Calibri"/>
          <w:lang w:val="de-AT"/>
        </w:rPr>
        <w:t xml:space="preserve">A. </w:t>
      </w:r>
      <w:r w:rsidRPr="00430560">
        <w:rPr>
          <w:rFonts w:eastAsia="Calibri"/>
          <w:lang w:val="de-AT"/>
        </w:rPr>
        <w:t>Frelih-Larsen</w:t>
      </w:r>
      <w:r w:rsidR="006A4316">
        <w:rPr>
          <w:rFonts w:eastAsia="Calibri"/>
          <w:lang w:val="de-AT"/>
        </w:rPr>
        <w:t>,</w:t>
      </w:r>
      <w:r w:rsidRPr="00430560">
        <w:rPr>
          <w:rFonts w:eastAsia="Calibri"/>
          <w:lang w:val="de-AT"/>
        </w:rPr>
        <w:t xml:space="preserve"> </w:t>
      </w:r>
      <w:r w:rsidR="006A4316">
        <w:rPr>
          <w:rFonts w:eastAsia="Calibri"/>
          <w:lang w:val="de-AT"/>
        </w:rPr>
        <w:t xml:space="preserve">G. </w:t>
      </w:r>
      <w:r w:rsidRPr="00BE7C9A">
        <w:rPr>
          <w:rFonts w:eastAsia="Calibri"/>
          <w:lang w:val="de-DE"/>
        </w:rPr>
        <w:t xml:space="preserve">Prokop et </w:t>
      </w:r>
      <w:r w:rsidR="00EE6B3D" w:rsidRPr="00BE7C9A">
        <w:rPr>
          <w:rFonts w:eastAsia="Calibri"/>
          <w:lang w:val="de-DE"/>
        </w:rPr>
        <w:t>al.</w:t>
      </w:r>
      <w:r w:rsidRPr="00BE7C9A">
        <w:rPr>
          <w:rFonts w:eastAsia="Calibri"/>
          <w:lang w:val="de-DE"/>
        </w:rPr>
        <w:t xml:space="preserve"> </w:t>
      </w:r>
      <w:r w:rsidRPr="00547842">
        <w:rPr>
          <w:rFonts w:eastAsia="Calibri"/>
        </w:rPr>
        <w:t>(2018</w:t>
      </w:r>
      <w:r w:rsidR="006A4316" w:rsidRPr="00547842">
        <w:rPr>
          <w:rFonts w:eastAsia="Calibri"/>
        </w:rPr>
        <w:t>)</w:t>
      </w:r>
      <w:r w:rsidR="006A4316">
        <w:rPr>
          <w:rFonts w:eastAsia="Calibri"/>
        </w:rPr>
        <w:t>.</w:t>
      </w:r>
      <w:r w:rsidR="006A4316" w:rsidRPr="00547842">
        <w:rPr>
          <w:rFonts w:eastAsia="Calibri"/>
        </w:rPr>
        <w:t xml:space="preserve"> </w:t>
      </w:r>
      <w:r w:rsidRPr="00547842">
        <w:rPr>
          <w:rFonts w:eastAsia="Calibri"/>
        </w:rPr>
        <w:t>Land take and soil sealing – drivers</w:t>
      </w:r>
      <w:r w:rsidR="00A12711">
        <w:rPr>
          <w:rFonts w:eastAsia="Calibri"/>
        </w:rPr>
        <w:t>.</w:t>
      </w:r>
      <w:r w:rsidRPr="00547842">
        <w:rPr>
          <w:rFonts w:eastAsia="Calibri"/>
        </w:rPr>
        <w:t xml:space="preserve"> </w:t>
      </w:r>
      <w:proofErr w:type="gramStart"/>
      <w:r w:rsidRPr="00547842">
        <w:rPr>
          <w:rFonts w:eastAsia="Calibri"/>
        </w:rPr>
        <w:t>trends</w:t>
      </w:r>
      <w:proofErr w:type="gramEnd"/>
      <w:r w:rsidRPr="00547842">
        <w:rPr>
          <w:rFonts w:eastAsia="Calibri"/>
        </w:rPr>
        <w:t xml:space="preserve"> and policy (legal) instruments: insights from European cities in International Yearbook on Soil Law and Policy</w:t>
      </w:r>
    </w:p>
    <w:p w14:paraId="32056366" w14:textId="28C6F3A8" w:rsidR="00547842" w:rsidRPr="00547842" w:rsidRDefault="00547842" w:rsidP="00C410A7">
      <w:pPr>
        <w:pStyle w:val="EEALiterature"/>
        <w:rPr>
          <w:rFonts w:eastAsia="Calibri"/>
        </w:rPr>
      </w:pPr>
      <w:r w:rsidRPr="00547842">
        <w:rPr>
          <w:rFonts w:eastAsia="Calibri"/>
        </w:rPr>
        <w:t>Copernicus team at EEA (2018</w:t>
      </w:r>
      <w:r w:rsidR="006A4316" w:rsidRPr="00547842">
        <w:rPr>
          <w:rFonts w:eastAsia="Calibri"/>
        </w:rPr>
        <w:t>)</w:t>
      </w:r>
      <w:r w:rsidR="006A4316">
        <w:rPr>
          <w:rFonts w:eastAsia="Calibri"/>
        </w:rPr>
        <w:t>.</w:t>
      </w:r>
      <w:r w:rsidR="006A4316" w:rsidRPr="00547842">
        <w:rPr>
          <w:rFonts w:eastAsia="Calibri"/>
        </w:rPr>
        <w:t xml:space="preserve"> </w:t>
      </w:r>
      <w:r w:rsidRPr="00547842">
        <w:rPr>
          <w:rFonts w:eastAsia="Calibri"/>
        </w:rPr>
        <w:t>Copernicus Land Monitoring Service –High Resolution Layer Imperviousness: Product Specifications Document</w:t>
      </w:r>
      <w:r w:rsidR="00A12711">
        <w:rPr>
          <w:rFonts w:eastAsia="Calibri"/>
        </w:rPr>
        <w:t>.</w:t>
      </w:r>
      <w:r w:rsidRPr="00547842">
        <w:rPr>
          <w:rFonts w:eastAsia="Calibri"/>
        </w:rPr>
        <w:t xml:space="preserve"> </w:t>
      </w:r>
      <w:proofErr w:type="gramStart"/>
      <w:r w:rsidRPr="00547842">
        <w:rPr>
          <w:rFonts w:eastAsia="Calibri"/>
        </w:rPr>
        <w:t>available</w:t>
      </w:r>
      <w:proofErr w:type="gramEnd"/>
      <w:r w:rsidRPr="00547842">
        <w:rPr>
          <w:rFonts w:eastAsia="Calibri"/>
        </w:rPr>
        <w:t xml:space="preserve"> at</w:t>
      </w:r>
      <w:r w:rsidRPr="00547842">
        <w:rPr>
          <w:rFonts w:eastAsia="Calibri"/>
        </w:rPr>
        <w:br/>
      </w:r>
      <w:hyperlink r:id="rId85" w:history="1">
        <w:r w:rsidRPr="00547842">
          <w:rPr>
            <w:rStyle w:val="Hyperlink"/>
            <w:rFonts w:eastAsia="Calibri"/>
            <w:color w:val="auto"/>
            <w:u w:val="none"/>
          </w:rPr>
          <w:t>https://land</w:t>
        </w:r>
        <w:r w:rsidR="00A12711">
          <w:rPr>
            <w:rStyle w:val="Hyperlink"/>
            <w:rFonts w:eastAsia="Calibri"/>
            <w:color w:val="auto"/>
            <w:u w:val="none"/>
          </w:rPr>
          <w:t>.</w:t>
        </w:r>
        <w:r w:rsidRPr="00547842">
          <w:rPr>
            <w:rStyle w:val="Hyperlink"/>
            <w:rFonts w:eastAsia="Calibri"/>
            <w:color w:val="auto"/>
            <w:u w:val="none"/>
          </w:rPr>
          <w:t>copernicus</w:t>
        </w:r>
        <w:r w:rsidR="00A12711">
          <w:rPr>
            <w:rStyle w:val="Hyperlink"/>
            <w:rFonts w:eastAsia="Calibri"/>
            <w:color w:val="auto"/>
            <w:u w:val="none"/>
          </w:rPr>
          <w:t>.</w:t>
        </w:r>
        <w:r w:rsidRPr="00547842">
          <w:rPr>
            <w:rStyle w:val="Hyperlink"/>
            <w:rFonts w:eastAsia="Calibri"/>
            <w:color w:val="auto"/>
            <w:u w:val="none"/>
          </w:rPr>
          <w:t>eu/user-corner/technical-library/hrl-imperviousness-technical-document-prod-2015</w:t>
        </w:r>
      </w:hyperlink>
      <w:r w:rsidRPr="00547842">
        <w:rPr>
          <w:rFonts w:eastAsia="Calibri"/>
        </w:rPr>
        <w:t xml:space="preserve"> [last accessed August 14 2020]</w:t>
      </w:r>
      <w:r w:rsidR="006A4316">
        <w:rPr>
          <w:rFonts w:eastAsia="Calibri"/>
        </w:rPr>
        <w:t>.</w:t>
      </w:r>
    </w:p>
    <w:p w14:paraId="3CE3D4D5" w14:textId="189776F0" w:rsidR="00547842" w:rsidRDefault="00547842" w:rsidP="00C410A7">
      <w:pPr>
        <w:pStyle w:val="EEALiterature"/>
        <w:rPr>
          <w:rFonts w:cs="Open Sans"/>
          <w:color w:val="000000"/>
          <w:sz w:val="18"/>
          <w:szCs w:val="17"/>
        </w:rPr>
      </w:pPr>
    </w:p>
    <w:p w14:paraId="14520610" w14:textId="52918D8E" w:rsidR="00B43E18" w:rsidRDefault="00B43E18" w:rsidP="00B43E18">
      <w:pPr>
        <w:pStyle w:val="berschrift2"/>
        <w:tabs>
          <w:tab w:val="clear" w:pos="567"/>
        </w:tabs>
        <w:ind w:left="851" w:hanging="851"/>
      </w:pPr>
      <w:bookmarkStart w:id="458" w:name="_Toc83997425"/>
      <w:r w:rsidRPr="00B43E18">
        <w:t>Multi-domain indicator system</w:t>
      </w:r>
      <w:bookmarkEnd w:id="458"/>
    </w:p>
    <w:p w14:paraId="02DDE9EF" w14:textId="68ABAD96" w:rsidR="00B43E18" w:rsidRPr="00B43E18" w:rsidRDefault="00B43E18" w:rsidP="00C410A7">
      <w:pPr>
        <w:pStyle w:val="EEALiterature"/>
        <w:rPr>
          <w:lang w:val="en-US"/>
        </w:rPr>
      </w:pPr>
      <w:r w:rsidRPr="00B43E18">
        <w:t>Arrouays D</w:t>
      </w:r>
      <w:r>
        <w:t>.</w:t>
      </w:r>
      <w:r w:rsidRPr="00B43E18">
        <w:t>, Morvan, X</w:t>
      </w:r>
      <w:r>
        <w:t>.</w:t>
      </w:r>
      <w:r w:rsidRPr="00B43E18">
        <w:t>, Saby, N</w:t>
      </w:r>
      <w:r>
        <w:t>.</w:t>
      </w:r>
      <w:r w:rsidRPr="00B43E18">
        <w:t>P</w:t>
      </w:r>
      <w:r>
        <w:t>.</w:t>
      </w:r>
      <w:r w:rsidRPr="00B43E18">
        <w:t>A</w:t>
      </w:r>
      <w:r>
        <w:t>.</w:t>
      </w:r>
      <w:r w:rsidRPr="00B43E18">
        <w:t>, Le Bas, C</w:t>
      </w:r>
      <w:r>
        <w:t>.</w:t>
      </w:r>
      <w:r w:rsidRPr="00B43E18">
        <w:t>, Bellamy, P</w:t>
      </w:r>
      <w:r>
        <w:t>.</w:t>
      </w:r>
      <w:r w:rsidRPr="00B43E18">
        <w:t>H</w:t>
      </w:r>
      <w:r>
        <w:t>.</w:t>
      </w:r>
      <w:r w:rsidRPr="00B43E18">
        <w:t>, Berenyi Uveges, J</w:t>
      </w:r>
      <w:r>
        <w:t>.</w:t>
      </w:r>
      <w:r w:rsidRPr="00B43E18">
        <w:t>, Freudenschuß, A</w:t>
      </w:r>
      <w:r>
        <w:t>.</w:t>
      </w:r>
      <w:r w:rsidRPr="00B43E18">
        <w:t>, Jones, A</w:t>
      </w:r>
      <w:r>
        <w:t>.</w:t>
      </w:r>
      <w:r w:rsidRPr="00B43E18">
        <w:t>R</w:t>
      </w:r>
      <w:r>
        <w:t>.</w:t>
      </w:r>
      <w:r w:rsidRPr="00B43E18">
        <w:t>, Jones, R</w:t>
      </w:r>
      <w:r>
        <w:t>.</w:t>
      </w:r>
      <w:r w:rsidRPr="00B43E18">
        <w:t>J</w:t>
      </w:r>
      <w:r>
        <w:t>.</w:t>
      </w:r>
      <w:r w:rsidRPr="00B43E18">
        <w:t>A</w:t>
      </w:r>
      <w:r>
        <w:t>.</w:t>
      </w:r>
      <w:r w:rsidRPr="00B43E18">
        <w:t>, Kibblewhite, M</w:t>
      </w:r>
      <w:r>
        <w:t>.</w:t>
      </w:r>
      <w:r w:rsidRPr="00B43E18">
        <w:t>G</w:t>
      </w:r>
      <w:r>
        <w:t>.</w:t>
      </w:r>
      <w:r w:rsidRPr="00B43E18">
        <w:t>, Simota, C</w:t>
      </w:r>
      <w:r>
        <w:t>.</w:t>
      </w:r>
      <w:r w:rsidRPr="00B43E18">
        <w:t>, Verdoot, A</w:t>
      </w:r>
      <w:r>
        <w:t>.</w:t>
      </w:r>
      <w:r w:rsidRPr="00B43E18">
        <w:t>, Verheijen, F</w:t>
      </w:r>
      <w:r>
        <w:t>.</w:t>
      </w:r>
      <w:r w:rsidRPr="00B43E18">
        <w:t>G</w:t>
      </w:r>
      <w:r>
        <w:t>.</w:t>
      </w:r>
      <w:r w:rsidRPr="00B43E18">
        <w:t>A</w:t>
      </w:r>
      <w:r>
        <w:t>.</w:t>
      </w:r>
      <w:r w:rsidRPr="00B43E18">
        <w:t xml:space="preserve"> (eds) (2008)</w:t>
      </w:r>
      <w:r>
        <w:t>.</w:t>
      </w:r>
      <w:r w:rsidRPr="00B43E18">
        <w:t xml:space="preserve"> Environmental Assessment of Soil for Monitoring. Volume IIa Inventory and Monitoring. EUR 23490 EN/2A Office of the Official Publications of the European Communities, </w:t>
      </w:r>
      <w:r w:rsidRPr="00B43E18">
        <w:rPr>
          <w:lang w:val="en-US"/>
        </w:rPr>
        <w:t>Luxembourg, 88pp DOI 10.2788/93524</w:t>
      </w:r>
    </w:p>
    <w:p w14:paraId="5BF80ED6" w14:textId="71F3A969" w:rsidR="00B43E18" w:rsidRPr="00B43E18" w:rsidRDefault="00B43E18" w:rsidP="00C410A7">
      <w:pPr>
        <w:pStyle w:val="EEALiterature"/>
      </w:pPr>
      <w:r w:rsidRPr="00B43E18">
        <w:t xml:space="preserve">Creamer, R., M. Zwetsloot, J. van Leeuwen, H. Martens, D. Brus, I. Simo Yosa, L. Hemerik, E. Micheli, A. Csorba, A. Jones and N. Saby (2019). Monitoring schema for regional and European application, testing and assessment of indicators for five soil functions. Deliverable 5.1, Landmark project, Project Number: 635201, </w:t>
      </w:r>
      <w:proofErr w:type="gramStart"/>
      <w:r w:rsidRPr="00B43E18">
        <w:t>Unpublished</w:t>
      </w:r>
      <w:proofErr w:type="gramEnd"/>
      <w:r w:rsidRPr="00B43E18">
        <w:t xml:space="preserve"> report.</w:t>
      </w:r>
    </w:p>
    <w:p w14:paraId="3B2CC8E1" w14:textId="77777777" w:rsidR="00B43E18" w:rsidRPr="00B43E18" w:rsidRDefault="00B43E18" w:rsidP="00C410A7">
      <w:pPr>
        <w:pStyle w:val="EEALiterature"/>
      </w:pPr>
      <w:r w:rsidRPr="00B43E18">
        <w:t>Huber, S., Prokop, G., Arrouays, D., Banko, G., Bispo, A., Jones, R.J.A., Kibblewhite, M.G., Lexer, W., Möller, A., Rickson, R.J., Shishkov, T., Stephens, M., Toth, G. Van den Akker, J.J.H., Varallyay, G., Verheijen, F.G.A. &amp; Jones, A.R. (eds) (2008). Environmental Assessment of Soil for Monitoring: Volume I Indicators &amp; Criteria. EUR23490 EN/1, Office for the Official Publications of the European Communities, Luxembourg, 339pp.</w:t>
      </w:r>
    </w:p>
    <w:p w14:paraId="44C678A9" w14:textId="1D2F48D5" w:rsidR="00B43E18" w:rsidRPr="00036135" w:rsidRDefault="00B43E18" w:rsidP="00C410A7">
      <w:pPr>
        <w:pStyle w:val="EEALiterature"/>
        <w:rPr>
          <w:lang w:val="en-US"/>
        </w:rPr>
      </w:pPr>
      <w:proofErr w:type="gramStart"/>
      <w:r w:rsidRPr="00B43E18">
        <w:rPr>
          <w:lang w:val="de-DE"/>
        </w:rPr>
        <w:t>Stolte,J.</w:t>
      </w:r>
      <w:proofErr w:type="gramEnd"/>
      <w:r w:rsidRPr="00B43E18">
        <w:rPr>
          <w:lang w:val="de-DE"/>
        </w:rPr>
        <w:t xml:space="preserve">, M. Tesfai, L. Øygarden, S. Kværnø, J. Keizer, F. Verheijen, P. Panagos, C. Ballabio and R. Hessel (2016). </w:t>
      </w:r>
      <w:r w:rsidRPr="00036135">
        <w:rPr>
          <w:lang w:val="en-US"/>
        </w:rPr>
        <w:t>Soil threats in Europe; EUR 27607 EN; doi</w:t>
      </w:r>
      <w:proofErr w:type="gramStart"/>
      <w:r w:rsidRPr="00036135">
        <w:rPr>
          <w:lang w:val="en-US"/>
        </w:rPr>
        <w:t>:10.2788</w:t>
      </w:r>
      <w:proofErr w:type="gramEnd"/>
      <w:r w:rsidRPr="00036135">
        <w:rPr>
          <w:lang w:val="en-US"/>
        </w:rPr>
        <w:t>/828742 (online)</w:t>
      </w:r>
    </w:p>
    <w:p w14:paraId="6F0A715C" w14:textId="4420C2ED" w:rsidR="00B43E18" w:rsidRPr="00B43E18" w:rsidRDefault="00B43E18" w:rsidP="00C410A7">
      <w:pPr>
        <w:pStyle w:val="EEALiterature"/>
      </w:pPr>
      <w:r w:rsidRPr="00B43E18">
        <w:t>Van-Camp. L., Bujarrabal, B., Gentile, A-R., Jones, R.J.A., Montanarella, L., Olazabal, C. and Selvaradjou, S-K. (2004). Reports of the Technical Working Groups Established under the Thematic Strategy for Soil Protection. EUR 21319 EN/4, 872 pp. Office for Official Publications of the European Communities, Luxembourg. VOLUME V – MONITORING.</w:t>
      </w:r>
    </w:p>
    <w:p w14:paraId="7C38B457" w14:textId="77777777" w:rsidR="00B43E18" w:rsidRPr="00B43E18" w:rsidRDefault="00B43E18" w:rsidP="00B43E18">
      <w:pPr>
        <w:spacing w:after="210" w:line="210" w:lineRule="atLeast"/>
        <w:rPr>
          <w:rFonts w:cs="Open Sans"/>
          <w:color w:val="000000"/>
          <w:sz w:val="18"/>
          <w:szCs w:val="17"/>
          <w:lang w:val="en-US"/>
        </w:rPr>
      </w:pPr>
    </w:p>
    <w:p w14:paraId="342FB0F1" w14:textId="6420754D" w:rsidR="00B37596" w:rsidRPr="00FD330D" w:rsidRDefault="00E00C4A" w:rsidP="00E00C4A">
      <w:pPr>
        <w:ind w:left="-1247"/>
        <w:rPr>
          <w:rFonts w:ascii="Open Sans" w:hAnsi="Open Sans" w:cs="Open Sans"/>
          <w:sz w:val="28"/>
        </w:rPr>
      </w:pPr>
      <w:r w:rsidRPr="00FD330D">
        <w:rPr>
          <w:rFonts w:ascii="Open Sans" w:hAnsi="Open Sans" w:cs="Open Sans"/>
          <w:noProof/>
          <w:sz w:val="28"/>
          <w:lang w:eastAsia="en-GB"/>
        </w:rPr>
        <w:lastRenderedPageBreak/>
        <w:drawing>
          <wp:inline distT="0" distB="0" distL="0" distR="0" wp14:anchorId="669115C8" wp14:editId="4C40F7EB">
            <wp:extent cx="7560000" cy="10698614"/>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s_TECHPAPER_LP.pdf"/>
                    <pic:cNvPicPr/>
                  </pic:nvPicPr>
                  <pic:blipFill>
                    <a:blip r:embed="rId86">
                      <a:extLst>
                        <a:ext uri="{28A0092B-C50C-407E-A947-70E740481C1C}">
                          <a14:useLocalDpi xmlns:a14="http://schemas.microsoft.com/office/drawing/2010/main" val="0"/>
                        </a:ext>
                      </a:extLst>
                    </a:blip>
                    <a:stretch>
                      <a:fillRect/>
                    </a:stretch>
                  </pic:blipFill>
                  <pic:spPr>
                    <a:xfrm>
                      <a:off x="0" y="0"/>
                      <a:ext cx="7560000" cy="10698614"/>
                    </a:xfrm>
                    <a:prstGeom prst="rect">
                      <a:avLst/>
                    </a:prstGeom>
                  </pic:spPr>
                </pic:pic>
              </a:graphicData>
            </a:graphic>
          </wp:inline>
        </w:drawing>
      </w:r>
    </w:p>
    <w:sectPr w:rsidR="00B37596" w:rsidRPr="00FD330D" w:rsidSect="004A78BF">
      <w:footerReference w:type="first" r:id="rId87"/>
      <w:type w:val="continuous"/>
      <w:pgSz w:w="11900" w:h="16840"/>
      <w:pgMar w:top="1247" w:right="1247" w:bottom="1247" w:left="1247" w:header="0" w:footer="50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52E131" w14:textId="77777777" w:rsidR="0067767C" w:rsidRDefault="0067767C" w:rsidP="003E25FF">
      <w:r>
        <w:separator/>
      </w:r>
    </w:p>
  </w:endnote>
  <w:endnote w:type="continuationSeparator" w:id="0">
    <w:p w14:paraId="5B8374A7" w14:textId="77777777" w:rsidR="0067767C" w:rsidRDefault="0067767C" w:rsidP="003E2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Open Sans">
    <w:altName w:val="Segoe UI"/>
    <w:panose1 w:val="020B0606030504020204"/>
    <w:charset w:val="00"/>
    <w:family w:val="swiss"/>
    <w:pitch w:val="variable"/>
    <w:sig w:usb0="E00002EF" w:usb1="4000205B" w:usb2="00000028"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Frutiger 45 Light">
    <w:altName w:val="Arial Narrow"/>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D0845B" w14:textId="789E6D0B" w:rsidR="0067767C" w:rsidRDefault="0067767C" w:rsidP="007B4F1D">
    <w:pPr>
      <w:pStyle w:val="EEAfootnotere"/>
      <w:tabs>
        <w:tab w:val="clear" w:pos="9356"/>
        <w:tab w:val="right" w:pos="14317"/>
      </w:tabs>
    </w:pPr>
    <w:r w:rsidRPr="002A5656">
      <w:t xml:space="preserve">ETC/ULS </w:t>
    </w:r>
    <w:r>
      <w:t>Report | 01/2019</w:t>
    </w:r>
    <w:r>
      <w:tab/>
    </w:r>
    <w:r w:rsidRPr="002A5656">
      <w:fldChar w:fldCharType="begin"/>
    </w:r>
    <w:r w:rsidRPr="002A5656">
      <w:instrText>PAGE   \* MERGEFORMAT</w:instrText>
    </w:r>
    <w:r w:rsidRPr="002A5656">
      <w:fldChar w:fldCharType="separate"/>
    </w:r>
    <w:r>
      <w:rPr>
        <w:noProof/>
      </w:rPr>
      <w:t>6</w:t>
    </w:r>
    <w:r w:rsidRPr="002A5656">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EAEAF1" w14:textId="77777777" w:rsidR="0067767C" w:rsidRDefault="0067767C" w:rsidP="00E00C4A">
    <w:pPr>
      <w:pStyle w:val="Fuzeile"/>
      <w:tabs>
        <w:tab w:val="clear" w:pos="8640"/>
      </w:tabs>
      <w:ind w:left="5812"/>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BECEA4" w14:textId="74759384" w:rsidR="0067767C" w:rsidRDefault="0067767C" w:rsidP="0012559F">
    <w:pPr>
      <w:pStyle w:val="Fuzeile"/>
      <w:ind w:left="-1247"/>
    </w:pPr>
  </w:p>
  <w:p w14:paraId="260A2AB1" w14:textId="77777777" w:rsidR="0067767C" w:rsidRPr="001E5C65" w:rsidRDefault="0067767C" w:rsidP="001E5C65">
    <w:pPr>
      <w:pStyle w:val="BasicParagraph"/>
      <w:tabs>
        <w:tab w:val="left" w:pos="8931"/>
      </w:tabs>
      <w:rPr>
        <w:rFonts w:ascii="Calibri" w:hAnsi="Calibri" w:cs="Calibri"/>
        <w:color w:val="008173"/>
        <w:lang w:val="fr-FR"/>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6D3C3" w14:textId="77777777" w:rsidR="0067767C" w:rsidRDefault="0067767C">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3EABE" w14:textId="77777777" w:rsidR="0067767C" w:rsidRPr="00886111" w:rsidRDefault="0067767C" w:rsidP="00B123B9">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986A3" w14:textId="79E0CA7E" w:rsidR="0067767C" w:rsidRDefault="0067767C" w:rsidP="00E62530">
    <w:pPr>
      <w:pStyle w:val="EEAfootnotere"/>
      <w:tabs>
        <w:tab w:val="right" w:pos="14317"/>
      </w:tabs>
    </w:pPr>
    <w:r w:rsidRPr="002A5656">
      <w:fldChar w:fldCharType="begin"/>
    </w:r>
    <w:r w:rsidRPr="002A5656">
      <w:instrText>PAGE   \* MERGEFORMAT</w:instrText>
    </w:r>
    <w:r w:rsidRPr="002A5656">
      <w:fldChar w:fldCharType="separate"/>
    </w:r>
    <w:r w:rsidR="00742092">
      <w:rPr>
        <w:noProof/>
      </w:rPr>
      <w:t>12</w:t>
    </w:r>
    <w:r w:rsidRPr="002A5656">
      <w:fldChar w:fldCharType="end"/>
    </w:r>
    <w:r>
      <w:tab/>
      <w:t>EEA ETC/ULS</w:t>
    </w:r>
    <w:r w:rsidRPr="002A5656">
      <w:t xml:space="preserve"> </w:t>
    </w:r>
    <w:r>
      <w:t>Report | 2021</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BD0CE" w14:textId="5F049F2C" w:rsidR="0067767C" w:rsidRPr="00F77313" w:rsidRDefault="0067767C" w:rsidP="00F77313">
    <w:pPr>
      <w:pStyle w:val="EEAfootnoteli"/>
    </w:pPr>
    <w:r>
      <w:t>EEA ETC/ULS Report | 2021</w:t>
    </w:r>
    <w:r>
      <w:tab/>
    </w:r>
    <w:r w:rsidRPr="002A5656">
      <w:fldChar w:fldCharType="begin"/>
    </w:r>
    <w:r w:rsidRPr="002A5656">
      <w:instrText>PAGE   \* MERGEFORMAT</w:instrText>
    </w:r>
    <w:r w:rsidRPr="002A5656">
      <w:fldChar w:fldCharType="separate"/>
    </w:r>
    <w:r w:rsidR="00742092">
      <w:rPr>
        <w:noProof/>
      </w:rPr>
      <w:t>11</w:t>
    </w:r>
    <w:r w:rsidRPr="002A5656">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739E5" w14:textId="4EDD3364" w:rsidR="0067767C" w:rsidRPr="00321498" w:rsidRDefault="0067767C" w:rsidP="00DB3C57">
    <w:pPr>
      <w:pStyle w:val="EEAfootnoteli"/>
    </w:pPr>
    <w:r>
      <w:t xml:space="preserve">EEA </w:t>
    </w:r>
    <w:r w:rsidRPr="002A5656">
      <w:t xml:space="preserve">ETC/ULS </w:t>
    </w:r>
    <w:r>
      <w:t>Report | 2021</w:t>
    </w:r>
    <w:r>
      <w:tab/>
    </w:r>
    <w:r w:rsidRPr="002A5656">
      <w:fldChar w:fldCharType="begin"/>
    </w:r>
    <w:r w:rsidRPr="002A5656">
      <w:instrText>PAGE   \* MERGEFORMAT</w:instrText>
    </w:r>
    <w:r w:rsidRPr="002A5656">
      <w:fldChar w:fldCharType="separate"/>
    </w:r>
    <w:r w:rsidR="00742092">
      <w:rPr>
        <w:noProof/>
      </w:rPr>
      <w:t>I</w:t>
    </w:r>
    <w:r w:rsidRPr="002A5656">
      <w:fldChar w:fldCharType="end"/>
    </w:r>
    <w: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7A8F7" w14:textId="2B2BB291" w:rsidR="0067767C" w:rsidRPr="00321498" w:rsidRDefault="0067767C" w:rsidP="00DB3C57">
    <w:pPr>
      <w:pStyle w:val="EEAfootnoteli"/>
    </w:pPr>
    <w:r>
      <w:t>EEA ETC/ULS Report | xx/2021</w:t>
    </w:r>
    <w:r>
      <w:tab/>
    </w:r>
    <w:r w:rsidRPr="002A5656">
      <w:fldChar w:fldCharType="begin"/>
    </w:r>
    <w:r w:rsidRPr="002A5656">
      <w:instrText>PAGE   \* MERGEFORMAT</w:instrText>
    </w:r>
    <w:r w:rsidRPr="002A5656">
      <w:fldChar w:fldCharType="separate"/>
    </w:r>
    <w:r w:rsidR="00742092">
      <w:rPr>
        <w:noProof/>
      </w:rPr>
      <w:t>1</w:t>
    </w:r>
    <w:r w:rsidRPr="002A5656">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F415C" w14:textId="77777777" w:rsidR="0067767C" w:rsidRDefault="0067767C" w:rsidP="00E00C4A">
    <w:pPr>
      <w:pStyle w:val="Fuzeile"/>
      <w:tabs>
        <w:tab w:val="clear" w:pos="8640"/>
      </w:tabs>
      <w:ind w:left="581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056F8A" w14:textId="77777777" w:rsidR="0067767C" w:rsidRDefault="0067767C" w:rsidP="003E25FF">
      <w:r>
        <w:separator/>
      </w:r>
    </w:p>
  </w:footnote>
  <w:footnote w:type="continuationSeparator" w:id="0">
    <w:p w14:paraId="2CC65B6E" w14:textId="77777777" w:rsidR="0067767C" w:rsidRDefault="0067767C" w:rsidP="003E25FF">
      <w:r>
        <w:continuationSeparator/>
      </w:r>
    </w:p>
  </w:footnote>
  <w:footnote w:id="1">
    <w:p w14:paraId="620348BA" w14:textId="6922CAFE" w:rsidR="0067767C" w:rsidRPr="00714D8B" w:rsidRDefault="0067767C" w:rsidP="00714D8B">
      <w:pPr>
        <w:pStyle w:val="EEAFootnote0"/>
      </w:pPr>
      <w:r w:rsidRPr="00714D8B">
        <w:rPr>
          <w:rStyle w:val="Funotenzeichen"/>
          <w:vertAlign w:val="baseline"/>
        </w:rPr>
        <w:footnoteRef/>
      </w:r>
      <w:r w:rsidRPr="00714D8B">
        <w:t xml:space="preserve"> </w:t>
      </w:r>
      <w:r w:rsidRPr="00714D8B">
        <w:tab/>
        <w:t>In contrast to this report about soil indicators and its evaluation, a follow-up report on soil monitoring design in Europe would still be need including agreements on target parameters, sampling and analytical schemes, criteria for spatial-temporal representativity, statistical design specifications to detect uncertainties and trend, and – if appropriate - levels of measurement intensity and integration with other environmental observation activities (climate, air quality, biodiversity, water quality).</w:t>
      </w:r>
    </w:p>
  </w:footnote>
  <w:footnote w:id="2">
    <w:p w14:paraId="221E3103"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JRC (2008): Soil Atlas of Europe; ISBN: ISBN 92-894-8120-X</w:t>
      </w:r>
    </w:p>
  </w:footnote>
  <w:footnote w:id="3">
    <w:p w14:paraId="7B4AF270"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Climate zones according to the Köppen Geiger classification</w:t>
      </w:r>
      <w:r w:rsidRPr="00714D8B">
        <w:br/>
        <w:t>https://en.wikipedia.org/wiki/K%C3%B6ppen_climate_classification#/media/File:Europe_map_of_K%C3%B6ppen_climate_classification.svg</w:t>
      </w:r>
    </w:p>
  </w:footnote>
  <w:footnote w:id="4">
    <w:p w14:paraId="0543B54B"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COM(2006)/231, Thematic Strategy for Soil Protection (including soil biodiversity)</w:t>
      </w:r>
    </w:p>
  </w:footnote>
  <w:footnote w:id="5">
    <w:p w14:paraId="118EA271" w14:textId="52B538F5" w:rsidR="0067767C" w:rsidRPr="00696049" w:rsidRDefault="0067767C" w:rsidP="001F5705">
      <w:pPr>
        <w:pStyle w:val="EEAFootnote0"/>
        <w:tabs>
          <w:tab w:val="clear" w:pos="567"/>
        </w:tabs>
        <w:ind w:left="284" w:hanging="284"/>
      </w:pPr>
      <w:r w:rsidRPr="00696049">
        <w:rPr>
          <w:rStyle w:val="Funotenzeichen"/>
          <w:vertAlign w:val="baseline"/>
        </w:rPr>
        <w:footnoteRef/>
      </w:r>
      <w:r w:rsidRPr="00696049">
        <w:t xml:space="preserve"> </w:t>
      </w:r>
      <w:r w:rsidRPr="00696049">
        <w:tab/>
        <w:t xml:space="preserve">Soil functions describe the soil’s capacity to support ecosystem services essential for human well-being (FAO Soils Portal: </w:t>
      </w:r>
      <w:hyperlink r:id="rId1" w:history="1">
        <w:r w:rsidRPr="00696049">
          <w:rPr>
            <w:rStyle w:val="Hyperlink"/>
            <w:color w:val="auto"/>
            <w:u w:val="none"/>
          </w:rPr>
          <w:t>http://www.fao.org/soils-portal/soil-degradation-restoration/en</w:t>
        </w:r>
      </w:hyperlink>
      <w:r w:rsidRPr="00696049">
        <w:rPr>
          <w:rStyle w:val="Hyperlink"/>
          <w:color w:val="auto"/>
          <w:u w:val="none"/>
        </w:rPr>
        <w:t xml:space="preserve"> )</w:t>
      </w:r>
    </w:p>
  </w:footnote>
  <w:footnote w:id="6">
    <w:p w14:paraId="27FA7243"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Land use is dynamic; it includes – among others - inputs to soil, mechanical changes caused by trafficking or different soil preparation (e.g. tillage) and seeding systems</w:t>
      </w:r>
    </w:p>
  </w:footnote>
  <w:footnote w:id="7">
    <w:p w14:paraId="4DFE4A6F"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SansCrit: https://www.risicotoolboxbodem.nl/sanscrit/</w:t>
      </w:r>
    </w:p>
  </w:footnote>
  <w:footnote w:id="8">
    <w:p w14:paraId="2F7A52DA"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CLEA model: https://www.gov.uk/government/publications/contaminated-land-exposure-assessment-clea-tool</w:t>
      </w:r>
    </w:p>
  </w:footnote>
  <w:footnote w:id="9">
    <w:p w14:paraId="5F5BA38F" w14:textId="5E210DAE" w:rsidR="0067767C" w:rsidRPr="00903438" w:rsidRDefault="0067767C" w:rsidP="006F554A">
      <w:pPr>
        <w:pStyle w:val="EEAFootnote0"/>
        <w:tabs>
          <w:tab w:val="clear" w:pos="567"/>
        </w:tabs>
        <w:ind w:left="284" w:hanging="284"/>
      </w:pPr>
      <w:r w:rsidRPr="00903438">
        <w:rPr>
          <w:rStyle w:val="Funotenzeichen"/>
          <w:vertAlign w:val="baseline"/>
        </w:rPr>
        <w:footnoteRef/>
      </w:r>
      <w:r w:rsidRPr="00903438">
        <w:t xml:space="preserve"> </w:t>
      </w:r>
      <w:r>
        <w:tab/>
      </w:r>
      <w:r w:rsidRPr="00E44A0B">
        <w:t>Directive (COM (2006) 232</w:t>
      </w:r>
      <w:r>
        <w:t xml:space="preserve"> </w:t>
      </w:r>
      <w:r w:rsidRPr="003935F0">
        <w:t>establishing a framework for the protection of soil and amending Directive 2004/35/EC</w:t>
      </w:r>
    </w:p>
  </w:footnote>
  <w:footnote w:id="10">
    <w:p w14:paraId="02C93676"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(2000/60/EC) Directive establishing a framework for Community action in the field of water policy</w:t>
      </w:r>
    </w:p>
  </w:footnote>
  <w:footnote w:id="11">
    <w:p w14:paraId="7C3B085B"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COM(2006)/231, Thematic Strategy for Soil Protection</w:t>
      </w:r>
    </w:p>
  </w:footnote>
  <w:footnote w:id="12">
    <w:p w14:paraId="7FBC93CD"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COM(2011) 571, Roadmap to a Resource Efficient Europe</w:t>
      </w:r>
    </w:p>
  </w:footnote>
  <w:footnote w:id="13">
    <w:p w14:paraId="007F2347" w14:textId="77777777" w:rsidR="0067767C" w:rsidRPr="00714D8B" w:rsidRDefault="0067767C" w:rsidP="00714D8B">
      <w:pPr>
        <w:pStyle w:val="EEAFootnote0"/>
      </w:pPr>
      <w:r w:rsidRPr="00714D8B">
        <w:rPr>
          <w:rStyle w:val="Funotenzeichen"/>
          <w:vertAlign w:val="baseline"/>
        </w:rPr>
        <w:footnoteRef/>
      </w:r>
      <w:r w:rsidRPr="00714D8B">
        <w:t xml:space="preserve"> </w:t>
      </w:r>
      <w:r w:rsidRPr="00714D8B">
        <w:tab/>
        <w:t>Decision No 1386/2013/EU of the European Parliament and of the Council, EU Environment Action Programme to 2020 ‘Living well, within the limits of our planet’</w:t>
      </w:r>
    </w:p>
  </w:footnote>
  <w:footnote w:id="14">
    <w:p w14:paraId="2C96BDD4" w14:textId="140CB66A" w:rsidR="0067767C" w:rsidRPr="00714D8B" w:rsidRDefault="0067767C" w:rsidP="00714D8B">
      <w:pPr>
        <w:pStyle w:val="EEAFootnote0"/>
      </w:pPr>
      <w:r w:rsidRPr="00714D8B">
        <w:rPr>
          <w:rStyle w:val="Funotenzeichen"/>
          <w:vertAlign w:val="baseline"/>
        </w:rPr>
        <w:footnoteRef/>
      </w:r>
      <w:r w:rsidRPr="00714D8B">
        <w:t xml:space="preserve"> </w:t>
      </w:r>
      <w:r w:rsidRPr="00714D8B">
        <w:tab/>
        <w:t xml:space="preserve">Consultation on a Monitoring Framework for the 8th EAP; </w:t>
      </w:r>
      <w:hyperlink r:id="rId2" w:history="1">
        <w:r w:rsidRPr="00714D8B">
          <w:rPr>
            <w:rStyle w:val="Hyperlink"/>
            <w:color w:val="auto"/>
            <w:u w:val="none"/>
          </w:rPr>
          <w:t>https://ec.europa.eu/environment/system/files/2021-07/Explanatory%20Note%208EAP%20Indicators.pdf</w:t>
        </w:r>
      </w:hyperlink>
      <w:r w:rsidRPr="00714D8B">
        <w:t xml:space="preserve"> (Sept. 2021)</w:t>
      </w:r>
    </w:p>
  </w:footnote>
  <w:footnote w:id="15">
    <w:p w14:paraId="2878FB63" w14:textId="05773CC8" w:rsidR="0067767C" w:rsidRPr="00714D8B" w:rsidRDefault="0067767C" w:rsidP="00714D8B">
      <w:pPr>
        <w:pStyle w:val="EEAFootnote0"/>
      </w:pPr>
      <w:r w:rsidRPr="00714D8B">
        <w:rPr>
          <w:rStyle w:val="Funotenzeichen"/>
          <w:vertAlign w:val="baseline"/>
        </w:rPr>
        <w:footnoteRef/>
      </w:r>
      <w:r w:rsidRPr="00714D8B">
        <w:t xml:space="preserve"> </w:t>
      </w:r>
      <w:r w:rsidRPr="00714D8B">
        <w:tab/>
        <w:t>Regulation (EU) No 1306/2013 on the financing, management and monitoring of the common agricultural policy. The regulation covers the period 2014-2020.</w:t>
      </w:r>
    </w:p>
  </w:footnote>
  <w:footnote w:id="16">
    <w:p w14:paraId="4450DF54"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Directive (EU) 2016/2284 on the reduction of national emissions of certain atmospheric pollutants</w:t>
      </w:r>
    </w:p>
  </w:footnote>
  <w:footnote w:id="17">
    <w:p w14:paraId="6D94811A" w14:textId="74DC0999" w:rsidR="0067767C" w:rsidRPr="00677B0A" w:rsidRDefault="0067767C" w:rsidP="00677B0A">
      <w:pPr>
        <w:pStyle w:val="EEAFootnote0"/>
      </w:pPr>
      <w:r w:rsidRPr="00677B0A">
        <w:rPr>
          <w:rStyle w:val="Funotenzeichen"/>
          <w:vertAlign w:val="baseline"/>
        </w:rPr>
        <w:footnoteRef/>
      </w:r>
      <w:r w:rsidRPr="00677B0A">
        <w:t xml:space="preserve"> </w:t>
      </w:r>
      <w:r w:rsidRPr="00677B0A">
        <w:tab/>
        <w:t>Progress made by the European Union (EU) and its Member States is published annually by the European Environment Agency; i.e. NEC Directive reporting status 2019</w:t>
      </w:r>
      <w:r w:rsidRPr="00677B0A">
        <w:br/>
      </w:r>
      <w:hyperlink r:id="rId3" w:history="1">
        <w:r w:rsidRPr="00677B0A">
          <w:rPr>
            <w:rStyle w:val="Hyperlink"/>
            <w:color w:val="auto"/>
            <w:u w:val="none"/>
          </w:rPr>
          <w:t>https://www.eea.europa.eu/themes/air/air-pollution-sources-1/national-emission-ceilings/nec-directive-reporting-status-2019</w:t>
        </w:r>
      </w:hyperlink>
      <w:r w:rsidRPr="00677B0A">
        <w:t xml:space="preserve"> </w:t>
      </w:r>
    </w:p>
  </w:footnote>
  <w:footnote w:id="18">
    <w:p w14:paraId="7529B409"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For terrestrial ecosystems the assessment of soil acidity, soil nutrients loss, nitrogen status and balance as well as biodiversity loss is required based on the following indicators: soil acidity (every 10 years); soil nitrate leaching (annual); carbon-nitrogen ratio (C/N) (every 10 years)</w:t>
      </w:r>
    </w:p>
  </w:footnote>
  <w:footnote w:id="19">
    <w:p w14:paraId="5BECA532"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Article 1, Regulation (EU) no 2018/841 on the inclusion of greenhouse gas emissions and removals from land use, land use change and forestry in the 2030 climate and energy framework</w:t>
      </w:r>
    </w:p>
  </w:footnote>
  <w:footnote w:id="20">
    <w:p w14:paraId="1FF1839C" w14:textId="22587E35" w:rsidR="0067767C" w:rsidRPr="00677B0A" w:rsidRDefault="0067767C" w:rsidP="00677B0A">
      <w:pPr>
        <w:pStyle w:val="EEAFootnote0"/>
      </w:pPr>
      <w:r w:rsidRPr="00677B0A">
        <w:rPr>
          <w:rStyle w:val="Funotenzeichen"/>
          <w:vertAlign w:val="baseline"/>
        </w:rPr>
        <w:footnoteRef/>
      </w:r>
      <w:r w:rsidRPr="00677B0A">
        <w:t xml:space="preserve"> </w:t>
      </w:r>
      <w:r w:rsidRPr="00677B0A">
        <w:tab/>
      </w:r>
      <w:proofErr w:type="gramStart"/>
      <w:r w:rsidRPr="00677B0A">
        <w:t>COM(</w:t>
      </w:r>
      <w:proofErr w:type="gramEnd"/>
      <w:r w:rsidRPr="00677B0A">
        <w:t>2020) 562 final: Communication “Stepping up Europe’s 2030 climate ambition. Investing in a climate-neutral future for the benefit of our people”, Sept 2020.</w:t>
      </w:r>
    </w:p>
  </w:footnote>
  <w:footnote w:id="21">
    <w:p w14:paraId="0F52B5F1" w14:textId="39339DEB" w:rsidR="0067767C" w:rsidRPr="00677B0A" w:rsidRDefault="0067767C" w:rsidP="00677B0A">
      <w:pPr>
        <w:pStyle w:val="EEAFootnote0"/>
      </w:pPr>
      <w:r w:rsidRPr="00677B0A">
        <w:rPr>
          <w:rStyle w:val="Funotenzeichen"/>
          <w:vertAlign w:val="baseline"/>
        </w:rPr>
        <w:footnoteRef/>
      </w:r>
      <w:r w:rsidRPr="00677B0A">
        <w:t xml:space="preserve"> </w:t>
      </w:r>
      <w:r w:rsidRPr="00677B0A">
        <w:tab/>
        <w:t>COM(2020) 80 final: proposal European Climate Law; amending Regulation (EU) 2018/1999 (on the on the Governance of the Energy Union and Climate Action)</w:t>
      </w:r>
    </w:p>
  </w:footnote>
  <w:footnote w:id="22">
    <w:p w14:paraId="731A8FDA" w14:textId="0E16A8C7" w:rsidR="0067767C" w:rsidRPr="00677B0A" w:rsidRDefault="0067767C" w:rsidP="00677B0A">
      <w:pPr>
        <w:pStyle w:val="EEAFootnote0"/>
      </w:pPr>
      <w:r w:rsidRPr="00677B0A">
        <w:rPr>
          <w:rStyle w:val="Funotenzeichen"/>
          <w:vertAlign w:val="baseline"/>
        </w:rPr>
        <w:footnoteRef/>
      </w:r>
      <w:r w:rsidRPr="00677B0A">
        <w:t xml:space="preserve"> </w:t>
      </w:r>
      <w:r w:rsidRPr="00677B0A">
        <w:tab/>
      </w:r>
      <w:proofErr w:type="gramStart"/>
      <w:r w:rsidRPr="00677B0A">
        <w:t>COM(</w:t>
      </w:r>
      <w:proofErr w:type="gramEnd"/>
      <w:r w:rsidRPr="00677B0A">
        <w:t>2021) 554 final: Proposal for a regulation amending Regulations (EU) 2018/841 as regards the scope, simplifying the compliance rules, setting out the targets of the Member States for 2030 and committing to the collective achievement of climate neutrality by 2035 in the LULUCF sector, and (EU) 2018/1999 as regards improvement in monitoring, reporting, tracking of progress and review.</w:t>
      </w:r>
    </w:p>
  </w:footnote>
  <w:footnote w:id="23">
    <w:p w14:paraId="74EE6C48" w14:textId="65988766"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Study in preparation: </w:t>
      </w:r>
      <w:hyperlink r:id="rId4" w:history="1">
        <w:r w:rsidRPr="00677B0A">
          <w:rPr>
            <w:rStyle w:val="Hyperlink"/>
            <w:color w:val="auto"/>
            <w:u w:val="none"/>
          </w:rPr>
          <w:t>https://ec.europa.eu/clima/tenders/2020/305336_de</w:t>
        </w:r>
      </w:hyperlink>
      <w:r w:rsidRPr="00677B0A">
        <w:t xml:space="preserve"> </w:t>
      </w:r>
    </w:p>
  </w:footnote>
  <w:footnote w:id="24">
    <w:p w14:paraId="32433673" w14:textId="77777777" w:rsidR="0067767C" w:rsidRPr="00696049" w:rsidRDefault="0067767C" w:rsidP="001512D0">
      <w:pPr>
        <w:pStyle w:val="EEAFootnote0"/>
        <w:tabs>
          <w:tab w:val="clear" w:pos="567"/>
        </w:tabs>
        <w:ind w:left="426" w:hanging="426"/>
      </w:pPr>
      <w:r w:rsidRPr="00696049">
        <w:rPr>
          <w:rStyle w:val="Funotenzeichen"/>
          <w:vertAlign w:val="baseline"/>
        </w:rPr>
        <w:footnoteRef/>
      </w:r>
      <w:r w:rsidRPr="00696049">
        <w:t xml:space="preserve"> </w:t>
      </w:r>
      <w:r w:rsidRPr="00696049">
        <w:tab/>
        <w:t>COM/2019/640 final, The European Green Deal</w:t>
      </w:r>
    </w:p>
  </w:footnote>
  <w:footnote w:id="25">
    <w:p w14:paraId="578CB02B" w14:textId="77777777" w:rsidR="0067767C" w:rsidRPr="00696049" w:rsidRDefault="0067767C" w:rsidP="001512D0">
      <w:pPr>
        <w:pStyle w:val="EEAFootnote0"/>
        <w:tabs>
          <w:tab w:val="clear" w:pos="567"/>
        </w:tabs>
        <w:ind w:left="426" w:hanging="426"/>
      </w:pPr>
      <w:r w:rsidRPr="00696049">
        <w:rPr>
          <w:rStyle w:val="Funotenzeichen"/>
          <w:vertAlign w:val="baseline"/>
        </w:rPr>
        <w:footnoteRef/>
      </w:r>
      <w:r w:rsidRPr="00696049">
        <w:t xml:space="preserve"> </w:t>
      </w:r>
      <w:r w:rsidRPr="00696049">
        <w:tab/>
        <w:t>COM(2020) 380 final, EU Biodiversity Strategy for 2030</w:t>
      </w:r>
    </w:p>
  </w:footnote>
  <w:footnote w:id="26">
    <w:p w14:paraId="4B4F4C05"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Roadmap to develop a regulation on ecosystem restauration (</w:t>
      </w:r>
      <w:hyperlink r:id="rId5" w:history="1">
        <w:r w:rsidRPr="00677B0A">
          <w:rPr>
            <w:rStyle w:val="Hyperlink"/>
            <w:color w:val="auto"/>
            <w:u w:val="none"/>
          </w:rPr>
          <w:t>https://ec.europa.eu/info/law/better-regulation/have-your-say/initiatives/12596-Protecting-biodiversity-nature-restoration-targets-under-EU-biodiversity-strategy_en</w:t>
        </w:r>
      </w:hyperlink>
      <w:r w:rsidRPr="00677B0A">
        <w:t xml:space="preserve"> </w:t>
      </w:r>
    </w:p>
  </w:footnote>
  <w:footnote w:id="27">
    <w:p w14:paraId="3C2432F5" w14:textId="77777777" w:rsidR="0067767C" w:rsidRPr="00677B0A" w:rsidRDefault="0067767C" w:rsidP="00677B0A">
      <w:pPr>
        <w:pStyle w:val="EEAFootnote0"/>
      </w:pPr>
      <w:r w:rsidRPr="00677B0A">
        <w:footnoteRef/>
      </w:r>
      <w:r w:rsidRPr="00677B0A">
        <w:t xml:space="preserve"> </w:t>
      </w:r>
      <w:r w:rsidRPr="00677B0A">
        <w:tab/>
      </w:r>
      <w:proofErr w:type="gramStart"/>
      <w:r w:rsidRPr="00677B0A">
        <w:t>COM(</w:t>
      </w:r>
      <w:proofErr w:type="gramEnd"/>
      <w:r w:rsidRPr="00677B0A">
        <w:t>2020) 667 final. Chemicals Strategy for Sustainability Towards a Toxic-Free Environment</w:t>
      </w:r>
    </w:p>
  </w:footnote>
  <w:footnote w:id="28">
    <w:p w14:paraId="53C3C45C"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SWD(2020) 249 final </w:t>
      </w:r>
      <w:hyperlink r:id="rId6" w:history="1">
        <w:r w:rsidRPr="00677B0A">
          <w:rPr>
            <w:rStyle w:val="Hyperlink"/>
            <w:color w:val="auto"/>
            <w:u w:val="none"/>
          </w:rPr>
          <w:t>https://ec.europa.eu/environment/pdf/chemicals/2020/10/SWD_PFAS.pdf</w:t>
        </w:r>
      </w:hyperlink>
      <w:r w:rsidRPr="00677B0A">
        <w:t xml:space="preserve"> </w:t>
      </w:r>
    </w:p>
  </w:footnote>
  <w:footnote w:id="29">
    <w:p w14:paraId="1850D1B8"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SWD(2020) 250 final </w:t>
      </w:r>
      <w:hyperlink r:id="rId7" w:history="1">
        <w:r w:rsidRPr="00677B0A">
          <w:rPr>
            <w:rStyle w:val="Hyperlink"/>
            <w:color w:val="auto"/>
            <w:u w:val="none"/>
          </w:rPr>
          <w:t>https://ec.europa.eu/environment/pdf/chemicals/2020/10/SWD_mixtures.pdf</w:t>
        </w:r>
      </w:hyperlink>
      <w:r w:rsidRPr="00677B0A">
        <w:t xml:space="preserve"> </w:t>
      </w:r>
    </w:p>
  </w:footnote>
  <w:footnote w:id="30">
    <w:p w14:paraId="6F8A4094"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COM(2021) 400 final: EU Action Plan: 'Towards Zero Pollution for Air, Water and Soil' </w:t>
      </w:r>
      <w:hyperlink r:id="rId8" w:history="1">
        <w:r w:rsidRPr="00677B0A">
          <w:rPr>
            <w:rStyle w:val="Hyperlink"/>
            <w:color w:val="auto"/>
            <w:u w:val="none"/>
          </w:rPr>
          <w:t>https://ec.europa.eu/environment/pdf/zero-pollution-action-plan/communication_en.pdf</w:t>
        </w:r>
      </w:hyperlink>
      <w:r w:rsidRPr="00677B0A">
        <w:t xml:space="preserve"> </w:t>
      </w:r>
    </w:p>
  </w:footnote>
  <w:footnote w:id="31">
    <w:p w14:paraId="25DC6B92"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SWD(2021) 141 final </w:t>
      </w:r>
      <w:hyperlink r:id="rId9" w:history="1">
        <w:r w:rsidRPr="00677B0A">
          <w:rPr>
            <w:rStyle w:val="Hyperlink"/>
            <w:color w:val="auto"/>
            <w:u w:val="none"/>
          </w:rPr>
          <w:t>https://eur-lex.europa.eu/legal-content/EN/TXT/PDF/?uri=CELEX:52021SC0141&amp;from=EN</w:t>
        </w:r>
      </w:hyperlink>
      <w:r w:rsidRPr="00677B0A">
        <w:t xml:space="preserve"> </w:t>
      </w:r>
    </w:p>
  </w:footnote>
  <w:footnote w:id="32">
    <w:p w14:paraId="467C780E"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European Commission Directorate General for Research and Innovation (2020) Caring for soil is caring for life</w:t>
      </w:r>
      <w:r w:rsidRPr="00677B0A">
        <w:br/>
      </w:r>
      <w:hyperlink r:id="rId10" w:history="1">
        <w:r w:rsidRPr="00677B0A">
          <w:rPr>
            <w:rStyle w:val="Hyperlink"/>
            <w:color w:val="auto"/>
            <w:u w:val="none"/>
          </w:rPr>
          <w:t>https://op.europa.eu/en/web/eu-law-and-publications/publication-detail/-/publication/32d5d312-b689-11ea-bb7a-01aa75ed71a1</w:t>
        </w:r>
      </w:hyperlink>
      <w:r w:rsidRPr="00677B0A">
        <w:t xml:space="preserve"> </w:t>
      </w:r>
    </w:p>
  </w:footnote>
  <w:footnote w:id="33">
    <w:p w14:paraId="0EDE449B" w14:textId="77777777" w:rsidR="0067767C" w:rsidRPr="00677B0A" w:rsidRDefault="0067767C" w:rsidP="00677B0A">
      <w:pPr>
        <w:pStyle w:val="EEAFootnote0"/>
      </w:pPr>
      <w:r w:rsidRPr="00677B0A">
        <w:footnoteRef/>
      </w:r>
      <w:r w:rsidRPr="00677B0A">
        <w:t xml:space="preserve"> </w:t>
      </w:r>
      <w:r w:rsidRPr="00677B0A">
        <w:tab/>
        <w:t xml:space="preserve">4 pour 1000 initiative: </w:t>
      </w:r>
      <w:hyperlink r:id="rId11" w:history="1">
        <w:r w:rsidRPr="00677B0A">
          <w:rPr>
            <w:rStyle w:val="Hyperlink"/>
            <w:color w:val="auto"/>
            <w:u w:val="none"/>
          </w:rPr>
          <w:t>https://www.4p1000.org/</w:t>
        </w:r>
      </w:hyperlink>
    </w:p>
  </w:footnote>
  <w:footnote w:id="34">
    <w:p w14:paraId="7FFAB350"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EU SDG Indicator set: </w:t>
      </w:r>
      <w:hyperlink r:id="rId12" w:history="1">
        <w:r w:rsidRPr="00677B0A">
          <w:rPr>
            <w:rStyle w:val="Hyperlink"/>
            <w:color w:val="auto"/>
            <w:u w:val="none"/>
          </w:rPr>
          <w:t>https://ec.europa.eu/eurostat/documents/276524/10369740/SDG_indicator_2020.pdf</w:t>
        </w:r>
      </w:hyperlink>
      <w:r w:rsidRPr="00677B0A">
        <w:t xml:space="preserve"> </w:t>
      </w:r>
    </w:p>
  </w:footnote>
  <w:footnote w:id="35">
    <w:p w14:paraId="6B40ADB3" w14:textId="2E27599E" w:rsidR="0067767C" w:rsidRPr="00677B0A" w:rsidRDefault="0067767C" w:rsidP="00677B0A">
      <w:pPr>
        <w:pStyle w:val="EEAFootnote0"/>
      </w:pPr>
      <w:r w:rsidRPr="00677B0A">
        <w:rPr>
          <w:rStyle w:val="Funotenzeichen"/>
          <w:vertAlign w:val="baseline"/>
        </w:rPr>
        <w:footnoteRef/>
      </w:r>
      <w:r w:rsidRPr="00677B0A">
        <w:tab/>
        <w:t>One Out, All Out (1OAO) principle considers changes in the sub-indicators: (i) positive or improving, (ii) negative or declining, or (iii) stable or unchanging. A location is considered degraded if at least one of the three land-based indicators shows a negative change (Cowie et al., 2018).</w:t>
      </w:r>
    </w:p>
  </w:footnote>
  <w:footnote w:id="36">
    <w:p w14:paraId="6CE3BBF9" w14:textId="5DB5AC5B" w:rsidR="0067767C" w:rsidRPr="00677B0A" w:rsidRDefault="0067767C" w:rsidP="00677B0A">
      <w:pPr>
        <w:pStyle w:val="EEAFootnote0"/>
      </w:pPr>
      <w:r w:rsidRPr="00677B0A">
        <w:rPr>
          <w:rStyle w:val="Funotenzeichen"/>
          <w:vertAlign w:val="baseline"/>
        </w:rPr>
        <w:footnoteRef/>
      </w:r>
      <w:r w:rsidRPr="00677B0A">
        <w:t xml:space="preserve"> </w:t>
      </w:r>
      <w:r w:rsidRPr="00677B0A">
        <w:tab/>
        <w:t>Ecosystem monitoring under Article 9 and Annex V of Directive 2016/2284 (NECD</w:t>
      </w:r>
      <w:proofErr w:type="gramStart"/>
      <w:r w:rsidRPr="00677B0A">
        <w:t>)</w:t>
      </w:r>
      <w:proofErr w:type="gramEnd"/>
      <w:r w:rsidRPr="00677B0A">
        <w:br/>
        <w:t>Note: The extent of ecosystem impacts of air pollution in the EU is based on the exceedance of critical loads and levels for sulphur, nitrogen, and ozone. The definition of thresholds is largely based on the WG on Effects under the Gothenburg Protocol to the Convention on Long-Range Transboundary Air Pollution (CLRTAP) (including – among others - International Cooperative Programmes (ICPs) on Forests, Vegetation, and Integrated Monitoring.</w:t>
      </w:r>
    </w:p>
  </w:footnote>
  <w:footnote w:id="37">
    <w:p w14:paraId="77AF1F23" w14:textId="209607A6" w:rsidR="0067767C" w:rsidRPr="00677B0A" w:rsidRDefault="0067767C" w:rsidP="00677B0A">
      <w:pPr>
        <w:pStyle w:val="EEAFootnote0"/>
      </w:pPr>
      <w:r w:rsidRPr="00677B0A">
        <w:rPr>
          <w:rStyle w:val="Funotenzeichen"/>
          <w:vertAlign w:val="baseline"/>
        </w:rPr>
        <w:footnoteRef/>
      </w:r>
      <w:r w:rsidRPr="00677B0A">
        <w:t xml:space="preserve"> </w:t>
      </w:r>
      <w:r w:rsidRPr="00677B0A">
        <w:tab/>
        <w:t>COM(2013)918 final</w:t>
      </w:r>
    </w:p>
  </w:footnote>
  <w:footnote w:id="38">
    <w:p w14:paraId="144A8046" w14:textId="41CD749F" w:rsidR="0067767C" w:rsidRPr="00677B0A" w:rsidRDefault="0067767C" w:rsidP="00677B0A">
      <w:pPr>
        <w:pStyle w:val="EEAFootnote0"/>
      </w:pPr>
      <w:r w:rsidRPr="00677B0A">
        <w:rPr>
          <w:rStyle w:val="Funotenzeichen"/>
          <w:vertAlign w:val="baseline"/>
        </w:rPr>
        <w:footnoteRef/>
      </w:r>
      <w:r w:rsidRPr="00677B0A">
        <w:t xml:space="preserve"> </w:t>
      </w:r>
      <w:r w:rsidRPr="00677B0A">
        <w:tab/>
        <w:t>Including: (1) COM (2018)773 “A Clean Planet for All”, followed by the “Long-term low greenhouse gas emission development strategy (2020), (2) Circular Economy Action Plan for a clean and competitive Europe, and (3) new strategies under the Green Deal (Biodiversity Strategy 2030, Farm2Fork Strategy, Zero Pollution Action Plan)</w:t>
      </w:r>
    </w:p>
  </w:footnote>
  <w:footnote w:id="39">
    <w:p w14:paraId="421CDD02"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For SOC analysis, additional reference literature (not cited here) includes alternative methods such as hot water extractable carbon (with seasonality aspects), and Near-Infrared Spectroscopy (NIR) and Pyrolysis, methods which will allow more accurate analysis of labile and stable humus fractions.</w:t>
      </w:r>
    </w:p>
  </w:footnote>
  <w:footnote w:id="40">
    <w:p w14:paraId="0EB72841" w14:textId="026A3A07" w:rsidR="0067767C" w:rsidRPr="00677B0A" w:rsidRDefault="0067767C" w:rsidP="00677B0A">
      <w:pPr>
        <w:pStyle w:val="EEAFootnote0"/>
      </w:pPr>
      <w:r w:rsidRPr="00677B0A">
        <w:rPr>
          <w:rStyle w:val="Funotenzeichen"/>
          <w:vertAlign w:val="baseline"/>
        </w:rPr>
        <w:footnoteRef/>
      </w:r>
      <w:r w:rsidRPr="00677B0A">
        <w:t xml:space="preserve"> </w:t>
      </w:r>
      <w:r w:rsidRPr="00677B0A">
        <w:tab/>
        <w:t>GLOSOLAN Best Practice Manual, Ch. 2, Volume 2.2. Soil Carbon</w:t>
      </w:r>
      <w:r w:rsidRPr="00677B0A">
        <w:br/>
      </w:r>
      <w:hyperlink r:id="rId13" w:history="1">
        <w:r w:rsidRPr="00677B0A">
          <w:rPr>
            <w:rStyle w:val="Hyperlink"/>
            <w:color w:val="auto"/>
            <w:u w:val="none"/>
          </w:rPr>
          <w:t>http://www.fao.org/global-soil-partnership/glosolan/soil-analysis/sops/volume-2-2/en/</w:t>
        </w:r>
      </w:hyperlink>
      <w:r w:rsidRPr="00677B0A">
        <w:t xml:space="preserve">  </w:t>
      </w:r>
    </w:p>
  </w:footnote>
  <w:footnote w:id="41">
    <w:p w14:paraId="03D28981" w14:textId="1F23F3CE"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A simple method description plus video are available at </w:t>
      </w:r>
      <w:r w:rsidRPr="00677B0A">
        <w:br/>
        <w:t>https://www.sruc.ac.uk/info/120625/visual_evaluation_of_soil_structure/1553/visual_evaluation_of_soil_structure_-_method_description</w:t>
      </w:r>
    </w:p>
  </w:footnote>
  <w:footnote w:id="42">
    <w:p w14:paraId="436A5A84" w14:textId="4F0D63D1" w:rsidR="0067767C" w:rsidRPr="00677B0A" w:rsidRDefault="0067767C" w:rsidP="00677B0A">
      <w:pPr>
        <w:pStyle w:val="EEAFootnote0"/>
      </w:pPr>
      <w:r w:rsidRPr="00677B0A">
        <w:rPr>
          <w:rStyle w:val="Funotenzeichen"/>
          <w:vertAlign w:val="baseline"/>
        </w:rPr>
        <w:footnoteRef/>
      </w:r>
      <w:r w:rsidRPr="00677B0A">
        <w:t xml:space="preserve"> </w:t>
      </w:r>
      <w:r w:rsidRPr="00677B0A">
        <w:tab/>
        <w:t>H horizon, part of the forest floor: commonly understood to be dominated by humified organic matter and mineral compounds &lt; 30 %</w:t>
      </w:r>
    </w:p>
  </w:footnote>
  <w:footnote w:id="43">
    <w:p w14:paraId="78F87E30" w14:textId="0E882692" w:rsidR="0067767C" w:rsidRPr="00311C3B" w:rsidRDefault="0067767C" w:rsidP="00407864">
      <w:pPr>
        <w:pStyle w:val="EEAFootnote0"/>
        <w:tabs>
          <w:tab w:val="clear" w:pos="567"/>
        </w:tabs>
        <w:ind w:left="426" w:hanging="426"/>
      </w:pPr>
      <w:r w:rsidRPr="00311C3B">
        <w:rPr>
          <w:rStyle w:val="Funotenzeichen"/>
          <w:vertAlign w:val="baseline"/>
        </w:rPr>
        <w:footnoteRef/>
      </w:r>
      <w:r w:rsidRPr="00311C3B">
        <w:t xml:space="preserve"> </w:t>
      </w:r>
      <w:r w:rsidRPr="00311C3B">
        <w:tab/>
        <w:t>Potentially Affected Fraction (PAF) of species and ecological processes</w:t>
      </w:r>
      <w:r w:rsidRPr="00311C3B" w:rsidDel="005163D3">
        <w:t xml:space="preserve"> </w:t>
      </w:r>
    </w:p>
  </w:footnote>
  <w:footnote w:id="44">
    <w:p w14:paraId="700DF384" w14:textId="1553CC61" w:rsidR="0067767C" w:rsidRPr="00677B0A" w:rsidRDefault="0067767C" w:rsidP="00677B0A">
      <w:pPr>
        <w:pStyle w:val="EEAFootnote0"/>
      </w:pPr>
      <w:r w:rsidRPr="00677B0A">
        <w:rPr>
          <w:rStyle w:val="Funotenzeichen"/>
          <w:vertAlign w:val="baseline"/>
        </w:rPr>
        <w:footnoteRef/>
      </w:r>
      <w:r w:rsidRPr="00677B0A">
        <w:t xml:space="preserve"> </w:t>
      </w:r>
      <w:r w:rsidRPr="00677B0A">
        <w:tab/>
        <w:t>Tolerable Daily Intake (TDI): the amount of a potentially harmful substance (e.g., contaminant) in food or drinking water that can be ingested daily over a lifetime without appreciable health risks (Becking et al. 2007).</w:t>
      </w:r>
    </w:p>
  </w:footnote>
  <w:footnote w:id="45">
    <w:p w14:paraId="76D13ED9"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Edaphobase, a project under the German contribution to the Global Biodiversity Information Facility, GBIF-D; http://www.portal.edaphobase.org</w:t>
      </w:r>
    </w:p>
  </w:footnote>
  <w:footnote w:id="46">
    <w:p w14:paraId="1B403E52" w14:textId="226129CA" w:rsidR="0067767C" w:rsidRPr="00677B0A" w:rsidRDefault="0067767C" w:rsidP="00677B0A">
      <w:pPr>
        <w:pStyle w:val="EEAFootnote0"/>
      </w:pPr>
      <w:r w:rsidRPr="00677B0A">
        <w:rPr>
          <w:rStyle w:val="Funotenzeichen"/>
          <w:vertAlign w:val="baseline"/>
        </w:rPr>
        <w:footnoteRef/>
      </w:r>
      <w:r w:rsidRPr="00677B0A">
        <w:t xml:space="preserve"> </w:t>
      </w:r>
      <w:r w:rsidRPr="00677B0A">
        <w:tab/>
        <w:t>The estimate is based on field measurements (see Level III, Table 7-4) from 81 experimental sites in 19 countries</w:t>
      </w:r>
    </w:p>
  </w:footnote>
  <w:footnote w:id="47">
    <w:p w14:paraId="0AA394F4" w14:textId="001A5405" w:rsidR="0067767C" w:rsidRPr="00677B0A" w:rsidRDefault="0067767C" w:rsidP="00677B0A">
      <w:pPr>
        <w:pStyle w:val="EEAFootnote0"/>
      </w:pPr>
      <w:r w:rsidRPr="00677B0A">
        <w:rPr>
          <w:rStyle w:val="Funotenzeichen"/>
          <w:vertAlign w:val="baseline"/>
        </w:rPr>
        <w:footnoteRef/>
      </w:r>
      <w:r w:rsidRPr="00677B0A">
        <w:t xml:space="preserve"> </w:t>
      </w:r>
      <w:r w:rsidRPr="00677B0A">
        <w:tab/>
        <w:t>OECD’s agri-environmental indicators contain “% of agricultural land having moderate to severe water erosion risk” (OECD 2013)</w:t>
      </w:r>
    </w:p>
  </w:footnote>
  <w:footnote w:id="48">
    <w:p w14:paraId="4095FADB" w14:textId="04543CE4" w:rsidR="0067767C" w:rsidRPr="00677B0A" w:rsidRDefault="0067767C" w:rsidP="00677B0A">
      <w:pPr>
        <w:pStyle w:val="EEAFootnote0"/>
      </w:pPr>
      <w:r w:rsidRPr="00677B0A">
        <w:rPr>
          <w:rStyle w:val="Funotenzeichen"/>
          <w:vertAlign w:val="baseline"/>
        </w:rPr>
        <w:footnoteRef/>
      </w:r>
      <w:r w:rsidRPr="00677B0A">
        <w:t xml:space="preserve"> </w:t>
      </w:r>
      <w:r w:rsidRPr="00677B0A">
        <w:tab/>
        <w:t>Surface water run-off is not canalized; water running off uniformly over a surface along slopes</w:t>
      </w:r>
    </w:p>
  </w:footnote>
  <w:footnote w:id="49">
    <w:p w14:paraId="54C56F76" w14:textId="38101A77" w:rsidR="0067767C" w:rsidRPr="00677B0A" w:rsidRDefault="0067767C" w:rsidP="00677B0A">
      <w:pPr>
        <w:pStyle w:val="EEAFootnote0"/>
      </w:pPr>
      <w:r w:rsidRPr="00677B0A">
        <w:rPr>
          <w:rStyle w:val="Funotenzeichen"/>
          <w:vertAlign w:val="baseline"/>
        </w:rPr>
        <w:footnoteRef/>
      </w:r>
      <w:r w:rsidRPr="00677B0A">
        <w:t xml:space="preserve"> </w:t>
      </w:r>
      <w:r w:rsidRPr="00677B0A">
        <w:tab/>
        <w:t>Revised Universal Soil Loss Equation (RUSLE)</w:t>
      </w:r>
    </w:p>
  </w:footnote>
  <w:footnote w:id="50">
    <w:p w14:paraId="76DD5EE6" w14:textId="12F6007B" w:rsidR="0067767C" w:rsidRPr="00677B0A" w:rsidRDefault="0067767C" w:rsidP="00677B0A">
      <w:pPr>
        <w:pStyle w:val="EEAFootnote0"/>
      </w:pPr>
      <w:r w:rsidRPr="00677B0A">
        <w:footnoteRef/>
      </w:r>
      <w:r w:rsidRPr="00677B0A">
        <w:t xml:space="preserve"> </w:t>
      </w:r>
      <w:r w:rsidRPr="00677B0A">
        <w:tab/>
        <w:t>Proctor density defines the maximum bulk density at the optimal water content of the soil sample due to a given dynamic energy applied with a Proctor hammer.</w:t>
      </w:r>
    </w:p>
  </w:footnote>
  <w:footnote w:id="51">
    <w:p w14:paraId="258E8F99" w14:textId="6CC5AF9F" w:rsidR="0067767C" w:rsidRPr="00677B0A" w:rsidRDefault="0067767C" w:rsidP="00677B0A">
      <w:pPr>
        <w:pStyle w:val="EEAFootnote0"/>
      </w:pPr>
      <w:r w:rsidRPr="00677B0A">
        <w:rPr>
          <w:rStyle w:val="Funotenzeichen"/>
          <w:vertAlign w:val="baseline"/>
        </w:rPr>
        <w:footnoteRef/>
      </w:r>
      <w:r w:rsidRPr="00677B0A">
        <w:t xml:space="preserve"> </w:t>
      </w:r>
      <w:r w:rsidRPr="00677B0A">
        <w:tab/>
        <w:t>Stress strain processes define the effects of stress application on the increase in soil particles per soil volume, the changes of pores (diameter and amount) and coinciding air, water, thermal, biological regimes and plant growth.</w:t>
      </w:r>
    </w:p>
  </w:footnote>
  <w:footnote w:id="52">
    <w:p w14:paraId="6927A5BD" w14:textId="3BBAB4DE" w:rsidR="0067767C" w:rsidRPr="00677B0A" w:rsidRDefault="0067767C" w:rsidP="00677B0A">
      <w:pPr>
        <w:pStyle w:val="EEAFootnote0"/>
      </w:pPr>
      <w:r w:rsidRPr="00677B0A">
        <w:rPr>
          <w:rStyle w:val="Funotenzeichen"/>
          <w:vertAlign w:val="baseline"/>
        </w:rPr>
        <w:footnoteRef/>
      </w:r>
      <w:r w:rsidRPr="00677B0A">
        <w:t xml:space="preserve"> </w:t>
      </w:r>
      <w:r w:rsidRPr="00677B0A">
        <w:tab/>
        <w:t xml:space="preserve">Stiffness of a soil, characterized by a soil-specific relationship between stress (force per unit area) and strain (change in size or shape) </w:t>
      </w:r>
    </w:p>
  </w:footnote>
  <w:footnote w:id="53">
    <w:p w14:paraId="52E91EEF" w14:textId="77777777" w:rsidR="0067767C" w:rsidRPr="00BD6FB8" w:rsidRDefault="0067767C" w:rsidP="00E5389F">
      <w:pPr>
        <w:pStyle w:val="EEAFootnote0"/>
        <w:tabs>
          <w:tab w:val="clear" w:pos="567"/>
        </w:tabs>
        <w:ind w:left="284" w:hanging="284"/>
      </w:pPr>
      <w:r w:rsidRPr="00BD6FB8">
        <w:rPr>
          <w:rStyle w:val="Funotenzeichen"/>
          <w:vertAlign w:val="baseline"/>
        </w:rPr>
        <w:footnoteRef/>
      </w:r>
      <w:r w:rsidRPr="00BD6FB8">
        <w:t xml:space="preserve"> </w:t>
      </w:r>
      <w:r w:rsidRPr="00BD6FB8">
        <w:tab/>
        <w:t>Soil matric potential (SMP) indicates the soil water which is held by the soil matrix (soil particles and pore space), and which is the more negative the finer the pore diameter. It also defines the plant available water range as well as the air capacity or the field capacity.</w:t>
      </w:r>
    </w:p>
  </w:footnote>
  <w:footnote w:id="54">
    <w:p w14:paraId="09517DDA" w14:textId="2537DDE9" w:rsidR="0067767C" w:rsidRPr="00BD6FB8" w:rsidRDefault="0067767C" w:rsidP="00E5389F">
      <w:pPr>
        <w:pStyle w:val="EEAFootnote0"/>
        <w:tabs>
          <w:tab w:val="clear" w:pos="567"/>
        </w:tabs>
        <w:ind w:left="284" w:hanging="284"/>
      </w:pPr>
      <w:r w:rsidRPr="00BD6FB8">
        <w:rPr>
          <w:rStyle w:val="Funotenzeichen"/>
          <w:vertAlign w:val="baseline"/>
        </w:rPr>
        <w:footnoteRef/>
      </w:r>
      <w:r w:rsidRPr="00BD6FB8">
        <w:t xml:space="preserve"> </w:t>
      </w:r>
      <w:r w:rsidRPr="00BD6FB8">
        <w:tab/>
        <w:t>Static (= vertical) loading results in a three-dimensional soil displacement with a preferential dominance in the vertical direction, while wheeling additionally induces three-dimensional displacement: a forced vertical and a more prominent lateral as well as tangential particle movement due to sliding. The latter causes the blockage of pores apart from the reduction in pore diameter or even a complete closure.</w:t>
      </w:r>
    </w:p>
  </w:footnote>
  <w:footnote w:id="55">
    <w:p w14:paraId="1655C7C0" w14:textId="72264341" w:rsidR="0067767C" w:rsidRPr="00677B0A" w:rsidRDefault="0067767C" w:rsidP="00677B0A">
      <w:pPr>
        <w:pStyle w:val="EEAFootnote0"/>
      </w:pPr>
      <w:r w:rsidRPr="00677B0A">
        <w:rPr>
          <w:rStyle w:val="Funotenzeichen"/>
          <w:vertAlign w:val="baseline"/>
        </w:rPr>
        <w:footnoteRef/>
      </w:r>
      <w:r w:rsidRPr="00677B0A">
        <w:t xml:space="preserve"> </w:t>
      </w:r>
      <w:r w:rsidRPr="00677B0A">
        <w:tab/>
        <w:t>Packing density (a dimensionless value) is defined as the sum of the bulk density and a percentage of clay in order to indirectly include the aggregate formation effects.</w:t>
      </w:r>
    </w:p>
  </w:footnote>
  <w:footnote w:id="56">
    <w:p w14:paraId="73DCC306" w14:textId="6633BD26" w:rsidR="0067767C" w:rsidRPr="00677B0A" w:rsidRDefault="0067767C" w:rsidP="00677B0A">
      <w:pPr>
        <w:pStyle w:val="EEAFootnote0"/>
      </w:pPr>
      <w:r w:rsidRPr="00677B0A">
        <w:rPr>
          <w:rStyle w:val="Funotenzeichen"/>
          <w:vertAlign w:val="baseline"/>
        </w:rPr>
        <w:footnoteRef/>
      </w:r>
      <w:r w:rsidRPr="00677B0A">
        <w:t xml:space="preserve"> </w:t>
      </w:r>
      <w:r w:rsidRPr="00677B0A">
        <w:tab/>
      </w:r>
      <w:proofErr w:type="gramStart"/>
      <w:r w:rsidRPr="00677B0A">
        <w:t>strain</w:t>
      </w:r>
      <w:proofErr w:type="gramEnd"/>
      <w:r w:rsidRPr="00677B0A">
        <w:t xml:space="preserve"> is a measure of deformation representing the displacement between particles at a given stress applied. It is defined e.g. as height change, void ratio </w:t>
      </w:r>
    </w:p>
  </w:footnote>
  <w:footnote w:id="57">
    <w:p w14:paraId="044F4E56" w14:textId="77777777" w:rsidR="0067767C" w:rsidRPr="00677B0A" w:rsidRDefault="0067767C" w:rsidP="00677B0A">
      <w:pPr>
        <w:pStyle w:val="EEAFootnote0"/>
      </w:pPr>
      <w:r w:rsidRPr="00677B0A">
        <w:rPr>
          <w:rStyle w:val="Funotenzeichen"/>
          <w:vertAlign w:val="baseline"/>
        </w:rPr>
        <w:footnoteRef/>
      </w:r>
      <w:r w:rsidRPr="00677B0A">
        <w:t xml:space="preserve"> </w:t>
      </w:r>
      <w:r w:rsidRPr="00677B0A">
        <w:tab/>
        <w:t>European Environment Agency, interactive data viewer: “Imperviousness in Europe”</w:t>
      </w:r>
      <w:r w:rsidRPr="00677B0A">
        <w:br/>
        <w:t>https://www.eea.europa.eu/data-and-maps/dashboards/imperviousness-in-europe</w:t>
      </w:r>
    </w:p>
  </w:footnote>
  <w:footnote w:id="58">
    <w:p w14:paraId="762A176C" w14:textId="77777777"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p15, milestone 4.6; COM(2011) 571, Roadmap to a Resource Efficient Europe</w:t>
      </w:r>
    </w:p>
  </w:footnote>
  <w:footnote w:id="59">
    <w:p w14:paraId="47D18EC8" w14:textId="77777777"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 xml:space="preserve">p36, Strategic Vision of the Spatial Policy Plan of Flanders, </w:t>
      </w:r>
      <w:r w:rsidRPr="00BD6FB8">
        <w:br/>
        <w:t xml:space="preserve">available at: </w:t>
      </w:r>
      <w:hyperlink r:id="rId14" w:history="1">
        <w:r w:rsidRPr="00BD6FB8">
          <w:rPr>
            <w:rStyle w:val="Hyperlink"/>
            <w:color w:val="auto"/>
            <w:u w:val="none"/>
          </w:rPr>
          <w:t>https://www.vlaanderen.be/publicaties/beleidsplan-ruimte-vlaanderen-strategische-visie-geillustreerde-versie</w:t>
        </w:r>
      </w:hyperlink>
      <w:r w:rsidRPr="00BD6FB8">
        <w:t xml:space="preserve"> [last accessed on 17 August 2020]</w:t>
      </w:r>
    </w:p>
  </w:footnote>
  <w:footnote w:id="60">
    <w:p w14:paraId="4D5F74EF" w14:textId="77777777"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 xml:space="preserve">p 104, Austrian Government Programme 2020 – 2024, available at: </w:t>
      </w:r>
      <w:hyperlink r:id="rId15" w:history="1">
        <w:r w:rsidRPr="00BD6FB8">
          <w:rPr>
            <w:rStyle w:val="Hyperlink"/>
            <w:color w:val="auto"/>
            <w:u w:val="none"/>
          </w:rPr>
          <w:t>https://www.bundeskanzleramt.gv.at/bundeskanzleramt/die-bundesregierung/regierungsdokumente.html</w:t>
        </w:r>
      </w:hyperlink>
      <w:r w:rsidRPr="00BD6FB8">
        <w:t xml:space="preserve"> [last accessed on 17 August 2020]</w:t>
      </w:r>
    </w:p>
  </w:footnote>
  <w:footnote w:id="61">
    <w:p w14:paraId="6215CC57" w14:textId="77777777"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 xml:space="preserve">German Sustainability Strategy 2016, available at </w:t>
      </w:r>
      <w:hyperlink r:id="rId16" w:history="1">
        <w:r w:rsidRPr="00BD6FB8">
          <w:rPr>
            <w:rStyle w:val="Hyperlink"/>
            <w:color w:val="auto"/>
            <w:u w:val="none"/>
          </w:rPr>
          <w:t>https://sustainabledevelopment-deutschland.github.io/en/11-1-a/</w:t>
        </w:r>
      </w:hyperlink>
      <w:r w:rsidRPr="00BD6FB8">
        <w:t xml:space="preserve"> [last accessed on 17 August 2020]</w:t>
      </w:r>
    </w:p>
  </w:footnote>
  <w:footnote w:id="62">
    <w:p w14:paraId="794D0570" w14:textId="2BF7DA22"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p35, Un Luxembourg durab</w:t>
      </w:r>
      <w:r>
        <w:t>l</w:t>
      </w:r>
      <w:r w:rsidRPr="00BD6FB8">
        <w:t xml:space="preserve">e pour une meilleure qualité de vie (2010), available at: </w:t>
      </w:r>
      <w:hyperlink r:id="rId17" w:history="1">
        <w:r w:rsidRPr="00BD6FB8">
          <w:rPr>
            <w:rStyle w:val="Hyperlink"/>
            <w:color w:val="auto"/>
            <w:u w:val="none"/>
          </w:rPr>
          <w:t>https://environnement.public.lu/dam-assets/documents/developpement-durable/Un-Luxembourg-plus-durable-pour-une-meilleure-qualite-de-vie-2010.pdf</w:t>
        </w:r>
      </w:hyperlink>
      <w:r w:rsidRPr="00BD6FB8">
        <w:t xml:space="preserve"> [last accessed on 17 August 2020]</w:t>
      </w:r>
    </w:p>
  </w:footnote>
  <w:footnote w:id="63">
    <w:p w14:paraId="1AD67FBE" w14:textId="77777777" w:rsidR="0067767C" w:rsidRPr="00BD6FB8" w:rsidRDefault="0067767C" w:rsidP="002D189C">
      <w:pPr>
        <w:pStyle w:val="EEAFootnote0"/>
        <w:tabs>
          <w:tab w:val="clear" w:pos="567"/>
        </w:tabs>
        <w:ind w:left="426" w:hanging="426"/>
      </w:pPr>
      <w:r w:rsidRPr="00BD6FB8">
        <w:rPr>
          <w:rStyle w:val="Funotenzeichen"/>
          <w:vertAlign w:val="baseline"/>
        </w:rPr>
        <w:footnoteRef/>
      </w:r>
      <w:r w:rsidRPr="00BD6FB8">
        <w:t xml:space="preserve"> </w:t>
      </w:r>
      <w:r w:rsidRPr="00BD6FB8">
        <w:tab/>
        <w:t xml:space="preserve">The law of agricultural and fishery modernization, available at: </w:t>
      </w:r>
      <w:hyperlink r:id="rId18" w:history="1">
        <w:r w:rsidRPr="00BD6FB8">
          <w:rPr>
            <w:rStyle w:val="Hyperlink"/>
            <w:color w:val="auto"/>
            <w:u w:val="none"/>
          </w:rPr>
          <w:t>https://artificialisation.biodiversitetousvivants.fr/</w:t>
        </w:r>
      </w:hyperlink>
      <w:r w:rsidRPr="00BD6FB8">
        <w:t xml:space="preserve"> [last accessed on 17 August 2020]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07830" w14:textId="77777777" w:rsidR="0067767C" w:rsidRDefault="0067767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11AE8" w14:textId="002B9D61" w:rsidR="0067767C" w:rsidRPr="003E25FF" w:rsidRDefault="0067767C" w:rsidP="00B24722">
    <w:pPr>
      <w:pStyle w:val="Kopfzeile"/>
      <w:rPr>
        <w:sz w:val="18"/>
        <w:szCs w:val="18"/>
      </w:rPr>
    </w:pPr>
  </w:p>
  <w:p w14:paraId="30E1D8D3" w14:textId="18252CA2" w:rsidR="0067767C" w:rsidRDefault="0067767C" w:rsidP="00B24722">
    <w:pPr>
      <w:pStyle w:val="BasicParagraph"/>
      <w:tabs>
        <w:tab w:val="left" w:pos="8647"/>
      </w:tabs>
      <w:jc w:val="right"/>
      <w:rPr>
        <w:rFonts w:ascii="OpenSans" w:hAnsi="OpenSans" w:cs="OpenSans"/>
        <w:sz w:val="18"/>
        <w:szCs w:val="18"/>
      </w:rPr>
    </w:pPr>
  </w:p>
  <w:p w14:paraId="6347E660" w14:textId="273A0BF0" w:rsidR="0067767C" w:rsidRPr="005A6BFC" w:rsidRDefault="0067767C" w:rsidP="00B24722">
    <w:pPr>
      <w:pStyle w:val="BasicParagraph"/>
      <w:tabs>
        <w:tab w:val="left" w:pos="8647"/>
      </w:tabs>
      <w:jc w:val="right"/>
      <w:rPr>
        <w:rFonts w:ascii="OpenSans" w:hAnsi="OpenSans" w:cs="OpenSans"/>
        <w:sz w:val="18"/>
        <w:szCs w:val="18"/>
      </w:rPr>
    </w:pPr>
  </w:p>
  <w:p w14:paraId="585DEBE8" w14:textId="0ED00CC7" w:rsidR="0067767C" w:rsidRPr="004F27E3" w:rsidRDefault="0067767C" w:rsidP="00B24722">
    <w:pPr>
      <w:pStyle w:val="BasicParagraph"/>
      <w:tabs>
        <w:tab w:val="left" w:pos="8647"/>
      </w:tabs>
      <w:ind w:left="3515"/>
      <w:jc w:val="right"/>
      <w:rPr>
        <w:rFonts w:ascii="Calibri" w:hAnsi="Calibri" w:cs="OpenSans"/>
        <w:sz w:val="18"/>
        <w:szCs w:val="18"/>
        <w:lang w:val="fr-FR"/>
      </w:rPr>
    </w:pPr>
    <w:r>
      <w:rPr>
        <w:noProof/>
        <w:lang w:eastAsia="en-GB"/>
      </w:rPr>
      <mc:AlternateContent>
        <mc:Choice Requires="wps">
          <w:drawing>
            <wp:anchor distT="0" distB="0" distL="114300" distR="114300" simplePos="0" relativeHeight="251622912" behindDoc="0" locked="0" layoutInCell="1" allowOverlap="1" wp14:anchorId="6E544030" wp14:editId="674E902E">
              <wp:simplePos x="0" y="0"/>
              <wp:positionH relativeFrom="margin">
                <wp:posOffset>-506095</wp:posOffset>
              </wp:positionH>
              <wp:positionV relativeFrom="paragraph">
                <wp:posOffset>319405</wp:posOffset>
              </wp:positionV>
              <wp:extent cx="6581775" cy="1533525"/>
              <wp:effectExtent l="0" t="0" r="0" b="9525"/>
              <wp:wrapNone/>
              <wp:docPr id="2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890C5" w14:textId="7AFCC20D" w:rsidR="0067767C" w:rsidRPr="002E7F89" w:rsidRDefault="0067767C" w:rsidP="00EE16C9">
                          <w:pPr>
                            <w:jc w:val="right"/>
                            <w:rPr>
                              <w:rFonts w:asciiTheme="majorHAnsi" w:hAnsiTheme="majorHAnsi" w:cstheme="majorHAnsi"/>
                              <w:sz w:val="52"/>
                              <w:szCs w:val="52"/>
                              <w:lang w:eastAsia="pt-PT"/>
                            </w:rPr>
                          </w:pPr>
                          <w:r w:rsidRPr="002E7F89">
                            <w:rPr>
                              <w:rFonts w:asciiTheme="majorHAnsi" w:hAnsiTheme="majorHAnsi" w:cstheme="majorHAnsi"/>
                              <w:b/>
                              <w:bCs/>
                              <w:sz w:val="52"/>
                              <w:szCs w:val="52"/>
                              <w:lang w:eastAsia="pt-PT"/>
                            </w:rPr>
                            <w:t>Soil monitoring in Europe</w:t>
                          </w:r>
                        </w:p>
                        <w:p w14:paraId="0269A2A2" w14:textId="72A0D2C1" w:rsidR="0067767C" w:rsidRPr="002E7F89" w:rsidRDefault="0067767C" w:rsidP="00EE16C9">
                          <w:pPr>
                            <w:jc w:val="right"/>
                            <w:rPr>
                              <w:rFonts w:asciiTheme="majorHAnsi" w:hAnsiTheme="majorHAnsi" w:cstheme="majorHAnsi"/>
                              <w:sz w:val="44"/>
                              <w:szCs w:val="44"/>
                              <w:lang w:eastAsia="pt-PT"/>
                            </w:rPr>
                          </w:pPr>
                          <w:r w:rsidRPr="002E7F89">
                            <w:rPr>
                              <w:rFonts w:asciiTheme="majorHAnsi" w:hAnsiTheme="majorHAnsi" w:cstheme="majorHAnsi"/>
                              <w:sz w:val="44"/>
                              <w:szCs w:val="44"/>
                              <w:lang w:eastAsia="pt-PT"/>
                            </w:rPr>
                            <w:t>Indicators and thresholds for soil quality assessments</w:t>
                          </w:r>
                        </w:p>
                        <w:p w14:paraId="1EC21E0B" w14:textId="18073D14" w:rsidR="0067767C" w:rsidRDefault="0067767C" w:rsidP="00EE16C9">
                          <w:pPr>
                            <w:jc w:val="right"/>
                            <w:rPr>
                              <w:rFonts w:asciiTheme="majorHAnsi" w:hAnsiTheme="majorHAnsi" w:cstheme="majorHAnsi"/>
                              <w:sz w:val="32"/>
                              <w:szCs w:val="32"/>
                              <w:lang w:eastAsia="pt-PT"/>
                            </w:rPr>
                          </w:pPr>
                        </w:p>
                        <w:p w14:paraId="68BEDAC4" w14:textId="37A26323" w:rsidR="0067767C" w:rsidRPr="00AA0AA8" w:rsidRDefault="0067767C" w:rsidP="00EE16C9">
                          <w:pPr>
                            <w:jc w:val="right"/>
                            <w:rPr>
                              <w:sz w:val="32"/>
                              <w:szCs w:val="32"/>
                            </w:rPr>
                          </w:pPr>
                          <w:r>
                            <w:rPr>
                              <w:rFonts w:asciiTheme="majorHAnsi" w:hAnsiTheme="majorHAnsi" w:cstheme="majorHAnsi"/>
                              <w:sz w:val="32"/>
                              <w:szCs w:val="32"/>
                              <w:lang w:eastAsia="pt-PT"/>
                            </w:rPr>
                            <w:t>Version 24 Sept. 2021 for 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44030" id="_x0000_t202" coordsize="21600,21600" o:spt="202" path="m,l,21600r21600,l21600,xe">
              <v:stroke joinstyle="miter"/>
              <v:path gradientshapeok="t" o:connecttype="rect"/>
            </v:shapetype>
            <v:shape id="Text Box 5" o:spid="_x0000_s1030" type="#_x0000_t202" style="position:absolute;left:0;text-align:left;margin-left:-39.85pt;margin-top:25.15pt;width:518.25pt;height:120.7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fEuAIAALsFAAAOAAAAZHJzL2Uyb0RvYy54bWysVNtunDAQfa/Uf7D8Trgs7AIKGyXLUlVK&#10;L1LSD/CCWayCTW3vQhr13zs2e0vyUrXlAdme8Zk5M8dzfTN2LdpTqZjgGfavPIwoL0XF+DbD3x4L&#10;J8ZIacIr0gpOM/xEFb5Zvn93PfQpDUQj2opKBCBcpUOf4UbrPnVdVTa0I+pK9JSDsRayIxq2cutW&#10;kgyA3rVu4HlzdxCy6qUoqVJwmk9GvLT4dU1L/aWuFdWozTDkpu1f2v/G/N3lNUm3kvQNKw9pkL/I&#10;oiOMQ9ATVE40QTvJ3kB1rJRCiVpflaJzRV2zkloOwMb3XrF5aEhPLRcojupPZVL/D7b8vP8qEasy&#10;HMww4qSDHj3SUaM7MaLIlGfoVQpeDz346RGOoc2WqurvRfldIS5WDeFbeiulGBpKKkjPNzfdi6sT&#10;jjIgm+GTqCAM2WlhgcZadqZ2UA0E6NCmp1NrTColHM6j2F8sIoxKsPnRbBYFNjuXpMfrvVT6AxUd&#10;MosMS+i9hSf7e6VNOiQ9uphoXBSsbW3/W/7iABynEwgOV43NpGHb+Zx4yTpex6ETBvO1E3p57twW&#10;q9CZF/4iymf5apX7v0xcP0wbVlWUmzBHafnhn7XuIPJJFCdxKdGyysCZlJTcblatRHsC0i7sZ4sO&#10;lrOb+zINWwTg8oqSH4TeXZA4xTxeOGERRk6y8GLH85O7ZO6FSZgXLyndM07/nRIaMpyYPlo656Rf&#10;cfPs95YbSTumYXi0rMtwfHIiqdHgmle2tZqwdlpflMKkfy4FtPvYaKtYI9JJrnrcjIBiZLwR1RNo&#10;VwpQFggUJh4sGiF/YjTA9Miw+rEjkmLUfuSg/8QPQzNu7CaMFgFs5KVlc2khvASoDGuMpuVKTyNq&#10;10u2bSDS9OK4uIU3UzOr5nNWh5cGE8KSOkwzM4Iu99brPHOXvwEAAP//AwBQSwMEFAAGAAgAAAAh&#10;AL1825HfAAAACgEAAA8AAABkcnMvZG93bnJldi54bWxMj8tOwzAQRfdI/IM1SOxau4W0TcikQiC2&#10;oJaHxM5NpklEPI5itwl/z7CC5WiO7j03306uU2caQusZYTE3oIhLX7VcI7y9Ps02oEK0XNnOMyF8&#10;U4BtcXmR26zyI+/ovI+1khAOmUVoYuwzrUPZkLNh7nti+R394GyUc6h1NdhRwl2nl8astLMtS0Nj&#10;e3poqPzanxzC+/Px8+PWvNSPLulHPxnNLtWI11fT/R2oSFP8g+FXX9ShEKeDP3EVVIcwW6drQRES&#10;cwNKgDRZyZYDwjJdbEAXuf4/ofgBAAD//wMAUEsBAi0AFAAGAAgAAAAhALaDOJL+AAAA4QEAABMA&#10;AAAAAAAAAAAAAAAAAAAAAFtDb250ZW50X1R5cGVzXS54bWxQSwECLQAUAAYACAAAACEAOP0h/9YA&#10;AACUAQAACwAAAAAAAAAAAAAAAAAvAQAAX3JlbHMvLnJlbHNQSwECLQAUAAYACAAAACEAMJ0HxLgC&#10;AAC7BQAADgAAAAAAAAAAAAAAAAAuAgAAZHJzL2Uyb0RvYy54bWxQSwECLQAUAAYACAAAACEAvXzb&#10;kd8AAAAKAQAADwAAAAAAAAAAAAAAAAASBQAAZHJzL2Rvd25yZXYueG1sUEsFBgAAAAAEAAQA8wAA&#10;AB4GAAAAAA==&#10;" filled="f" stroked="f">
              <v:textbox>
                <w:txbxContent>
                  <w:p w14:paraId="68B890C5" w14:textId="7AFCC20D" w:rsidR="0067767C" w:rsidRPr="002E7F89" w:rsidRDefault="0067767C" w:rsidP="00EE16C9">
                    <w:pPr>
                      <w:jc w:val="right"/>
                      <w:rPr>
                        <w:rFonts w:asciiTheme="majorHAnsi" w:hAnsiTheme="majorHAnsi" w:cstheme="majorHAnsi"/>
                        <w:sz w:val="52"/>
                        <w:szCs w:val="52"/>
                        <w:lang w:eastAsia="pt-PT"/>
                      </w:rPr>
                    </w:pPr>
                    <w:r w:rsidRPr="002E7F89">
                      <w:rPr>
                        <w:rFonts w:asciiTheme="majorHAnsi" w:hAnsiTheme="majorHAnsi" w:cstheme="majorHAnsi"/>
                        <w:b/>
                        <w:bCs/>
                        <w:sz w:val="52"/>
                        <w:szCs w:val="52"/>
                        <w:lang w:eastAsia="pt-PT"/>
                      </w:rPr>
                      <w:t>Soil monitoring in Europe</w:t>
                    </w:r>
                  </w:p>
                  <w:p w14:paraId="0269A2A2" w14:textId="72A0D2C1" w:rsidR="0067767C" w:rsidRPr="002E7F89" w:rsidRDefault="0067767C" w:rsidP="00EE16C9">
                    <w:pPr>
                      <w:jc w:val="right"/>
                      <w:rPr>
                        <w:rFonts w:asciiTheme="majorHAnsi" w:hAnsiTheme="majorHAnsi" w:cstheme="majorHAnsi"/>
                        <w:sz w:val="44"/>
                        <w:szCs w:val="44"/>
                        <w:lang w:eastAsia="pt-PT"/>
                      </w:rPr>
                    </w:pPr>
                    <w:r w:rsidRPr="002E7F89">
                      <w:rPr>
                        <w:rFonts w:asciiTheme="majorHAnsi" w:hAnsiTheme="majorHAnsi" w:cstheme="majorHAnsi"/>
                        <w:sz w:val="44"/>
                        <w:szCs w:val="44"/>
                        <w:lang w:eastAsia="pt-PT"/>
                      </w:rPr>
                      <w:t>Indicators and thresholds for soil quality assessments</w:t>
                    </w:r>
                  </w:p>
                  <w:p w14:paraId="1EC21E0B" w14:textId="18073D14" w:rsidR="0067767C" w:rsidRDefault="0067767C" w:rsidP="00EE16C9">
                    <w:pPr>
                      <w:jc w:val="right"/>
                      <w:rPr>
                        <w:rFonts w:asciiTheme="majorHAnsi" w:hAnsiTheme="majorHAnsi" w:cstheme="majorHAnsi"/>
                        <w:sz w:val="32"/>
                        <w:szCs w:val="32"/>
                        <w:lang w:eastAsia="pt-PT"/>
                      </w:rPr>
                    </w:pPr>
                  </w:p>
                  <w:p w14:paraId="68BEDAC4" w14:textId="37A26323" w:rsidR="0067767C" w:rsidRPr="00AA0AA8" w:rsidRDefault="0067767C" w:rsidP="00EE16C9">
                    <w:pPr>
                      <w:jc w:val="right"/>
                      <w:rPr>
                        <w:sz w:val="32"/>
                        <w:szCs w:val="32"/>
                      </w:rPr>
                    </w:pPr>
                    <w:r>
                      <w:rPr>
                        <w:rFonts w:asciiTheme="majorHAnsi" w:hAnsiTheme="majorHAnsi" w:cstheme="majorHAnsi"/>
                        <w:sz w:val="32"/>
                        <w:szCs w:val="32"/>
                        <w:lang w:eastAsia="pt-PT"/>
                      </w:rPr>
                      <w:t>Version 24 Sept. 2021 for REVIEW</w:t>
                    </w:r>
                  </w:p>
                </w:txbxContent>
              </v:textbox>
              <w10:wrap anchorx="margin"/>
            </v:shape>
          </w:pict>
        </mc:Fallback>
      </mc:AlternateContent>
    </w:r>
    <w:r>
      <w:rPr>
        <w:rFonts w:ascii="Calibri" w:hAnsi="Calibri" w:cs="OpenSans"/>
        <w:color w:val="auto"/>
        <w:szCs w:val="18"/>
        <w:lang w:val="fr-FR"/>
      </w:rPr>
      <w:t>EEA ETC/ULS</w:t>
    </w:r>
    <w:r w:rsidRPr="00154643">
      <w:rPr>
        <w:rFonts w:ascii="Calibri" w:hAnsi="Calibri" w:cs="OpenSans"/>
        <w:color w:val="auto"/>
        <w:szCs w:val="18"/>
        <w:lang w:val="fr-FR"/>
      </w:rPr>
      <w:t xml:space="preserve"> Report | 20</w:t>
    </w:r>
    <w:r>
      <w:rPr>
        <w:rFonts w:ascii="Calibri" w:hAnsi="Calibri" w:cs="OpenSans"/>
        <w:color w:val="auto"/>
        <w:szCs w:val="18"/>
        <w:lang w:val="fr-FR"/>
      </w:rPr>
      <w:t>21</w:t>
    </w:r>
    <w:r>
      <w:rPr>
        <w:rFonts w:ascii="Calibri" w:hAnsi="Calibri" w:cs="OpenSans"/>
        <w:color w:val="auto"/>
        <w:szCs w:val="18"/>
        <w:lang w:val="fr-FR"/>
      </w:rPr>
      <w:br/>
    </w:r>
  </w:p>
  <w:p w14:paraId="263006DD" w14:textId="4D0A8290" w:rsidR="0067767C" w:rsidRPr="004F27E3" w:rsidRDefault="0067767C" w:rsidP="00B24722">
    <w:pPr>
      <w:pStyle w:val="BasicParagraph"/>
      <w:tabs>
        <w:tab w:val="left" w:pos="3544"/>
      </w:tabs>
      <w:ind w:left="3515"/>
      <w:rPr>
        <w:rFonts w:ascii="Calibri" w:hAnsi="Calibri" w:cs="OpenSans"/>
        <w:sz w:val="36"/>
        <w:szCs w:val="36"/>
        <w:lang w:val="fr-FR"/>
      </w:rPr>
    </w:pPr>
  </w:p>
  <w:p w14:paraId="542B1F90" w14:textId="00E450C0" w:rsidR="0067767C" w:rsidRDefault="0067767C" w:rsidP="005979F5">
    <w:pPr>
      <w:pStyle w:val="BasicParagraph"/>
      <w:ind w:left="1418"/>
      <w:rPr>
        <w:rFonts w:asciiTheme="majorHAnsi" w:hAnsiTheme="majorHAnsi" w:cstheme="majorHAnsi"/>
        <w:sz w:val="36"/>
        <w:szCs w:val="36"/>
        <w:lang w:val="fr-FR"/>
      </w:rPr>
    </w:pPr>
  </w:p>
  <w:p w14:paraId="70B88FC7" w14:textId="0228E825" w:rsidR="0067767C" w:rsidRPr="001E5C65" w:rsidRDefault="0067767C" w:rsidP="005979F5">
    <w:pPr>
      <w:pStyle w:val="BasicParagraph"/>
      <w:ind w:left="1418"/>
      <w:rPr>
        <w:rFonts w:asciiTheme="majorHAnsi" w:hAnsiTheme="majorHAnsi" w:cstheme="majorHAnsi"/>
        <w:sz w:val="36"/>
        <w:szCs w:val="36"/>
        <w:lang w:val="fr-FR"/>
      </w:rPr>
    </w:pPr>
  </w:p>
  <w:p w14:paraId="1566CBFB" w14:textId="17F68587" w:rsidR="0067767C" w:rsidRPr="001E5C65" w:rsidRDefault="0067767C" w:rsidP="00B24722">
    <w:pPr>
      <w:pStyle w:val="BasicParagraph"/>
      <w:ind w:left="-1247" w:right="-1786"/>
      <w:rPr>
        <w:rFonts w:ascii="OpenSans" w:hAnsi="OpenSans" w:cs="OpenSans"/>
        <w:sz w:val="36"/>
        <w:szCs w:val="36"/>
        <w:lang w:val="fr-FR"/>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1B6D0" w14:textId="77777777" w:rsidR="0067767C" w:rsidRDefault="0067767C">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9FAF8" w14:textId="77777777" w:rsidR="0067767C" w:rsidRPr="001E5C65" w:rsidRDefault="0067767C" w:rsidP="001E5C65">
    <w:pPr>
      <w:pStyle w:val="Kopfzeile"/>
      <w:rPr>
        <w:szCs w:val="36"/>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2A627" w14:textId="77777777" w:rsidR="0067767C" w:rsidRDefault="0067767C">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79CD5" w14:textId="77777777" w:rsidR="0067767C" w:rsidRPr="00886111" w:rsidRDefault="0067767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88EAF3C6"/>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4CD5B3E"/>
    <w:multiLevelType w:val="hybridMultilevel"/>
    <w:tmpl w:val="96384D3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9504791"/>
    <w:multiLevelType w:val="hybridMultilevel"/>
    <w:tmpl w:val="D12E8752"/>
    <w:lvl w:ilvl="0" w:tplc="FE26B1D2">
      <w:start w:val="1"/>
      <w:numFmt w:val="bullet"/>
      <w:pStyle w:val="EEAbullet"/>
      <w:lvlText w:val=""/>
      <w:lvlJc w:val="left"/>
      <w:pPr>
        <w:ind w:left="720" w:hanging="360"/>
      </w:pPr>
      <w:rPr>
        <w:rFonts w:ascii="Symbol" w:hAnsi="Symbol" w:hint="default"/>
      </w:rPr>
    </w:lvl>
    <w:lvl w:ilvl="1" w:tplc="B43CEB60">
      <w:numFmt w:val="bullet"/>
      <w:lvlText w:val="•"/>
      <w:lvlJc w:val="left"/>
      <w:pPr>
        <w:ind w:left="1800" w:hanging="720"/>
      </w:pPr>
      <w:rPr>
        <w:rFonts w:ascii="Calibri" w:eastAsia="Times New Roman" w:hAnsi="Calibri" w:cs="Calibri"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9E361BD"/>
    <w:multiLevelType w:val="hybridMultilevel"/>
    <w:tmpl w:val="3282064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B291BB9"/>
    <w:multiLevelType w:val="hybridMultilevel"/>
    <w:tmpl w:val="662C191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C7E4A47"/>
    <w:multiLevelType w:val="hybridMultilevel"/>
    <w:tmpl w:val="C21AFD12"/>
    <w:lvl w:ilvl="0" w:tplc="FF6EADEC">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CEC3D39"/>
    <w:multiLevelType w:val="hybridMultilevel"/>
    <w:tmpl w:val="F0C8ABAA"/>
    <w:lvl w:ilvl="0" w:tplc="09D45680">
      <w:numFmt w:val="bullet"/>
      <w:lvlText w:val="-"/>
      <w:lvlJc w:val="left"/>
      <w:pPr>
        <w:ind w:left="720" w:hanging="360"/>
      </w:pPr>
      <w:rPr>
        <w:rFonts w:ascii="Calibri" w:eastAsia="Times New Roman"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2AEB2396"/>
    <w:multiLevelType w:val="hybridMultilevel"/>
    <w:tmpl w:val="DCECD7E6"/>
    <w:lvl w:ilvl="0" w:tplc="0FC2F46E">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2E384B31"/>
    <w:multiLevelType w:val="multilevel"/>
    <w:tmpl w:val="BECE58E4"/>
    <w:lvl w:ilvl="0">
      <w:start w:val="1"/>
      <w:numFmt w:val="decimal"/>
      <w:pStyle w:val="berschrift1"/>
      <w:lvlText w:val="%1"/>
      <w:lvlJc w:val="left"/>
      <w:pPr>
        <w:ind w:left="1991" w:hanging="432"/>
      </w:pPr>
      <w:rPr>
        <w:rFonts w:hint="default"/>
      </w:rPr>
    </w:lvl>
    <w:lvl w:ilvl="1">
      <w:start w:val="1"/>
      <w:numFmt w:val="decimal"/>
      <w:pStyle w:val="berschrift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4C8304FC"/>
    <w:multiLevelType w:val="hybridMultilevel"/>
    <w:tmpl w:val="B9A8F0A2"/>
    <w:lvl w:ilvl="0" w:tplc="0FC2F46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4DAC0608"/>
    <w:multiLevelType w:val="hybridMultilevel"/>
    <w:tmpl w:val="05BE8754"/>
    <w:lvl w:ilvl="0" w:tplc="0FC2F46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5054799C"/>
    <w:multiLevelType w:val="hybridMultilevel"/>
    <w:tmpl w:val="83107700"/>
    <w:lvl w:ilvl="0" w:tplc="14CE784C">
      <w:start w:val="1"/>
      <w:numFmt w:val="bullet"/>
      <w:pStyle w:val="GAbullet05cm"/>
      <w:lvlText w:val=""/>
      <w:lvlJc w:val="left"/>
      <w:pPr>
        <w:ind w:left="360" w:hanging="360"/>
      </w:pPr>
      <w:rPr>
        <w:rFonts w:ascii="Symbol" w:hAnsi="Symbol" w:hint="default"/>
      </w:rPr>
    </w:lvl>
    <w:lvl w:ilvl="1" w:tplc="96EA1F8C" w:tentative="1">
      <w:start w:val="1"/>
      <w:numFmt w:val="bullet"/>
      <w:lvlText w:val="o"/>
      <w:lvlJc w:val="left"/>
      <w:pPr>
        <w:ind w:left="2064" w:hanging="360"/>
      </w:pPr>
      <w:rPr>
        <w:rFonts w:ascii="Courier New" w:hAnsi="Courier New" w:hint="default"/>
      </w:rPr>
    </w:lvl>
    <w:lvl w:ilvl="2" w:tplc="8CBA2624">
      <w:start w:val="1"/>
      <w:numFmt w:val="bullet"/>
      <w:lvlText w:val=""/>
      <w:lvlJc w:val="left"/>
      <w:pPr>
        <w:ind w:left="2784" w:hanging="360"/>
      </w:pPr>
      <w:rPr>
        <w:rFonts w:ascii="Wingdings" w:hAnsi="Wingdings" w:hint="default"/>
      </w:rPr>
    </w:lvl>
    <w:lvl w:ilvl="3" w:tplc="880C9B16" w:tentative="1">
      <w:start w:val="1"/>
      <w:numFmt w:val="bullet"/>
      <w:lvlText w:val=""/>
      <w:lvlJc w:val="left"/>
      <w:pPr>
        <w:ind w:left="3504" w:hanging="360"/>
      </w:pPr>
      <w:rPr>
        <w:rFonts w:ascii="Symbol" w:hAnsi="Symbol" w:hint="default"/>
      </w:rPr>
    </w:lvl>
    <w:lvl w:ilvl="4" w:tplc="2FF2E406" w:tentative="1">
      <w:start w:val="1"/>
      <w:numFmt w:val="bullet"/>
      <w:lvlText w:val="o"/>
      <w:lvlJc w:val="left"/>
      <w:pPr>
        <w:ind w:left="4224" w:hanging="360"/>
      </w:pPr>
      <w:rPr>
        <w:rFonts w:ascii="Courier New" w:hAnsi="Courier New" w:hint="default"/>
      </w:rPr>
    </w:lvl>
    <w:lvl w:ilvl="5" w:tplc="4DFAF9F0" w:tentative="1">
      <w:start w:val="1"/>
      <w:numFmt w:val="bullet"/>
      <w:lvlText w:val=""/>
      <w:lvlJc w:val="left"/>
      <w:pPr>
        <w:ind w:left="4944" w:hanging="360"/>
      </w:pPr>
      <w:rPr>
        <w:rFonts w:ascii="Wingdings" w:hAnsi="Wingdings" w:hint="default"/>
      </w:rPr>
    </w:lvl>
    <w:lvl w:ilvl="6" w:tplc="14566C32" w:tentative="1">
      <w:start w:val="1"/>
      <w:numFmt w:val="bullet"/>
      <w:lvlText w:val=""/>
      <w:lvlJc w:val="left"/>
      <w:pPr>
        <w:ind w:left="5664" w:hanging="360"/>
      </w:pPr>
      <w:rPr>
        <w:rFonts w:ascii="Symbol" w:hAnsi="Symbol" w:hint="default"/>
      </w:rPr>
    </w:lvl>
    <w:lvl w:ilvl="7" w:tplc="55E25202" w:tentative="1">
      <w:start w:val="1"/>
      <w:numFmt w:val="bullet"/>
      <w:lvlText w:val="o"/>
      <w:lvlJc w:val="left"/>
      <w:pPr>
        <w:ind w:left="6384" w:hanging="360"/>
      </w:pPr>
      <w:rPr>
        <w:rFonts w:ascii="Courier New" w:hAnsi="Courier New" w:hint="default"/>
      </w:rPr>
    </w:lvl>
    <w:lvl w:ilvl="8" w:tplc="A3709AC0" w:tentative="1">
      <w:start w:val="1"/>
      <w:numFmt w:val="bullet"/>
      <w:lvlText w:val=""/>
      <w:lvlJc w:val="left"/>
      <w:pPr>
        <w:ind w:left="7104" w:hanging="360"/>
      </w:pPr>
      <w:rPr>
        <w:rFonts w:ascii="Wingdings" w:hAnsi="Wingdings" w:hint="default"/>
      </w:rPr>
    </w:lvl>
  </w:abstractNum>
  <w:abstractNum w:abstractNumId="12" w15:restartNumberingAfterBreak="0">
    <w:nsid w:val="51211A3A"/>
    <w:multiLevelType w:val="hybridMultilevel"/>
    <w:tmpl w:val="BF7A29A6"/>
    <w:lvl w:ilvl="0" w:tplc="1C72AAC0">
      <w:start w:val="1"/>
      <w:numFmt w:val="bullet"/>
      <w:pStyle w:val="EEAbullet2"/>
      <w:lvlText w:val="o"/>
      <w:lvlJc w:val="left"/>
      <w:pPr>
        <w:ind w:left="1117" w:hanging="360"/>
      </w:pPr>
      <w:rPr>
        <w:rFonts w:ascii="Courier New" w:hAnsi="Courier New" w:cs="Courier New" w:hint="default"/>
      </w:rPr>
    </w:lvl>
    <w:lvl w:ilvl="1" w:tplc="0C070003" w:tentative="1">
      <w:start w:val="1"/>
      <w:numFmt w:val="bullet"/>
      <w:lvlText w:val="o"/>
      <w:lvlJc w:val="left"/>
      <w:pPr>
        <w:ind w:left="1837" w:hanging="360"/>
      </w:pPr>
      <w:rPr>
        <w:rFonts w:ascii="Courier New" w:hAnsi="Courier New" w:cs="Courier New" w:hint="default"/>
      </w:rPr>
    </w:lvl>
    <w:lvl w:ilvl="2" w:tplc="0C070005" w:tentative="1">
      <w:start w:val="1"/>
      <w:numFmt w:val="bullet"/>
      <w:lvlText w:val=""/>
      <w:lvlJc w:val="left"/>
      <w:pPr>
        <w:ind w:left="2557" w:hanging="360"/>
      </w:pPr>
      <w:rPr>
        <w:rFonts w:ascii="Wingdings" w:hAnsi="Wingdings" w:hint="default"/>
      </w:rPr>
    </w:lvl>
    <w:lvl w:ilvl="3" w:tplc="0C070001" w:tentative="1">
      <w:start w:val="1"/>
      <w:numFmt w:val="bullet"/>
      <w:lvlText w:val=""/>
      <w:lvlJc w:val="left"/>
      <w:pPr>
        <w:ind w:left="3277" w:hanging="360"/>
      </w:pPr>
      <w:rPr>
        <w:rFonts w:ascii="Symbol" w:hAnsi="Symbol" w:hint="default"/>
      </w:rPr>
    </w:lvl>
    <w:lvl w:ilvl="4" w:tplc="0C070003" w:tentative="1">
      <w:start w:val="1"/>
      <w:numFmt w:val="bullet"/>
      <w:lvlText w:val="o"/>
      <w:lvlJc w:val="left"/>
      <w:pPr>
        <w:ind w:left="3997" w:hanging="360"/>
      </w:pPr>
      <w:rPr>
        <w:rFonts w:ascii="Courier New" w:hAnsi="Courier New" w:cs="Courier New" w:hint="default"/>
      </w:rPr>
    </w:lvl>
    <w:lvl w:ilvl="5" w:tplc="0C070005" w:tentative="1">
      <w:start w:val="1"/>
      <w:numFmt w:val="bullet"/>
      <w:lvlText w:val=""/>
      <w:lvlJc w:val="left"/>
      <w:pPr>
        <w:ind w:left="4717" w:hanging="360"/>
      </w:pPr>
      <w:rPr>
        <w:rFonts w:ascii="Wingdings" w:hAnsi="Wingdings" w:hint="default"/>
      </w:rPr>
    </w:lvl>
    <w:lvl w:ilvl="6" w:tplc="0C070001" w:tentative="1">
      <w:start w:val="1"/>
      <w:numFmt w:val="bullet"/>
      <w:lvlText w:val=""/>
      <w:lvlJc w:val="left"/>
      <w:pPr>
        <w:ind w:left="5437" w:hanging="360"/>
      </w:pPr>
      <w:rPr>
        <w:rFonts w:ascii="Symbol" w:hAnsi="Symbol" w:hint="default"/>
      </w:rPr>
    </w:lvl>
    <w:lvl w:ilvl="7" w:tplc="0C070003" w:tentative="1">
      <w:start w:val="1"/>
      <w:numFmt w:val="bullet"/>
      <w:lvlText w:val="o"/>
      <w:lvlJc w:val="left"/>
      <w:pPr>
        <w:ind w:left="6157" w:hanging="360"/>
      </w:pPr>
      <w:rPr>
        <w:rFonts w:ascii="Courier New" w:hAnsi="Courier New" w:cs="Courier New" w:hint="default"/>
      </w:rPr>
    </w:lvl>
    <w:lvl w:ilvl="8" w:tplc="0C070005" w:tentative="1">
      <w:start w:val="1"/>
      <w:numFmt w:val="bullet"/>
      <w:lvlText w:val=""/>
      <w:lvlJc w:val="left"/>
      <w:pPr>
        <w:ind w:left="6877" w:hanging="360"/>
      </w:pPr>
      <w:rPr>
        <w:rFonts w:ascii="Wingdings" w:hAnsi="Wingdings" w:hint="default"/>
      </w:rPr>
    </w:lvl>
  </w:abstractNum>
  <w:abstractNum w:abstractNumId="13" w15:restartNumberingAfterBreak="0">
    <w:nsid w:val="522C1BB0"/>
    <w:multiLevelType w:val="hybridMultilevel"/>
    <w:tmpl w:val="DCD0A136"/>
    <w:lvl w:ilvl="0" w:tplc="1A00D7DC">
      <w:start w:val="1"/>
      <w:numFmt w:val="bullet"/>
      <w:pStyle w:val="EEAtabbull"/>
      <w:lvlText w:val="-"/>
      <w:lvlJc w:val="left"/>
      <w:pPr>
        <w:ind w:left="720" w:hanging="360"/>
      </w:pPr>
      <w:rPr>
        <w:rFonts w:ascii="Calibri" w:eastAsia="Times New Roman" w:hAnsi="Calibri"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5D1125A7"/>
    <w:multiLevelType w:val="hybridMultilevel"/>
    <w:tmpl w:val="4D448860"/>
    <w:lvl w:ilvl="0" w:tplc="196C89B0">
      <w:start w:val="1"/>
      <w:numFmt w:val="bullet"/>
      <w:pStyle w:val="EEAbullet20"/>
      <w:lvlText w:val="o"/>
      <w:lvlJc w:val="left"/>
      <w:pPr>
        <w:ind w:left="2705" w:hanging="360"/>
      </w:pPr>
      <w:rPr>
        <w:rFonts w:ascii="Courier New" w:hAnsi="Courier New" w:cs="Courier New" w:hint="default"/>
      </w:rPr>
    </w:lvl>
    <w:lvl w:ilvl="1" w:tplc="0C070003" w:tentative="1">
      <w:start w:val="1"/>
      <w:numFmt w:val="bullet"/>
      <w:lvlText w:val="o"/>
      <w:lvlJc w:val="left"/>
      <w:pPr>
        <w:ind w:left="3425" w:hanging="360"/>
      </w:pPr>
      <w:rPr>
        <w:rFonts w:ascii="Courier New" w:hAnsi="Courier New" w:cs="Courier New" w:hint="default"/>
      </w:rPr>
    </w:lvl>
    <w:lvl w:ilvl="2" w:tplc="0C070005" w:tentative="1">
      <w:start w:val="1"/>
      <w:numFmt w:val="bullet"/>
      <w:lvlText w:val=""/>
      <w:lvlJc w:val="left"/>
      <w:pPr>
        <w:ind w:left="4145" w:hanging="360"/>
      </w:pPr>
      <w:rPr>
        <w:rFonts w:ascii="Wingdings" w:hAnsi="Wingdings" w:hint="default"/>
      </w:rPr>
    </w:lvl>
    <w:lvl w:ilvl="3" w:tplc="0C070001" w:tentative="1">
      <w:start w:val="1"/>
      <w:numFmt w:val="bullet"/>
      <w:lvlText w:val=""/>
      <w:lvlJc w:val="left"/>
      <w:pPr>
        <w:ind w:left="4865" w:hanging="360"/>
      </w:pPr>
      <w:rPr>
        <w:rFonts w:ascii="Symbol" w:hAnsi="Symbol" w:hint="default"/>
      </w:rPr>
    </w:lvl>
    <w:lvl w:ilvl="4" w:tplc="0C070003" w:tentative="1">
      <w:start w:val="1"/>
      <w:numFmt w:val="bullet"/>
      <w:lvlText w:val="o"/>
      <w:lvlJc w:val="left"/>
      <w:pPr>
        <w:ind w:left="5585" w:hanging="360"/>
      </w:pPr>
      <w:rPr>
        <w:rFonts w:ascii="Courier New" w:hAnsi="Courier New" w:cs="Courier New" w:hint="default"/>
      </w:rPr>
    </w:lvl>
    <w:lvl w:ilvl="5" w:tplc="0C070005" w:tentative="1">
      <w:start w:val="1"/>
      <w:numFmt w:val="bullet"/>
      <w:lvlText w:val=""/>
      <w:lvlJc w:val="left"/>
      <w:pPr>
        <w:ind w:left="6305" w:hanging="360"/>
      </w:pPr>
      <w:rPr>
        <w:rFonts w:ascii="Wingdings" w:hAnsi="Wingdings" w:hint="default"/>
      </w:rPr>
    </w:lvl>
    <w:lvl w:ilvl="6" w:tplc="0C070001" w:tentative="1">
      <w:start w:val="1"/>
      <w:numFmt w:val="bullet"/>
      <w:lvlText w:val=""/>
      <w:lvlJc w:val="left"/>
      <w:pPr>
        <w:ind w:left="7025" w:hanging="360"/>
      </w:pPr>
      <w:rPr>
        <w:rFonts w:ascii="Symbol" w:hAnsi="Symbol" w:hint="default"/>
      </w:rPr>
    </w:lvl>
    <w:lvl w:ilvl="7" w:tplc="0C070003" w:tentative="1">
      <w:start w:val="1"/>
      <w:numFmt w:val="bullet"/>
      <w:lvlText w:val="o"/>
      <w:lvlJc w:val="left"/>
      <w:pPr>
        <w:ind w:left="7745" w:hanging="360"/>
      </w:pPr>
      <w:rPr>
        <w:rFonts w:ascii="Courier New" w:hAnsi="Courier New" w:cs="Courier New" w:hint="default"/>
      </w:rPr>
    </w:lvl>
    <w:lvl w:ilvl="8" w:tplc="0C070005" w:tentative="1">
      <w:start w:val="1"/>
      <w:numFmt w:val="bullet"/>
      <w:lvlText w:val=""/>
      <w:lvlJc w:val="left"/>
      <w:pPr>
        <w:ind w:left="8465" w:hanging="360"/>
      </w:pPr>
      <w:rPr>
        <w:rFonts w:ascii="Wingdings" w:hAnsi="Wingdings" w:hint="default"/>
      </w:rPr>
    </w:lvl>
  </w:abstractNum>
  <w:abstractNum w:abstractNumId="15" w15:restartNumberingAfterBreak="0">
    <w:nsid w:val="63DD7107"/>
    <w:multiLevelType w:val="hybridMultilevel"/>
    <w:tmpl w:val="AEC2D22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64FB4525"/>
    <w:multiLevelType w:val="hybridMultilevel"/>
    <w:tmpl w:val="C17E70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E172516"/>
    <w:multiLevelType w:val="hybridMultilevel"/>
    <w:tmpl w:val="0066A76A"/>
    <w:lvl w:ilvl="0" w:tplc="66403404">
      <w:start w:val="1"/>
      <w:numFmt w:val="bullet"/>
      <w:pStyle w:val="EEAbullet1"/>
      <w:lvlText w:val="­"/>
      <w:lvlJc w:val="left"/>
      <w:pPr>
        <w:ind w:left="1117" w:hanging="360"/>
      </w:pPr>
      <w:rPr>
        <w:rFonts w:ascii="Courier New" w:hAnsi="Courier New" w:hint="default"/>
      </w:rPr>
    </w:lvl>
    <w:lvl w:ilvl="1" w:tplc="0C070003" w:tentative="1">
      <w:start w:val="1"/>
      <w:numFmt w:val="bullet"/>
      <w:lvlText w:val="o"/>
      <w:lvlJc w:val="left"/>
      <w:pPr>
        <w:ind w:left="1837" w:hanging="360"/>
      </w:pPr>
      <w:rPr>
        <w:rFonts w:ascii="Courier New" w:hAnsi="Courier New" w:cs="Courier New" w:hint="default"/>
      </w:rPr>
    </w:lvl>
    <w:lvl w:ilvl="2" w:tplc="0C070005" w:tentative="1">
      <w:start w:val="1"/>
      <w:numFmt w:val="bullet"/>
      <w:lvlText w:val=""/>
      <w:lvlJc w:val="left"/>
      <w:pPr>
        <w:ind w:left="2557" w:hanging="360"/>
      </w:pPr>
      <w:rPr>
        <w:rFonts w:ascii="Wingdings" w:hAnsi="Wingdings" w:hint="default"/>
      </w:rPr>
    </w:lvl>
    <w:lvl w:ilvl="3" w:tplc="0C070001" w:tentative="1">
      <w:start w:val="1"/>
      <w:numFmt w:val="bullet"/>
      <w:lvlText w:val=""/>
      <w:lvlJc w:val="left"/>
      <w:pPr>
        <w:ind w:left="3277" w:hanging="360"/>
      </w:pPr>
      <w:rPr>
        <w:rFonts w:ascii="Symbol" w:hAnsi="Symbol" w:hint="default"/>
      </w:rPr>
    </w:lvl>
    <w:lvl w:ilvl="4" w:tplc="0C070003" w:tentative="1">
      <w:start w:val="1"/>
      <w:numFmt w:val="bullet"/>
      <w:lvlText w:val="o"/>
      <w:lvlJc w:val="left"/>
      <w:pPr>
        <w:ind w:left="3997" w:hanging="360"/>
      </w:pPr>
      <w:rPr>
        <w:rFonts w:ascii="Courier New" w:hAnsi="Courier New" w:cs="Courier New" w:hint="default"/>
      </w:rPr>
    </w:lvl>
    <w:lvl w:ilvl="5" w:tplc="0C070005" w:tentative="1">
      <w:start w:val="1"/>
      <w:numFmt w:val="bullet"/>
      <w:lvlText w:val=""/>
      <w:lvlJc w:val="left"/>
      <w:pPr>
        <w:ind w:left="4717" w:hanging="360"/>
      </w:pPr>
      <w:rPr>
        <w:rFonts w:ascii="Wingdings" w:hAnsi="Wingdings" w:hint="default"/>
      </w:rPr>
    </w:lvl>
    <w:lvl w:ilvl="6" w:tplc="0C070001" w:tentative="1">
      <w:start w:val="1"/>
      <w:numFmt w:val="bullet"/>
      <w:lvlText w:val=""/>
      <w:lvlJc w:val="left"/>
      <w:pPr>
        <w:ind w:left="5437" w:hanging="360"/>
      </w:pPr>
      <w:rPr>
        <w:rFonts w:ascii="Symbol" w:hAnsi="Symbol" w:hint="default"/>
      </w:rPr>
    </w:lvl>
    <w:lvl w:ilvl="7" w:tplc="0C070003" w:tentative="1">
      <w:start w:val="1"/>
      <w:numFmt w:val="bullet"/>
      <w:lvlText w:val="o"/>
      <w:lvlJc w:val="left"/>
      <w:pPr>
        <w:ind w:left="6157" w:hanging="360"/>
      </w:pPr>
      <w:rPr>
        <w:rFonts w:ascii="Courier New" w:hAnsi="Courier New" w:cs="Courier New" w:hint="default"/>
      </w:rPr>
    </w:lvl>
    <w:lvl w:ilvl="8" w:tplc="0C070005" w:tentative="1">
      <w:start w:val="1"/>
      <w:numFmt w:val="bullet"/>
      <w:lvlText w:val=""/>
      <w:lvlJc w:val="left"/>
      <w:pPr>
        <w:ind w:left="6877" w:hanging="360"/>
      </w:pPr>
      <w:rPr>
        <w:rFonts w:ascii="Wingdings" w:hAnsi="Wingdings" w:hint="default"/>
      </w:rPr>
    </w:lvl>
  </w:abstractNum>
  <w:abstractNum w:abstractNumId="18" w15:restartNumberingAfterBreak="0">
    <w:nsid w:val="71E82749"/>
    <w:multiLevelType w:val="hybridMultilevel"/>
    <w:tmpl w:val="AA3685B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791145CC"/>
    <w:multiLevelType w:val="hybridMultilevel"/>
    <w:tmpl w:val="B234038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1"/>
  </w:num>
  <w:num w:numId="2">
    <w:abstractNumId w:val="0"/>
  </w:num>
  <w:num w:numId="3">
    <w:abstractNumId w:val="8"/>
  </w:num>
  <w:num w:numId="4">
    <w:abstractNumId w:val="8"/>
  </w:num>
  <w:num w:numId="5">
    <w:abstractNumId w:val="2"/>
  </w:num>
  <w:num w:numId="6">
    <w:abstractNumId w:val="13"/>
  </w:num>
  <w:num w:numId="7">
    <w:abstractNumId w:val="16"/>
  </w:num>
  <w:num w:numId="8">
    <w:abstractNumId w:val="1"/>
  </w:num>
  <w:num w:numId="9">
    <w:abstractNumId w:val="19"/>
  </w:num>
  <w:num w:numId="10">
    <w:abstractNumId w:val="17"/>
  </w:num>
  <w:num w:numId="11">
    <w:abstractNumId w:val="14"/>
  </w:num>
  <w:num w:numId="12">
    <w:abstractNumId w:val="12"/>
  </w:num>
  <w:num w:numId="13">
    <w:abstractNumId w:val="5"/>
  </w:num>
  <w:num w:numId="14">
    <w:abstractNumId w:val="7"/>
  </w:num>
  <w:num w:numId="15">
    <w:abstractNumId w:val="10"/>
  </w:num>
  <w:num w:numId="16">
    <w:abstractNumId w:val="9"/>
  </w:num>
  <w:num w:numId="17">
    <w:abstractNumId w:val="4"/>
  </w:num>
  <w:num w:numId="18">
    <w:abstractNumId w:val="18"/>
  </w:num>
  <w:num w:numId="19">
    <w:abstractNumId w:val="3"/>
  </w:num>
  <w:num w:numId="20">
    <w:abstractNumId w:val="15"/>
  </w:num>
  <w:num w:numId="21">
    <w:abstractNumId w:val="6"/>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AT" w:vendorID="64" w:dllVersion="6" w:nlCheck="1" w:checkStyle="0"/>
  <w:activeWritingStyle w:appName="MSWord" w:lang="de-DE"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activeWritingStyle w:appName="MSWord" w:lang="de-AT" w:vendorID="64" w:dllVersion="0" w:nlCheck="1" w:checkStyle="0"/>
  <w:activeWritingStyle w:appName="MSWord" w:lang="de-DE" w:vendorID="64" w:dllVersion="0" w:nlCheck="1" w:checkStyle="0"/>
  <w:activeWritingStyle w:appName="MSWord" w:lang="da-DK"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de-AT" w:vendorID="64" w:dllVersion="131078" w:nlCheck="1" w:checkStyle="0"/>
  <w:activeWritingStyle w:appName="MSWord" w:lang="it-IT" w:vendorID="64" w:dllVersion="131078" w:nlCheck="1" w:checkStyle="0"/>
  <w:activeWritingStyle w:appName="MSWord" w:lang="de-DE" w:vendorID="64" w:dllVersion="131078" w:nlCheck="1" w:checkStyle="0"/>
  <w:activeWritingStyle w:appName="MSWord" w:lang="fr-FR" w:vendorID="64" w:dllVersion="131078" w:nlCheck="1" w:checkStyle="0"/>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evenAndOddHeaders/>
  <w:drawingGridHorizontalSpacing w:val="181"/>
  <w:drawingGridVerticalSpacing w:val="181"/>
  <w:characterSpacingControl w:val="doNotCompress"/>
  <w:hdrShapeDefaults>
    <o:shapedefaults v:ext="edit" spidmax="2050">
      <o:colormru v:ext="edit" colors="#008173,#d1d3d4"/>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0B6"/>
    <w:rsid w:val="0000237C"/>
    <w:rsid w:val="00002414"/>
    <w:rsid w:val="000029D6"/>
    <w:rsid w:val="00002CF5"/>
    <w:rsid w:val="00003B11"/>
    <w:rsid w:val="000059C1"/>
    <w:rsid w:val="00010D45"/>
    <w:rsid w:val="00011AB0"/>
    <w:rsid w:val="00011DD6"/>
    <w:rsid w:val="00011EC8"/>
    <w:rsid w:val="00011F24"/>
    <w:rsid w:val="00011F45"/>
    <w:rsid w:val="000122C5"/>
    <w:rsid w:val="0001281B"/>
    <w:rsid w:val="000156EB"/>
    <w:rsid w:val="00015ECD"/>
    <w:rsid w:val="0001629D"/>
    <w:rsid w:val="000164CC"/>
    <w:rsid w:val="00020417"/>
    <w:rsid w:val="00020A93"/>
    <w:rsid w:val="000218B1"/>
    <w:rsid w:val="0002275D"/>
    <w:rsid w:val="00022B78"/>
    <w:rsid w:val="0002369A"/>
    <w:rsid w:val="00023D0E"/>
    <w:rsid w:val="000245C8"/>
    <w:rsid w:val="00024ECB"/>
    <w:rsid w:val="0002575A"/>
    <w:rsid w:val="00025AC8"/>
    <w:rsid w:val="0002606E"/>
    <w:rsid w:val="00026660"/>
    <w:rsid w:val="00027A63"/>
    <w:rsid w:val="00030208"/>
    <w:rsid w:val="00030B69"/>
    <w:rsid w:val="00030F2D"/>
    <w:rsid w:val="000312C2"/>
    <w:rsid w:val="000328FE"/>
    <w:rsid w:val="0003452A"/>
    <w:rsid w:val="000346C1"/>
    <w:rsid w:val="00034970"/>
    <w:rsid w:val="000352E1"/>
    <w:rsid w:val="00035EF5"/>
    <w:rsid w:val="00036135"/>
    <w:rsid w:val="00036D9E"/>
    <w:rsid w:val="00037221"/>
    <w:rsid w:val="000378C8"/>
    <w:rsid w:val="000400BE"/>
    <w:rsid w:val="000401A9"/>
    <w:rsid w:val="00040CF0"/>
    <w:rsid w:val="00041903"/>
    <w:rsid w:val="00042A5E"/>
    <w:rsid w:val="00042D14"/>
    <w:rsid w:val="000439C6"/>
    <w:rsid w:val="000456DC"/>
    <w:rsid w:val="00046D9C"/>
    <w:rsid w:val="00047A9E"/>
    <w:rsid w:val="00047F2E"/>
    <w:rsid w:val="0005058D"/>
    <w:rsid w:val="000508E7"/>
    <w:rsid w:val="00051946"/>
    <w:rsid w:val="00052EA0"/>
    <w:rsid w:val="00053082"/>
    <w:rsid w:val="00053461"/>
    <w:rsid w:val="00053AE0"/>
    <w:rsid w:val="00053D96"/>
    <w:rsid w:val="00054450"/>
    <w:rsid w:val="00055048"/>
    <w:rsid w:val="000558BE"/>
    <w:rsid w:val="00055986"/>
    <w:rsid w:val="000559B0"/>
    <w:rsid w:val="000561F7"/>
    <w:rsid w:val="0005677F"/>
    <w:rsid w:val="00057AB5"/>
    <w:rsid w:val="00057C77"/>
    <w:rsid w:val="000600FF"/>
    <w:rsid w:val="000621BD"/>
    <w:rsid w:val="00062328"/>
    <w:rsid w:val="00063E06"/>
    <w:rsid w:val="00064EC7"/>
    <w:rsid w:val="000653E7"/>
    <w:rsid w:val="0006615F"/>
    <w:rsid w:val="00066534"/>
    <w:rsid w:val="00067308"/>
    <w:rsid w:val="000702E2"/>
    <w:rsid w:val="00070991"/>
    <w:rsid w:val="00072D59"/>
    <w:rsid w:val="00073167"/>
    <w:rsid w:val="000732CF"/>
    <w:rsid w:val="00073400"/>
    <w:rsid w:val="000747BB"/>
    <w:rsid w:val="00074FC9"/>
    <w:rsid w:val="000755DE"/>
    <w:rsid w:val="00077B75"/>
    <w:rsid w:val="00080DC9"/>
    <w:rsid w:val="00081A76"/>
    <w:rsid w:val="00083056"/>
    <w:rsid w:val="000839C2"/>
    <w:rsid w:val="000855A9"/>
    <w:rsid w:val="00085F79"/>
    <w:rsid w:val="0008627C"/>
    <w:rsid w:val="00086618"/>
    <w:rsid w:val="00087EFB"/>
    <w:rsid w:val="00090606"/>
    <w:rsid w:val="00091D02"/>
    <w:rsid w:val="000940FA"/>
    <w:rsid w:val="00094256"/>
    <w:rsid w:val="00094A01"/>
    <w:rsid w:val="000951AC"/>
    <w:rsid w:val="00095835"/>
    <w:rsid w:val="00096036"/>
    <w:rsid w:val="000964B7"/>
    <w:rsid w:val="00096689"/>
    <w:rsid w:val="00097524"/>
    <w:rsid w:val="00097C1B"/>
    <w:rsid w:val="000A00C1"/>
    <w:rsid w:val="000A0A2A"/>
    <w:rsid w:val="000A0D1B"/>
    <w:rsid w:val="000A1527"/>
    <w:rsid w:val="000A2479"/>
    <w:rsid w:val="000A24B7"/>
    <w:rsid w:val="000A268E"/>
    <w:rsid w:val="000A32DD"/>
    <w:rsid w:val="000A368A"/>
    <w:rsid w:val="000A36A7"/>
    <w:rsid w:val="000A414A"/>
    <w:rsid w:val="000A4BBB"/>
    <w:rsid w:val="000A50ED"/>
    <w:rsid w:val="000A534C"/>
    <w:rsid w:val="000A5540"/>
    <w:rsid w:val="000A6E55"/>
    <w:rsid w:val="000A7E4D"/>
    <w:rsid w:val="000B0377"/>
    <w:rsid w:val="000B2FC8"/>
    <w:rsid w:val="000B3FEE"/>
    <w:rsid w:val="000B427A"/>
    <w:rsid w:val="000B42CA"/>
    <w:rsid w:val="000B4715"/>
    <w:rsid w:val="000B6F84"/>
    <w:rsid w:val="000C02C6"/>
    <w:rsid w:val="000C097B"/>
    <w:rsid w:val="000C0BF5"/>
    <w:rsid w:val="000C1F05"/>
    <w:rsid w:val="000C2807"/>
    <w:rsid w:val="000C3350"/>
    <w:rsid w:val="000C3BEF"/>
    <w:rsid w:val="000C3C7F"/>
    <w:rsid w:val="000C3CC7"/>
    <w:rsid w:val="000C52E5"/>
    <w:rsid w:val="000C5417"/>
    <w:rsid w:val="000C5DC1"/>
    <w:rsid w:val="000C607E"/>
    <w:rsid w:val="000C66C0"/>
    <w:rsid w:val="000C7619"/>
    <w:rsid w:val="000D10B2"/>
    <w:rsid w:val="000D1737"/>
    <w:rsid w:val="000D19D8"/>
    <w:rsid w:val="000D2446"/>
    <w:rsid w:val="000D27F4"/>
    <w:rsid w:val="000D3F2A"/>
    <w:rsid w:val="000D3F81"/>
    <w:rsid w:val="000D4357"/>
    <w:rsid w:val="000D4D7E"/>
    <w:rsid w:val="000D52D3"/>
    <w:rsid w:val="000D5893"/>
    <w:rsid w:val="000D59EF"/>
    <w:rsid w:val="000D5E1E"/>
    <w:rsid w:val="000D620F"/>
    <w:rsid w:val="000D63AA"/>
    <w:rsid w:val="000D6482"/>
    <w:rsid w:val="000D7A67"/>
    <w:rsid w:val="000E00DB"/>
    <w:rsid w:val="000E015A"/>
    <w:rsid w:val="000E105C"/>
    <w:rsid w:val="000E16D5"/>
    <w:rsid w:val="000E39C7"/>
    <w:rsid w:val="000E4309"/>
    <w:rsid w:val="000E44E8"/>
    <w:rsid w:val="000E4C33"/>
    <w:rsid w:val="000E4E46"/>
    <w:rsid w:val="000E5FD3"/>
    <w:rsid w:val="000E6EE9"/>
    <w:rsid w:val="000E7C66"/>
    <w:rsid w:val="000F0102"/>
    <w:rsid w:val="000F012C"/>
    <w:rsid w:val="000F09D1"/>
    <w:rsid w:val="000F1260"/>
    <w:rsid w:val="000F13E2"/>
    <w:rsid w:val="000F14A5"/>
    <w:rsid w:val="000F338A"/>
    <w:rsid w:val="000F3E8E"/>
    <w:rsid w:val="000F43A9"/>
    <w:rsid w:val="000F4557"/>
    <w:rsid w:val="000F4658"/>
    <w:rsid w:val="000F4889"/>
    <w:rsid w:val="000F4E81"/>
    <w:rsid w:val="000F5296"/>
    <w:rsid w:val="000F55F6"/>
    <w:rsid w:val="000F5666"/>
    <w:rsid w:val="000F5E91"/>
    <w:rsid w:val="000F7D2E"/>
    <w:rsid w:val="00100836"/>
    <w:rsid w:val="00100FF1"/>
    <w:rsid w:val="001011F9"/>
    <w:rsid w:val="00104BA0"/>
    <w:rsid w:val="00105788"/>
    <w:rsid w:val="001058AF"/>
    <w:rsid w:val="00105C55"/>
    <w:rsid w:val="001078A8"/>
    <w:rsid w:val="00110F47"/>
    <w:rsid w:val="0011210C"/>
    <w:rsid w:val="00112B18"/>
    <w:rsid w:val="00112B64"/>
    <w:rsid w:val="00113C1F"/>
    <w:rsid w:val="001157E8"/>
    <w:rsid w:val="00116110"/>
    <w:rsid w:val="00116C2A"/>
    <w:rsid w:val="00117375"/>
    <w:rsid w:val="001207E6"/>
    <w:rsid w:val="0012151B"/>
    <w:rsid w:val="001217BE"/>
    <w:rsid w:val="00122D49"/>
    <w:rsid w:val="00123BC1"/>
    <w:rsid w:val="001240F9"/>
    <w:rsid w:val="00124CC9"/>
    <w:rsid w:val="0012559F"/>
    <w:rsid w:val="001256E3"/>
    <w:rsid w:val="0012572E"/>
    <w:rsid w:val="00125F0F"/>
    <w:rsid w:val="00126146"/>
    <w:rsid w:val="001264F7"/>
    <w:rsid w:val="0012669D"/>
    <w:rsid w:val="00126926"/>
    <w:rsid w:val="001277F6"/>
    <w:rsid w:val="00131116"/>
    <w:rsid w:val="0013148A"/>
    <w:rsid w:val="00131ED0"/>
    <w:rsid w:val="001327BD"/>
    <w:rsid w:val="00132A3D"/>
    <w:rsid w:val="00132A84"/>
    <w:rsid w:val="00133504"/>
    <w:rsid w:val="001343FE"/>
    <w:rsid w:val="00135C10"/>
    <w:rsid w:val="0013609E"/>
    <w:rsid w:val="00136623"/>
    <w:rsid w:val="00136A78"/>
    <w:rsid w:val="00137060"/>
    <w:rsid w:val="00137E29"/>
    <w:rsid w:val="001419EB"/>
    <w:rsid w:val="0014227F"/>
    <w:rsid w:val="00143177"/>
    <w:rsid w:val="0014349A"/>
    <w:rsid w:val="00144373"/>
    <w:rsid w:val="00144BDE"/>
    <w:rsid w:val="001455B4"/>
    <w:rsid w:val="00145864"/>
    <w:rsid w:val="0014635F"/>
    <w:rsid w:val="00146456"/>
    <w:rsid w:val="001478FA"/>
    <w:rsid w:val="00150FC8"/>
    <w:rsid w:val="001512A1"/>
    <w:rsid w:val="001512D0"/>
    <w:rsid w:val="00152C85"/>
    <w:rsid w:val="001535AA"/>
    <w:rsid w:val="001540BB"/>
    <w:rsid w:val="00154520"/>
    <w:rsid w:val="00154E0F"/>
    <w:rsid w:val="00155023"/>
    <w:rsid w:val="00156853"/>
    <w:rsid w:val="00156951"/>
    <w:rsid w:val="0016153D"/>
    <w:rsid w:val="00161EDF"/>
    <w:rsid w:val="00162253"/>
    <w:rsid w:val="0016248F"/>
    <w:rsid w:val="001630B0"/>
    <w:rsid w:val="001633CF"/>
    <w:rsid w:val="001634DF"/>
    <w:rsid w:val="0016378F"/>
    <w:rsid w:val="00164397"/>
    <w:rsid w:val="00165148"/>
    <w:rsid w:val="0016580B"/>
    <w:rsid w:val="00165DE2"/>
    <w:rsid w:val="00166254"/>
    <w:rsid w:val="001666A0"/>
    <w:rsid w:val="00167FA3"/>
    <w:rsid w:val="0017030E"/>
    <w:rsid w:val="00170FB4"/>
    <w:rsid w:val="001716E0"/>
    <w:rsid w:val="00171C00"/>
    <w:rsid w:val="00171DBD"/>
    <w:rsid w:val="001720ED"/>
    <w:rsid w:val="00172899"/>
    <w:rsid w:val="00173BDD"/>
    <w:rsid w:val="00173CE4"/>
    <w:rsid w:val="0017416D"/>
    <w:rsid w:val="001742C9"/>
    <w:rsid w:val="0017455D"/>
    <w:rsid w:val="001748A1"/>
    <w:rsid w:val="00175217"/>
    <w:rsid w:val="0017564D"/>
    <w:rsid w:val="0017593B"/>
    <w:rsid w:val="00175CA8"/>
    <w:rsid w:val="00176471"/>
    <w:rsid w:val="001773B9"/>
    <w:rsid w:val="00180C32"/>
    <w:rsid w:val="00182888"/>
    <w:rsid w:val="00182B60"/>
    <w:rsid w:val="00182B71"/>
    <w:rsid w:val="00183039"/>
    <w:rsid w:val="00183516"/>
    <w:rsid w:val="001840C6"/>
    <w:rsid w:val="001846E7"/>
    <w:rsid w:val="00185160"/>
    <w:rsid w:val="0018643E"/>
    <w:rsid w:val="00186890"/>
    <w:rsid w:val="00187AC1"/>
    <w:rsid w:val="001911E5"/>
    <w:rsid w:val="00191864"/>
    <w:rsid w:val="00192913"/>
    <w:rsid w:val="00192ACE"/>
    <w:rsid w:val="00193FE2"/>
    <w:rsid w:val="00194B5E"/>
    <w:rsid w:val="001954C3"/>
    <w:rsid w:val="0019638D"/>
    <w:rsid w:val="00196D75"/>
    <w:rsid w:val="00197B37"/>
    <w:rsid w:val="001A00C8"/>
    <w:rsid w:val="001A05F3"/>
    <w:rsid w:val="001A16E7"/>
    <w:rsid w:val="001A1D40"/>
    <w:rsid w:val="001A3C64"/>
    <w:rsid w:val="001A69D1"/>
    <w:rsid w:val="001A6F5E"/>
    <w:rsid w:val="001A7192"/>
    <w:rsid w:val="001A762F"/>
    <w:rsid w:val="001A76DA"/>
    <w:rsid w:val="001A7AF1"/>
    <w:rsid w:val="001B04B8"/>
    <w:rsid w:val="001B094C"/>
    <w:rsid w:val="001B09D7"/>
    <w:rsid w:val="001B2CAB"/>
    <w:rsid w:val="001B2DDA"/>
    <w:rsid w:val="001B3285"/>
    <w:rsid w:val="001B374E"/>
    <w:rsid w:val="001B4121"/>
    <w:rsid w:val="001B419E"/>
    <w:rsid w:val="001B4BEB"/>
    <w:rsid w:val="001B6B55"/>
    <w:rsid w:val="001B6EF4"/>
    <w:rsid w:val="001B7900"/>
    <w:rsid w:val="001C0647"/>
    <w:rsid w:val="001C0857"/>
    <w:rsid w:val="001C1744"/>
    <w:rsid w:val="001C1904"/>
    <w:rsid w:val="001C2335"/>
    <w:rsid w:val="001C45BE"/>
    <w:rsid w:val="001C4E0F"/>
    <w:rsid w:val="001C52E2"/>
    <w:rsid w:val="001C6347"/>
    <w:rsid w:val="001C6C1E"/>
    <w:rsid w:val="001C70ED"/>
    <w:rsid w:val="001D06F9"/>
    <w:rsid w:val="001D083D"/>
    <w:rsid w:val="001D14CE"/>
    <w:rsid w:val="001D14FC"/>
    <w:rsid w:val="001D2F82"/>
    <w:rsid w:val="001D3BC2"/>
    <w:rsid w:val="001D3BF7"/>
    <w:rsid w:val="001D46F1"/>
    <w:rsid w:val="001D4ADA"/>
    <w:rsid w:val="001D5967"/>
    <w:rsid w:val="001D5E15"/>
    <w:rsid w:val="001D63D2"/>
    <w:rsid w:val="001D64BA"/>
    <w:rsid w:val="001D6788"/>
    <w:rsid w:val="001D7B25"/>
    <w:rsid w:val="001E0D03"/>
    <w:rsid w:val="001E1796"/>
    <w:rsid w:val="001E27BF"/>
    <w:rsid w:val="001E3109"/>
    <w:rsid w:val="001E39C4"/>
    <w:rsid w:val="001E5707"/>
    <w:rsid w:val="001E5C65"/>
    <w:rsid w:val="001E6773"/>
    <w:rsid w:val="001E7EC2"/>
    <w:rsid w:val="001F112A"/>
    <w:rsid w:val="001F409C"/>
    <w:rsid w:val="001F467E"/>
    <w:rsid w:val="001F50C4"/>
    <w:rsid w:val="001F51F4"/>
    <w:rsid w:val="001F5288"/>
    <w:rsid w:val="001F5705"/>
    <w:rsid w:val="001F5934"/>
    <w:rsid w:val="001F5AEA"/>
    <w:rsid w:val="001F5C3C"/>
    <w:rsid w:val="001F5E88"/>
    <w:rsid w:val="001F6AF7"/>
    <w:rsid w:val="001F7AB0"/>
    <w:rsid w:val="002003A7"/>
    <w:rsid w:val="00200463"/>
    <w:rsid w:val="00201132"/>
    <w:rsid w:val="002015C7"/>
    <w:rsid w:val="00202149"/>
    <w:rsid w:val="002031F9"/>
    <w:rsid w:val="00203845"/>
    <w:rsid w:val="00204412"/>
    <w:rsid w:val="00204DED"/>
    <w:rsid w:val="0020636B"/>
    <w:rsid w:val="002074BE"/>
    <w:rsid w:val="00207D89"/>
    <w:rsid w:val="00210926"/>
    <w:rsid w:val="002115E7"/>
    <w:rsid w:val="002122CB"/>
    <w:rsid w:val="00212388"/>
    <w:rsid w:val="0021241A"/>
    <w:rsid w:val="00212E83"/>
    <w:rsid w:val="00213061"/>
    <w:rsid w:val="00214B73"/>
    <w:rsid w:val="00215200"/>
    <w:rsid w:val="00215D74"/>
    <w:rsid w:val="00217E7D"/>
    <w:rsid w:val="00220269"/>
    <w:rsid w:val="00221B2A"/>
    <w:rsid w:val="002223AB"/>
    <w:rsid w:val="0022342E"/>
    <w:rsid w:val="00223A18"/>
    <w:rsid w:val="0022406F"/>
    <w:rsid w:val="0022422D"/>
    <w:rsid w:val="002253C8"/>
    <w:rsid w:val="0022568B"/>
    <w:rsid w:val="0022597B"/>
    <w:rsid w:val="00225CCB"/>
    <w:rsid w:val="00226B4E"/>
    <w:rsid w:val="0023039E"/>
    <w:rsid w:val="00230E93"/>
    <w:rsid w:val="002321E4"/>
    <w:rsid w:val="002326F9"/>
    <w:rsid w:val="002328D4"/>
    <w:rsid w:val="0023433A"/>
    <w:rsid w:val="002347CF"/>
    <w:rsid w:val="00234FEB"/>
    <w:rsid w:val="00235739"/>
    <w:rsid w:val="00235CCC"/>
    <w:rsid w:val="00235D61"/>
    <w:rsid w:val="00235D92"/>
    <w:rsid w:val="0023694D"/>
    <w:rsid w:val="00236EC8"/>
    <w:rsid w:val="002371E5"/>
    <w:rsid w:val="00237EC6"/>
    <w:rsid w:val="002405CD"/>
    <w:rsid w:val="002421AC"/>
    <w:rsid w:val="00242F61"/>
    <w:rsid w:val="00243A6C"/>
    <w:rsid w:val="00245652"/>
    <w:rsid w:val="002461DF"/>
    <w:rsid w:val="00247AAC"/>
    <w:rsid w:val="00247D9B"/>
    <w:rsid w:val="002502DF"/>
    <w:rsid w:val="002509DD"/>
    <w:rsid w:val="002518A8"/>
    <w:rsid w:val="0025211F"/>
    <w:rsid w:val="00252C8A"/>
    <w:rsid w:val="002531BD"/>
    <w:rsid w:val="00253397"/>
    <w:rsid w:val="0025389E"/>
    <w:rsid w:val="0025394F"/>
    <w:rsid w:val="0025463C"/>
    <w:rsid w:val="00254833"/>
    <w:rsid w:val="00254E11"/>
    <w:rsid w:val="0025574E"/>
    <w:rsid w:val="0025689E"/>
    <w:rsid w:val="00256DA8"/>
    <w:rsid w:val="00257021"/>
    <w:rsid w:val="0026067D"/>
    <w:rsid w:val="0026149D"/>
    <w:rsid w:val="00261F8D"/>
    <w:rsid w:val="00262A2E"/>
    <w:rsid w:val="00262BC5"/>
    <w:rsid w:val="00263C6F"/>
    <w:rsid w:val="002646FE"/>
    <w:rsid w:val="00264CEB"/>
    <w:rsid w:val="0026502E"/>
    <w:rsid w:val="0026527B"/>
    <w:rsid w:val="00265C53"/>
    <w:rsid w:val="00266D8F"/>
    <w:rsid w:val="00267870"/>
    <w:rsid w:val="00270A62"/>
    <w:rsid w:val="00270C30"/>
    <w:rsid w:val="00271A37"/>
    <w:rsid w:val="00271DAA"/>
    <w:rsid w:val="00274252"/>
    <w:rsid w:val="00274388"/>
    <w:rsid w:val="00274707"/>
    <w:rsid w:val="00274AC8"/>
    <w:rsid w:val="00274B79"/>
    <w:rsid w:val="00276096"/>
    <w:rsid w:val="00276BA1"/>
    <w:rsid w:val="0027795D"/>
    <w:rsid w:val="002801CA"/>
    <w:rsid w:val="002804FD"/>
    <w:rsid w:val="00280BFF"/>
    <w:rsid w:val="0028148C"/>
    <w:rsid w:val="002814CF"/>
    <w:rsid w:val="00281BED"/>
    <w:rsid w:val="00282874"/>
    <w:rsid w:val="00282942"/>
    <w:rsid w:val="00283E12"/>
    <w:rsid w:val="00284F22"/>
    <w:rsid w:val="00285567"/>
    <w:rsid w:val="0028590D"/>
    <w:rsid w:val="00285EDA"/>
    <w:rsid w:val="00286540"/>
    <w:rsid w:val="0028776C"/>
    <w:rsid w:val="0029048B"/>
    <w:rsid w:val="0029065D"/>
    <w:rsid w:val="00290ACB"/>
    <w:rsid w:val="00292578"/>
    <w:rsid w:val="00292A6C"/>
    <w:rsid w:val="00293BCC"/>
    <w:rsid w:val="0029592B"/>
    <w:rsid w:val="002964BE"/>
    <w:rsid w:val="00296C50"/>
    <w:rsid w:val="00296F64"/>
    <w:rsid w:val="00297E9E"/>
    <w:rsid w:val="002A008B"/>
    <w:rsid w:val="002A0B17"/>
    <w:rsid w:val="002A3215"/>
    <w:rsid w:val="002A3296"/>
    <w:rsid w:val="002A3F15"/>
    <w:rsid w:val="002A425F"/>
    <w:rsid w:val="002A47A6"/>
    <w:rsid w:val="002A4A57"/>
    <w:rsid w:val="002A4FA6"/>
    <w:rsid w:val="002A5224"/>
    <w:rsid w:val="002A594D"/>
    <w:rsid w:val="002A5C04"/>
    <w:rsid w:val="002A63C4"/>
    <w:rsid w:val="002A69EA"/>
    <w:rsid w:val="002B0E2E"/>
    <w:rsid w:val="002B126A"/>
    <w:rsid w:val="002B1E37"/>
    <w:rsid w:val="002B2077"/>
    <w:rsid w:val="002B24EE"/>
    <w:rsid w:val="002B2A53"/>
    <w:rsid w:val="002B2D56"/>
    <w:rsid w:val="002B3517"/>
    <w:rsid w:val="002B40BF"/>
    <w:rsid w:val="002B41B9"/>
    <w:rsid w:val="002B471B"/>
    <w:rsid w:val="002B4BBC"/>
    <w:rsid w:val="002B4D00"/>
    <w:rsid w:val="002B5605"/>
    <w:rsid w:val="002B6B4A"/>
    <w:rsid w:val="002B6D62"/>
    <w:rsid w:val="002B6DCA"/>
    <w:rsid w:val="002B7800"/>
    <w:rsid w:val="002B7AEB"/>
    <w:rsid w:val="002B7F62"/>
    <w:rsid w:val="002C11E4"/>
    <w:rsid w:val="002C36BE"/>
    <w:rsid w:val="002C3700"/>
    <w:rsid w:val="002C488D"/>
    <w:rsid w:val="002C5021"/>
    <w:rsid w:val="002C7153"/>
    <w:rsid w:val="002C7353"/>
    <w:rsid w:val="002C7571"/>
    <w:rsid w:val="002D115C"/>
    <w:rsid w:val="002D189C"/>
    <w:rsid w:val="002D24F5"/>
    <w:rsid w:val="002D2727"/>
    <w:rsid w:val="002D2D21"/>
    <w:rsid w:val="002D2E57"/>
    <w:rsid w:val="002D3396"/>
    <w:rsid w:val="002D36BA"/>
    <w:rsid w:val="002D3F14"/>
    <w:rsid w:val="002D4906"/>
    <w:rsid w:val="002D6BB3"/>
    <w:rsid w:val="002D7089"/>
    <w:rsid w:val="002D7F87"/>
    <w:rsid w:val="002E0086"/>
    <w:rsid w:val="002E0468"/>
    <w:rsid w:val="002E1193"/>
    <w:rsid w:val="002E1DBC"/>
    <w:rsid w:val="002E1FF3"/>
    <w:rsid w:val="002E582B"/>
    <w:rsid w:val="002E7409"/>
    <w:rsid w:val="002E7D0F"/>
    <w:rsid w:val="002E7F89"/>
    <w:rsid w:val="002F0363"/>
    <w:rsid w:val="002F1BC3"/>
    <w:rsid w:val="002F2192"/>
    <w:rsid w:val="002F2DF7"/>
    <w:rsid w:val="002F2F20"/>
    <w:rsid w:val="002F3B3A"/>
    <w:rsid w:val="002F3F9C"/>
    <w:rsid w:val="002F4FA7"/>
    <w:rsid w:val="002F5A7A"/>
    <w:rsid w:val="002F5F11"/>
    <w:rsid w:val="002F62AC"/>
    <w:rsid w:val="002F634D"/>
    <w:rsid w:val="002F7357"/>
    <w:rsid w:val="002F74A1"/>
    <w:rsid w:val="002F7ADA"/>
    <w:rsid w:val="00300E6F"/>
    <w:rsid w:val="003026F1"/>
    <w:rsid w:val="00304B3F"/>
    <w:rsid w:val="00305F7C"/>
    <w:rsid w:val="00306ED5"/>
    <w:rsid w:val="00306EE9"/>
    <w:rsid w:val="00307C84"/>
    <w:rsid w:val="0031086E"/>
    <w:rsid w:val="00310951"/>
    <w:rsid w:val="00310CFB"/>
    <w:rsid w:val="00311A47"/>
    <w:rsid w:val="00311C3B"/>
    <w:rsid w:val="00311CA9"/>
    <w:rsid w:val="003135BB"/>
    <w:rsid w:val="00313FFB"/>
    <w:rsid w:val="00315AAE"/>
    <w:rsid w:val="00315B94"/>
    <w:rsid w:val="00315D28"/>
    <w:rsid w:val="003166C2"/>
    <w:rsid w:val="00317C4F"/>
    <w:rsid w:val="00321205"/>
    <w:rsid w:val="00321498"/>
    <w:rsid w:val="0032212F"/>
    <w:rsid w:val="00322832"/>
    <w:rsid w:val="00324100"/>
    <w:rsid w:val="003246AC"/>
    <w:rsid w:val="00324860"/>
    <w:rsid w:val="00325302"/>
    <w:rsid w:val="0032533F"/>
    <w:rsid w:val="00325B98"/>
    <w:rsid w:val="00326159"/>
    <w:rsid w:val="00327001"/>
    <w:rsid w:val="00327AF3"/>
    <w:rsid w:val="00331CCA"/>
    <w:rsid w:val="00332828"/>
    <w:rsid w:val="003329F7"/>
    <w:rsid w:val="00332F91"/>
    <w:rsid w:val="00333787"/>
    <w:rsid w:val="003345AB"/>
    <w:rsid w:val="00334824"/>
    <w:rsid w:val="003348D0"/>
    <w:rsid w:val="00336EA6"/>
    <w:rsid w:val="00337266"/>
    <w:rsid w:val="003373FE"/>
    <w:rsid w:val="00337609"/>
    <w:rsid w:val="00337829"/>
    <w:rsid w:val="00340677"/>
    <w:rsid w:val="0034170F"/>
    <w:rsid w:val="00342686"/>
    <w:rsid w:val="00342DB9"/>
    <w:rsid w:val="00342F20"/>
    <w:rsid w:val="00343314"/>
    <w:rsid w:val="003440EB"/>
    <w:rsid w:val="0034502F"/>
    <w:rsid w:val="0034575B"/>
    <w:rsid w:val="00345AB2"/>
    <w:rsid w:val="00350D83"/>
    <w:rsid w:val="003519AE"/>
    <w:rsid w:val="00352274"/>
    <w:rsid w:val="003541D1"/>
    <w:rsid w:val="003572B3"/>
    <w:rsid w:val="00357404"/>
    <w:rsid w:val="00362064"/>
    <w:rsid w:val="00362DF6"/>
    <w:rsid w:val="00362F6D"/>
    <w:rsid w:val="00363EE3"/>
    <w:rsid w:val="00364924"/>
    <w:rsid w:val="00364E2E"/>
    <w:rsid w:val="003659A9"/>
    <w:rsid w:val="00366A1D"/>
    <w:rsid w:val="00367B55"/>
    <w:rsid w:val="003703F8"/>
    <w:rsid w:val="00371832"/>
    <w:rsid w:val="00372F0F"/>
    <w:rsid w:val="00373960"/>
    <w:rsid w:val="0037472D"/>
    <w:rsid w:val="00376621"/>
    <w:rsid w:val="003766EB"/>
    <w:rsid w:val="00377793"/>
    <w:rsid w:val="003777A9"/>
    <w:rsid w:val="00380284"/>
    <w:rsid w:val="003811C4"/>
    <w:rsid w:val="003814CB"/>
    <w:rsid w:val="003824EC"/>
    <w:rsid w:val="0038291C"/>
    <w:rsid w:val="003830FD"/>
    <w:rsid w:val="003839C7"/>
    <w:rsid w:val="00383FDE"/>
    <w:rsid w:val="00385B2A"/>
    <w:rsid w:val="00385C15"/>
    <w:rsid w:val="00386557"/>
    <w:rsid w:val="00386AD5"/>
    <w:rsid w:val="00387DF2"/>
    <w:rsid w:val="0039058F"/>
    <w:rsid w:val="003906CE"/>
    <w:rsid w:val="00390AA0"/>
    <w:rsid w:val="003912DA"/>
    <w:rsid w:val="003935F0"/>
    <w:rsid w:val="00393735"/>
    <w:rsid w:val="00395264"/>
    <w:rsid w:val="003966B2"/>
    <w:rsid w:val="00396781"/>
    <w:rsid w:val="003971E0"/>
    <w:rsid w:val="003972B7"/>
    <w:rsid w:val="00397BC0"/>
    <w:rsid w:val="00397C09"/>
    <w:rsid w:val="00397C58"/>
    <w:rsid w:val="003A0226"/>
    <w:rsid w:val="003A0B3B"/>
    <w:rsid w:val="003A0D6B"/>
    <w:rsid w:val="003A1AFA"/>
    <w:rsid w:val="003A2549"/>
    <w:rsid w:val="003A25AA"/>
    <w:rsid w:val="003A3C0E"/>
    <w:rsid w:val="003A3D96"/>
    <w:rsid w:val="003A4E57"/>
    <w:rsid w:val="003A4F6E"/>
    <w:rsid w:val="003A5378"/>
    <w:rsid w:val="003A5640"/>
    <w:rsid w:val="003A62D8"/>
    <w:rsid w:val="003A6ACB"/>
    <w:rsid w:val="003A7589"/>
    <w:rsid w:val="003A7D2A"/>
    <w:rsid w:val="003B003F"/>
    <w:rsid w:val="003B0050"/>
    <w:rsid w:val="003B0605"/>
    <w:rsid w:val="003B08D2"/>
    <w:rsid w:val="003B0911"/>
    <w:rsid w:val="003B0931"/>
    <w:rsid w:val="003B122A"/>
    <w:rsid w:val="003B136F"/>
    <w:rsid w:val="003B1736"/>
    <w:rsid w:val="003B1F8A"/>
    <w:rsid w:val="003B23AE"/>
    <w:rsid w:val="003B2648"/>
    <w:rsid w:val="003B30E3"/>
    <w:rsid w:val="003B4F63"/>
    <w:rsid w:val="003B7245"/>
    <w:rsid w:val="003B79DC"/>
    <w:rsid w:val="003C0583"/>
    <w:rsid w:val="003C1006"/>
    <w:rsid w:val="003C1563"/>
    <w:rsid w:val="003C1897"/>
    <w:rsid w:val="003C19C4"/>
    <w:rsid w:val="003C1E1E"/>
    <w:rsid w:val="003C26FA"/>
    <w:rsid w:val="003C27D8"/>
    <w:rsid w:val="003C2AA7"/>
    <w:rsid w:val="003C4314"/>
    <w:rsid w:val="003C4390"/>
    <w:rsid w:val="003C5502"/>
    <w:rsid w:val="003C57F4"/>
    <w:rsid w:val="003C5EBA"/>
    <w:rsid w:val="003C7A31"/>
    <w:rsid w:val="003D0C25"/>
    <w:rsid w:val="003D2B36"/>
    <w:rsid w:val="003D312A"/>
    <w:rsid w:val="003D3BFE"/>
    <w:rsid w:val="003D3D98"/>
    <w:rsid w:val="003D476B"/>
    <w:rsid w:val="003D5273"/>
    <w:rsid w:val="003D683E"/>
    <w:rsid w:val="003D689A"/>
    <w:rsid w:val="003D6F87"/>
    <w:rsid w:val="003D7226"/>
    <w:rsid w:val="003E08DF"/>
    <w:rsid w:val="003E2039"/>
    <w:rsid w:val="003E25FF"/>
    <w:rsid w:val="003E2B4D"/>
    <w:rsid w:val="003E3610"/>
    <w:rsid w:val="003E41E6"/>
    <w:rsid w:val="003E4B5B"/>
    <w:rsid w:val="003E4FEF"/>
    <w:rsid w:val="003E5BE8"/>
    <w:rsid w:val="003E5C35"/>
    <w:rsid w:val="003E73A2"/>
    <w:rsid w:val="003E742F"/>
    <w:rsid w:val="003E7E6E"/>
    <w:rsid w:val="003F16CC"/>
    <w:rsid w:val="003F1DB8"/>
    <w:rsid w:val="003F2060"/>
    <w:rsid w:val="003F2281"/>
    <w:rsid w:val="003F2F8B"/>
    <w:rsid w:val="003F31FF"/>
    <w:rsid w:val="003F393C"/>
    <w:rsid w:val="003F395A"/>
    <w:rsid w:val="003F3C70"/>
    <w:rsid w:val="003F46A6"/>
    <w:rsid w:val="003F4872"/>
    <w:rsid w:val="003F580F"/>
    <w:rsid w:val="003F5C8E"/>
    <w:rsid w:val="003F6102"/>
    <w:rsid w:val="003F65CC"/>
    <w:rsid w:val="003F7082"/>
    <w:rsid w:val="003F719B"/>
    <w:rsid w:val="003F7EEA"/>
    <w:rsid w:val="00400568"/>
    <w:rsid w:val="00400788"/>
    <w:rsid w:val="004009BE"/>
    <w:rsid w:val="00400E47"/>
    <w:rsid w:val="00401F4D"/>
    <w:rsid w:val="004031A6"/>
    <w:rsid w:val="00404660"/>
    <w:rsid w:val="004061CD"/>
    <w:rsid w:val="00406645"/>
    <w:rsid w:val="004076D8"/>
    <w:rsid w:val="00407864"/>
    <w:rsid w:val="00407DDB"/>
    <w:rsid w:val="00410B89"/>
    <w:rsid w:val="004117E4"/>
    <w:rsid w:val="00412B3E"/>
    <w:rsid w:val="004131BA"/>
    <w:rsid w:val="004131CE"/>
    <w:rsid w:val="00413CD3"/>
    <w:rsid w:val="004155AE"/>
    <w:rsid w:val="00415D69"/>
    <w:rsid w:val="00416975"/>
    <w:rsid w:val="00416AAA"/>
    <w:rsid w:val="00416EEA"/>
    <w:rsid w:val="00420891"/>
    <w:rsid w:val="00420A34"/>
    <w:rsid w:val="00420B77"/>
    <w:rsid w:val="00420BFB"/>
    <w:rsid w:val="00420CA8"/>
    <w:rsid w:val="00420F1E"/>
    <w:rsid w:val="004216A4"/>
    <w:rsid w:val="004227A6"/>
    <w:rsid w:val="004245E6"/>
    <w:rsid w:val="00425295"/>
    <w:rsid w:val="00426191"/>
    <w:rsid w:val="004261CD"/>
    <w:rsid w:val="00426641"/>
    <w:rsid w:val="0042702D"/>
    <w:rsid w:val="00427DB4"/>
    <w:rsid w:val="00430217"/>
    <w:rsid w:val="0043041F"/>
    <w:rsid w:val="00430560"/>
    <w:rsid w:val="00431311"/>
    <w:rsid w:val="004313EA"/>
    <w:rsid w:val="00432201"/>
    <w:rsid w:val="004327B1"/>
    <w:rsid w:val="00433054"/>
    <w:rsid w:val="00433236"/>
    <w:rsid w:val="0043423B"/>
    <w:rsid w:val="004378F8"/>
    <w:rsid w:val="00440E89"/>
    <w:rsid w:val="004414EE"/>
    <w:rsid w:val="00441BD3"/>
    <w:rsid w:val="00442238"/>
    <w:rsid w:val="00442C45"/>
    <w:rsid w:val="0044303A"/>
    <w:rsid w:val="00443AD9"/>
    <w:rsid w:val="00443F93"/>
    <w:rsid w:val="004452EA"/>
    <w:rsid w:val="00445C9D"/>
    <w:rsid w:val="004465D1"/>
    <w:rsid w:val="00446DF6"/>
    <w:rsid w:val="004507D6"/>
    <w:rsid w:val="00450E30"/>
    <w:rsid w:val="00451014"/>
    <w:rsid w:val="00451387"/>
    <w:rsid w:val="00451603"/>
    <w:rsid w:val="00451811"/>
    <w:rsid w:val="00453340"/>
    <w:rsid w:val="0045356C"/>
    <w:rsid w:val="00453DAD"/>
    <w:rsid w:val="00454EA7"/>
    <w:rsid w:val="00455F81"/>
    <w:rsid w:val="004560E8"/>
    <w:rsid w:val="00460976"/>
    <w:rsid w:val="004617E4"/>
    <w:rsid w:val="00462495"/>
    <w:rsid w:val="00462AEC"/>
    <w:rsid w:val="00462CAE"/>
    <w:rsid w:val="0046363B"/>
    <w:rsid w:val="004640FA"/>
    <w:rsid w:val="0046447C"/>
    <w:rsid w:val="00464B02"/>
    <w:rsid w:val="00464DF3"/>
    <w:rsid w:val="004662CE"/>
    <w:rsid w:val="00466E77"/>
    <w:rsid w:val="0046770A"/>
    <w:rsid w:val="00467917"/>
    <w:rsid w:val="00467D91"/>
    <w:rsid w:val="00467E5D"/>
    <w:rsid w:val="00467E89"/>
    <w:rsid w:val="004712E0"/>
    <w:rsid w:val="004716D6"/>
    <w:rsid w:val="00471999"/>
    <w:rsid w:val="00472502"/>
    <w:rsid w:val="0047286A"/>
    <w:rsid w:val="00472F4F"/>
    <w:rsid w:val="004734E6"/>
    <w:rsid w:val="00473A1C"/>
    <w:rsid w:val="00476359"/>
    <w:rsid w:val="00476657"/>
    <w:rsid w:val="00476E18"/>
    <w:rsid w:val="00480D65"/>
    <w:rsid w:val="00483393"/>
    <w:rsid w:val="004835B3"/>
    <w:rsid w:val="00483AD0"/>
    <w:rsid w:val="0048450B"/>
    <w:rsid w:val="004857EB"/>
    <w:rsid w:val="0048580C"/>
    <w:rsid w:val="00486218"/>
    <w:rsid w:val="0048706F"/>
    <w:rsid w:val="0048743B"/>
    <w:rsid w:val="00487669"/>
    <w:rsid w:val="00487C4E"/>
    <w:rsid w:val="00490D31"/>
    <w:rsid w:val="0049189B"/>
    <w:rsid w:val="004918B7"/>
    <w:rsid w:val="004937E3"/>
    <w:rsid w:val="0049418D"/>
    <w:rsid w:val="00494A37"/>
    <w:rsid w:val="00496DA5"/>
    <w:rsid w:val="00497E96"/>
    <w:rsid w:val="004A0652"/>
    <w:rsid w:val="004A0EE8"/>
    <w:rsid w:val="004A1241"/>
    <w:rsid w:val="004A20A4"/>
    <w:rsid w:val="004A2F27"/>
    <w:rsid w:val="004A3F7E"/>
    <w:rsid w:val="004A4C2B"/>
    <w:rsid w:val="004A4EFA"/>
    <w:rsid w:val="004A5E85"/>
    <w:rsid w:val="004A6276"/>
    <w:rsid w:val="004A69DF"/>
    <w:rsid w:val="004A78BF"/>
    <w:rsid w:val="004B0F78"/>
    <w:rsid w:val="004B1C75"/>
    <w:rsid w:val="004B1D73"/>
    <w:rsid w:val="004B2617"/>
    <w:rsid w:val="004B47D2"/>
    <w:rsid w:val="004B5E4F"/>
    <w:rsid w:val="004B6092"/>
    <w:rsid w:val="004B7697"/>
    <w:rsid w:val="004C089C"/>
    <w:rsid w:val="004C19AF"/>
    <w:rsid w:val="004C1ECD"/>
    <w:rsid w:val="004C23BE"/>
    <w:rsid w:val="004C43B0"/>
    <w:rsid w:val="004C5A65"/>
    <w:rsid w:val="004C6A4B"/>
    <w:rsid w:val="004C6F3C"/>
    <w:rsid w:val="004C79AB"/>
    <w:rsid w:val="004D02A8"/>
    <w:rsid w:val="004D1B52"/>
    <w:rsid w:val="004D1E5C"/>
    <w:rsid w:val="004D644D"/>
    <w:rsid w:val="004D6967"/>
    <w:rsid w:val="004D6DA9"/>
    <w:rsid w:val="004D78EA"/>
    <w:rsid w:val="004E07B1"/>
    <w:rsid w:val="004E181D"/>
    <w:rsid w:val="004E2ADF"/>
    <w:rsid w:val="004E2BA1"/>
    <w:rsid w:val="004E3982"/>
    <w:rsid w:val="004E4D2D"/>
    <w:rsid w:val="004E59A1"/>
    <w:rsid w:val="004E5D0F"/>
    <w:rsid w:val="004E5E41"/>
    <w:rsid w:val="004E7246"/>
    <w:rsid w:val="004F0DA7"/>
    <w:rsid w:val="004F16D9"/>
    <w:rsid w:val="004F1CBD"/>
    <w:rsid w:val="004F1F8E"/>
    <w:rsid w:val="004F2547"/>
    <w:rsid w:val="004F27E3"/>
    <w:rsid w:val="004F3D7F"/>
    <w:rsid w:val="004F483C"/>
    <w:rsid w:val="004F4DBD"/>
    <w:rsid w:val="004F4EF5"/>
    <w:rsid w:val="004F5E0F"/>
    <w:rsid w:val="00500390"/>
    <w:rsid w:val="00500D6E"/>
    <w:rsid w:val="005013AD"/>
    <w:rsid w:val="00501D0A"/>
    <w:rsid w:val="00502670"/>
    <w:rsid w:val="00502F2F"/>
    <w:rsid w:val="0050395E"/>
    <w:rsid w:val="00503D42"/>
    <w:rsid w:val="00504F27"/>
    <w:rsid w:val="00506019"/>
    <w:rsid w:val="0050636D"/>
    <w:rsid w:val="00506D6A"/>
    <w:rsid w:val="00506D86"/>
    <w:rsid w:val="005114A1"/>
    <w:rsid w:val="00511E89"/>
    <w:rsid w:val="00512138"/>
    <w:rsid w:val="005125E1"/>
    <w:rsid w:val="00512A1C"/>
    <w:rsid w:val="005132AE"/>
    <w:rsid w:val="005134E0"/>
    <w:rsid w:val="00513D6E"/>
    <w:rsid w:val="00515B89"/>
    <w:rsid w:val="00515CC8"/>
    <w:rsid w:val="00516585"/>
    <w:rsid w:val="00516B03"/>
    <w:rsid w:val="00516B34"/>
    <w:rsid w:val="00517A6E"/>
    <w:rsid w:val="00517C02"/>
    <w:rsid w:val="00520AA7"/>
    <w:rsid w:val="00521698"/>
    <w:rsid w:val="00523136"/>
    <w:rsid w:val="00523A38"/>
    <w:rsid w:val="005251EA"/>
    <w:rsid w:val="00525F0A"/>
    <w:rsid w:val="00527CF1"/>
    <w:rsid w:val="00530076"/>
    <w:rsid w:val="005301A9"/>
    <w:rsid w:val="0053050F"/>
    <w:rsid w:val="005305E0"/>
    <w:rsid w:val="0053164A"/>
    <w:rsid w:val="00531A43"/>
    <w:rsid w:val="0053423D"/>
    <w:rsid w:val="005361EE"/>
    <w:rsid w:val="005364AF"/>
    <w:rsid w:val="00536F0D"/>
    <w:rsid w:val="0054089A"/>
    <w:rsid w:val="005410D9"/>
    <w:rsid w:val="005429A3"/>
    <w:rsid w:val="0054329C"/>
    <w:rsid w:val="0054407D"/>
    <w:rsid w:val="00544859"/>
    <w:rsid w:val="00545516"/>
    <w:rsid w:val="00546365"/>
    <w:rsid w:val="005464BA"/>
    <w:rsid w:val="0054672B"/>
    <w:rsid w:val="005470CD"/>
    <w:rsid w:val="0054749D"/>
    <w:rsid w:val="00547842"/>
    <w:rsid w:val="00547AAD"/>
    <w:rsid w:val="005501AA"/>
    <w:rsid w:val="005512D5"/>
    <w:rsid w:val="00551DF8"/>
    <w:rsid w:val="00552961"/>
    <w:rsid w:val="0055335A"/>
    <w:rsid w:val="00553CF3"/>
    <w:rsid w:val="00553D88"/>
    <w:rsid w:val="00556F69"/>
    <w:rsid w:val="005573AB"/>
    <w:rsid w:val="00557529"/>
    <w:rsid w:val="00557709"/>
    <w:rsid w:val="00557BF7"/>
    <w:rsid w:val="00560D27"/>
    <w:rsid w:val="0056122B"/>
    <w:rsid w:val="00562E1A"/>
    <w:rsid w:val="00563514"/>
    <w:rsid w:val="0056352F"/>
    <w:rsid w:val="0056414B"/>
    <w:rsid w:val="0056414D"/>
    <w:rsid w:val="00564774"/>
    <w:rsid w:val="0056602F"/>
    <w:rsid w:val="00566F83"/>
    <w:rsid w:val="0056710E"/>
    <w:rsid w:val="00567329"/>
    <w:rsid w:val="00567BA3"/>
    <w:rsid w:val="0057110A"/>
    <w:rsid w:val="00571832"/>
    <w:rsid w:val="005724F3"/>
    <w:rsid w:val="00573183"/>
    <w:rsid w:val="00573D13"/>
    <w:rsid w:val="005740BC"/>
    <w:rsid w:val="005740F5"/>
    <w:rsid w:val="0057415D"/>
    <w:rsid w:val="0057434F"/>
    <w:rsid w:val="0057521F"/>
    <w:rsid w:val="005757A7"/>
    <w:rsid w:val="00576A4C"/>
    <w:rsid w:val="00576B54"/>
    <w:rsid w:val="00580501"/>
    <w:rsid w:val="005819F6"/>
    <w:rsid w:val="00581EE0"/>
    <w:rsid w:val="00581FE6"/>
    <w:rsid w:val="00582036"/>
    <w:rsid w:val="005824D4"/>
    <w:rsid w:val="00582A38"/>
    <w:rsid w:val="00583155"/>
    <w:rsid w:val="005855D7"/>
    <w:rsid w:val="00586945"/>
    <w:rsid w:val="00587F38"/>
    <w:rsid w:val="0059046C"/>
    <w:rsid w:val="005916BF"/>
    <w:rsid w:val="00592247"/>
    <w:rsid w:val="00592645"/>
    <w:rsid w:val="005928C7"/>
    <w:rsid w:val="005936FD"/>
    <w:rsid w:val="00593A02"/>
    <w:rsid w:val="005953C4"/>
    <w:rsid w:val="00595B67"/>
    <w:rsid w:val="005979F5"/>
    <w:rsid w:val="005A0747"/>
    <w:rsid w:val="005A0AF8"/>
    <w:rsid w:val="005A0EB4"/>
    <w:rsid w:val="005A1318"/>
    <w:rsid w:val="005A1608"/>
    <w:rsid w:val="005A278E"/>
    <w:rsid w:val="005A2BFA"/>
    <w:rsid w:val="005A2D6C"/>
    <w:rsid w:val="005A3A90"/>
    <w:rsid w:val="005A3AA2"/>
    <w:rsid w:val="005A3AC8"/>
    <w:rsid w:val="005A4835"/>
    <w:rsid w:val="005A5056"/>
    <w:rsid w:val="005A53E8"/>
    <w:rsid w:val="005A6233"/>
    <w:rsid w:val="005A6BFC"/>
    <w:rsid w:val="005A6EF3"/>
    <w:rsid w:val="005A7740"/>
    <w:rsid w:val="005A7792"/>
    <w:rsid w:val="005A7C19"/>
    <w:rsid w:val="005A7E59"/>
    <w:rsid w:val="005B0D33"/>
    <w:rsid w:val="005B0D83"/>
    <w:rsid w:val="005B1F5C"/>
    <w:rsid w:val="005B31DA"/>
    <w:rsid w:val="005B322C"/>
    <w:rsid w:val="005B3A44"/>
    <w:rsid w:val="005B4A8E"/>
    <w:rsid w:val="005B4D78"/>
    <w:rsid w:val="005B5285"/>
    <w:rsid w:val="005B7295"/>
    <w:rsid w:val="005B7965"/>
    <w:rsid w:val="005C0073"/>
    <w:rsid w:val="005C015A"/>
    <w:rsid w:val="005C05B4"/>
    <w:rsid w:val="005C12D9"/>
    <w:rsid w:val="005C298E"/>
    <w:rsid w:val="005C491E"/>
    <w:rsid w:val="005C58EB"/>
    <w:rsid w:val="005C7C53"/>
    <w:rsid w:val="005D0A73"/>
    <w:rsid w:val="005D0F20"/>
    <w:rsid w:val="005D1B27"/>
    <w:rsid w:val="005D28D8"/>
    <w:rsid w:val="005D5587"/>
    <w:rsid w:val="005D6453"/>
    <w:rsid w:val="005D6839"/>
    <w:rsid w:val="005D78E8"/>
    <w:rsid w:val="005E0782"/>
    <w:rsid w:val="005E0A9F"/>
    <w:rsid w:val="005E0B00"/>
    <w:rsid w:val="005E22BE"/>
    <w:rsid w:val="005E345D"/>
    <w:rsid w:val="005E38AB"/>
    <w:rsid w:val="005E3BFF"/>
    <w:rsid w:val="005E4ADA"/>
    <w:rsid w:val="005E4CD2"/>
    <w:rsid w:val="005E5106"/>
    <w:rsid w:val="005E54A6"/>
    <w:rsid w:val="005E5A82"/>
    <w:rsid w:val="005E5F01"/>
    <w:rsid w:val="005E61BD"/>
    <w:rsid w:val="005E64D9"/>
    <w:rsid w:val="005E691C"/>
    <w:rsid w:val="005F07CF"/>
    <w:rsid w:val="005F08AE"/>
    <w:rsid w:val="005F0F18"/>
    <w:rsid w:val="005F2E5C"/>
    <w:rsid w:val="005F2EA8"/>
    <w:rsid w:val="005F311B"/>
    <w:rsid w:val="005F35CC"/>
    <w:rsid w:val="005F3980"/>
    <w:rsid w:val="005F3AD4"/>
    <w:rsid w:val="005F5093"/>
    <w:rsid w:val="005F5797"/>
    <w:rsid w:val="005F5E8E"/>
    <w:rsid w:val="005F62C6"/>
    <w:rsid w:val="005F6854"/>
    <w:rsid w:val="005F74C0"/>
    <w:rsid w:val="005F7B85"/>
    <w:rsid w:val="006005E4"/>
    <w:rsid w:val="0060078F"/>
    <w:rsid w:val="006022AD"/>
    <w:rsid w:val="0060245C"/>
    <w:rsid w:val="006025C2"/>
    <w:rsid w:val="00604899"/>
    <w:rsid w:val="00604E62"/>
    <w:rsid w:val="00606924"/>
    <w:rsid w:val="00606B7F"/>
    <w:rsid w:val="0061078F"/>
    <w:rsid w:val="0061083E"/>
    <w:rsid w:val="00612545"/>
    <w:rsid w:val="006128D8"/>
    <w:rsid w:val="006133C1"/>
    <w:rsid w:val="00615193"/>
    <w:rsid w:val="00615368"/>
    <w:rsid w:val="0061601B"/>
    <w:rsid w:val="00616854"/>
    <w:rsid w:val="00616927"/>
    <w:rsid w:val="00616A32"/>
    <w:rsid w:val="0061746E"/>
    <w:rsid w:val="006175B5"/>
    <w:rsid w:val="00617F23"/>
    <w:rsid w:val="00620636"/>
    <w:rsid w:val="00623155"/>
    <w:rsid w:val="0062366F"/>
    <w:rsid w:val="00623689"/>
    <w:rsid w:val="0062382A"/>
    <w:rsid w:val="0062572B"/>
    <w:rsid w:val="00625D39"/>
    <w:rsid w:val="00625E7B"/>
    <w:rsid w:val="00626353"/>
    <w:rsid w:val="0062654D"/>
    <w:rsid w:val="0062774D"/>
    <w:rsid w:val="00630C69"/>
    <w:rsid w:val="00631919"/>
    <w:rsid w:val="00631D0D"/>
    <w:rsid w:val="00632DD8"/>
    <w:rsid w:val="006337DC"/>
    <w:rsid w:val="00635446"/>
    <w:rsid w:val="00636651"/>
    <w:rsid w:val="00636708"/>
    <w:rsid w:val="00636984"/>
    <w:rsid w:val="00636A4B"/>
    <w:rsid w:val="00636BCE"/>
    <w:rsid w:val="00636F7C"/>
    <w:rsid w:val="00640360"/>
    <w:rsid w:val="0064062B"/>
    <w:rsid w:val="00640753"/>
    <w:rsid w:val="00640BB6"/>
    <w:rsid w:val="0064169B"/>
    <w:rsid w:val="00643237"/>
    <w:rsid w:val="006445E9"/>
    <w:rsid w:val="00644DD6"/>
    <w:rsid w:val="00644FB7"/>
    <w:rsid w:val="00645744"/>
    <w:rsid w:val="0064646A"/>
    <w:rsid w:val="00646A37"/>
    <w:rsid w:val="00647176"/>
    <w:rsid w:val="00647F7E"/>
    <w:rsid w:val="00651078"/>
    <w:rsid w:val="006513ED"/>
    <w:rsid w:val="00651536"/>
    <w:rsid w:val="0065184C"/>
    <w:rsid w:val="006526BE"/>
    <w:rsid w:val="00653682"/>
    <w:rsid w:val="00653937"/>
    <w:rsid w:val="00654269"/>
    <w:rsid w:val="00654FB4"/>
    <w:rsid w:val="0065627A"/>
    <w:rsid w:val="006564BD"/>
    <w:rsid w:val="00656833"/>
    <w:rsid w:val="00656A66"/>
    <w:rsid w:val="00657F52"/>
    <w:rsid w:val="0066086F"/>
    <w:rsid w:val="00661062"/>
    <w:rsid w:val="00661BD7"/>
    <w:rsid w:val="00662264"/>
    <w:rsid w:val="00662A56"/>
    <w:rsid w:val="00662C0C"/>
    <w:rsid w:val="006636DE"/>
    <w:rsid w:val="00663A3F"/>
    <w:rsid w:val="00664853"/>
    <w:rsid w:val="00664C38"/>
    <w:rsid w:val="00670768"/>
    <w:rsid w:val="00670C20"/>
    <w:rsid w:val="00671C87"/>
    <w:rsid w:val="00671DD1"/>
    <w:rsid w:val="00673374"/>
    <w:rsid w:val="006748FD"/>
    <w:rsid w:val="00674BC6"/>
    <w:rsid w:val="00675216"/>
    <w:rsid w:val="0067523A"/>
    <w:rsid w:val="00675792"/>
    <w:rsid w:val="006757DF"/>
    <w:rsid w:val="00675842"/>
    <w:rsid w:val="00675D34"/>
    <w:rsid w:val="0067606D"/>
    <w:rsid w:val="00676640"/>
    <w:rsid w:val="006767E7"/>
    <w:rsid w:val="0067767C"/>
    <w:rsid w:val="00677A16"/>
    <w:rsid w:val="00677A83"/>
    <w:rsid w:val="00677B0A"/>
    <w:rsid w:val="00681645"/>
    <w:rsid w:val="0068186F"/>
    <w:rsid w:val="00682646"/>
    <w:rsid w:val="0068273F"/>
    <w:rsid w:val="006830A7"/>
    <w:rsid w:val="006833BE"/>
    <w:rsid w:val="006843AC"/>
    <w:rsid w:val="00684B38"/>
    <w:rsid w:val="00685162"/>
    <w:rsid w:val="006853AB"/>
    <w:rsid w:val="006859BE"/>
    <w:rsid w:val="00686074"/>
    <w:rsid w:val="00686357"/>
    <w:rsid w:val="00686956"/>
    <w:rsid w:val="00687DEC"/>
    <w:rsid w:val="006904D2"/>
    <w:rsid w:val="006906E7"/>
    <w:rsid w:val="00691476"/>
    <w:rsid w:val="00692874"/>
    <w:rsid w:val="00692AD3"/>
    <w:rsid w:val="00692EA8"/>
    <w:rsid w:val="006935E5"/>
    <w:rsid w:val="00693AAF"/>
    <w:rsid w:val="00693ACD"/>
    <w:rsid w:val="00693B64"/>
    <w:rsid w:val="00693B87"/>
    <w:rsid w:val="00693FC8"/>
    <w:rsid w:val="0069430A"/>
    <w:rsid w:val="00694C6A"/>
    <w:rsid w:val="006951A4"/>
    <w:rsid w:val="00695E5B"/>
    <w:rsid w:val="00696049"/>
    <w:rsid w:val="00696610"/>
    <w:rsid w:val="00696D42"/>
    <w:rsid w:val="00697353"/>
    <w:rsid w:val="006976AB"/>
    <w:rsid w:val="00697FCD"/>
    <w:rsid w:val="006A01F0"/>
    <w:rsid w:val="006A16A5"/>
    <w:rsid w:val="006A16B8"/>
    <w:rsid w:val="006A2A38"/>
    <w:rsid w:val="006A35EC"/>
    <w:rsid w:val="006A3CA5"/>
    <w:rsid w:val="006A3FB3"/>
    <w:rsid w:val="006A4316"/>
    <w:rsid w:val="006A454C"/>
    <w:rsid w:val="006A5120"/>
    <w:rsid w:val="006A5DF7"/>
    <w:rsid w:val="006A645D"/>
    <w:rsid w:val="006A6DFD"/>
    <w:rsid w:val="006B15CC"/>
    <w:rsid w:val="006B194E"/>
    <w:rsid w:val="006B3D14"/>
    <w:rsid w:val="006B3FA6"/>
    <w:rsid w:val="006B42F9"/>
    <w:rsid w:val="006B4307"/>
    <w:rsid w:val="006B5D84"/>
    <w:rsid w:val="006B7357"/>
    <w:rsid w:val="006C1AA5"/>
    <w:rsid w:val="006C1AE1"/>
    <w:rsid w:val="006C1B8D"/>
    <w:rsid w:val="006C2C8C"/>
    <w:rsid w:val="006C3379"/>
    <w:rsid w:val="006C39AA"/>
    <w:rsid w:val="006C3A4C"/>
    <w:rsid w:val="006C4543"/>
    <w:rsid w:val="006C4C8E"/>
    <w:rsid w:val="006C584B"/>
    <w:rsid w:val="006C63C4"/>
    <w:rsid w:val="006C78EB"/>
    <w:rsid w:val="006D0845"/>
    <w:rsid w:val="006D0851"/>
    <w:rsid w:val="006D0D92"/>
    <w:rsid w:val="006D1377"/>
    <w:rsid w:val="006D1F30"/>
    <w:rsid w:val="006D2A31"/>
    <w:rsid w:val="006D5444"/>
    <w:rsid w:val="006D55E2"/>
    <w:rsid w:val="006D58D5"/>
    <w:rsid w:val="006D5A9D"/>
    <w:rsid w:val="006D6A30"/>
    <w:rsid w:val="006D7020"/>
    <w:rsid w:val="006D779A"/>
    <w:rsid w:val="006E070B"/>
    <w:rsid w:val="006E098D"/>
    <w:rsid w:val="006E0DAE"/>
    <w:rsid w:val="006E1C2E"/>
    <w:rsid w:val="006E26B9"/>
    <w:rsid w:val="006E3117"/>
    <w:rsid w:val="006E3A5B"/>
    <w:rsid w:val="006E421D"/>
    <w:rsid w:val="006E4A89"/>
    <w:rsid w:val="006E6A58"/>
    <w:rsid w:val="006E760A"/>
    <w:rsid w:val="006F0131"/>
    <w:rsid w:val="006F12F0"/>
    <w:rsid w:val="006F1627"/>
    <w:rsid w:val="006F189E"/>
    <w:rsid w:val="006F1A46"/>
    <w:rsid w:val="006F2ED7"/>
    <w:rsid w:val="006F36D9"/>
    <w:rsid w:val="006F3741"/>
    <w:rsid w:val="006F3AFD"/>
    <w:rsid w:val="006F554A"/>
    <w:rsid w:val="006F5E7B"/>
    <w:rsid w:val="006F6508"/>
    <w:rsid w:val="006F697C"/>
    <w:rsid w:val="006F7391"/>
    <w:rsid w:val="006F7972"/>
    <w:rsid w:val="00700294"/>
    <w:rsid w:val="0070053E"/>
    <w:rsid w:val="007018F2"/>
    <w:rsid w:val="007020B6"/>
    <w:rsid w:val="007029FA"/>
    <w:rsid w:val="00704043"/>
    <w:rsid w:val="007066D9"/>
    <w:rsid w:val="00707968"/>
    <w:rsid w:val="00710400"/>
    <w:rsid w:val="00710A8D"/>
    <w:rsid w:val="007112E7"/>
    <w:rsid w:val="00711C8D"/>
    <w:rsid w:val="00712F14"/>
    <w:rsid w:val="00714D8B"/>
    <w:rsid w:val="00714F4F"/>
    <w:rsid w:val="00715773"/>
    <w:rsid w:val="00715F38"/>
    <w:rsid w:val="00716341"/>
    <w:rsid w:val="00717238"/>
    <w:rsid w:val="00717F02"/>
    <w:rsid w:val="00720195"/>
    <w:rsid w:val="00720259"/>
    <w:rsid w:val="00721AE1"/>
    <w:rsid w:val="00721E48"/>
    <w:rsid w:val="00721FC6"/>
    <w:rsid w:val="00722027"/>
    <w:rsid w:val="00723809"/>
    <w:rsid w:val="00723D77"/>
    <w:rsid w:val="00724DAB"/>
    <w:rsid w:val="00724FF3"/>
    <w:rsid w:val="007259AC"/>
    <w:rsid w:val="00725D9E"/>
    <w:rsid w:val="00727C26"/>
    <w:rsid w:val="007307EE"/>
    <w:rsid w:val="00730923"/>
    <w:rsid w:val="00730FD7"/>
    <w:rsid w:val="00731D36"/>
    <w:rsid w:val="007322B1"/>
    <w:rsid w:val="00732514"/>
    <w:rsid w:val="00732A5D"/>
    <w:rsid w:val="00733472"/>
    <w:rsid w:val="00733831"/>
    <w:rsid w:val="007347BD"/>
    <w:rsid w:val="007349CF"/>
    <w:rsid w:val="007362FA"/>
    <w:rsid w:val="0073640F"/>
    <w:rsid w:val="0073703D"/>
    <w:rsid w:val="00737564"/>
    <w:rsid w:val="00742092"/>
    <w:rsid w:val="00742515"/>
    <w:rsid w:val="00743C70"/>
    <w:rsid w:val="007443F0"/>
    <w:rsid w:val="0074453C"/>
    <w:rsid w:val="007459F8"/>
    <w:rsid w:val="0074775F"/>
    <w:rsid w:val="007477A9"/>
    <w:rsid w:val="00747C6C"/>
    <w:rsid w:val="007505FC"/>
    <w:rsid w:val="00750668"/>
    <w:rsid w:val="00751B96"/>
    <w:rsid w:val="00751C26"/>
    <w:rsid w:val="00752DBD"/>
    <w:rsid w:val="00753431"/>
    <w:rsid w:val="00754213"/>
    <w:rsid w:val="007544B9"/>
    <w:rsid w:val="00754C00"/>
    <w:rsid w:val="00756DC9"/>
    <w:rsid w:val="00757926"/>
    <w:rsid w:val="00760CA7"/>
    <w:rsid w:val="00762304"/>
    <w:rsid w:val="00762D76"/>
    <w:rsid w:val="00762FD6"/>
    <w:rsid w:val="007631E4"/>
    <w:rsid w:val="0076323A"/>
    <w:rsid w:val="0076391A"/>
    <w:rsid w:val="00763C3D"/>
    <w:rsid w:val="007641DB"/>
    <w:rsid w:val="007646A8"/>
    <w:rsid w:val="00764F02"/>
    <w:rsid w:val="0076575C"/>
    <w:rsid w:val="007657D0"/>
    <w:rsid w:val="00765BFD"/>
    <w:rsid w:val="007666EE"/>
    <w:rsid w:val="00766A6C"/>
    <w:rsid w:val="00766A93"/>
    <w:rsid w:val="00766E56"/>
    <w:rsid w:val="0076720F"/>
    <w:rsid w:val="00767AB3"/>
    <w:rsid w:val="0077012B"/>
    <w:rsid w:val="00771294"/>
    <w:rsid w:val="0077183D"/>
    <w:rsid w:val="00772056"/>
    <w:rsid w:val="0077515D"/>
    <w:rsid w:val="007758A2"/>
    <w:rsid w:val="00776779"/>
    <w:rsid w:val="00776E94"/>
    <w:rsid w:val="00776F43"/>
    <w:rsid w:val="00781131"/>
    <w:rsid w:val="007811CA"/>
    <w:rsid w:val="00781EC8"/>
    <w:rsid w:val="00782EC3"/>
    <w:rsid w:val="00783595"/>
    <w:rsid w:val="00783CDC"/>
    <w:rsid w:val="00784E1B"/>
    <w:rsid w:val="00786F5E"/>
    <w:rsid w:val="00786F81"/>
    <w:rsid w:val="0078724E"/>
    <w:rsid w:val="007877F7"/>
    <w:rsid w:val="0079012B"/>
    <w:rsid w:val="00790C0D"/>
    <w:rsid w:val="00790CB6"/>
    <w:rsid w:val="00790FCF"/>
    <w:rsid w:val="0079178C"/>
    <w:rsid w:val="00791B4A"/>
    <w:rsid w:val="00791CFC"/>
    <w:rsid w:val="0079274B"/>
    <w:rsid w:val="007929B2"/>
    <w:rsid w:val="00793309"/>
    <w:rsid w:val="00793897"/>
    <w:rsid w:val="007938DC"/>
    <w:rsid w:val="00793A51"/>
    <w:rsid w:val="0079443E"/>
    <w:rsid w:val="00794638"/>
    <w:rsid w:val="0079498E"/>
    <w:rsid w:val="00794C8E"/>
    <w:rsid w:val="00794DEC"/>
    <w:rsid w:val="00795DA0"/>
    <w:rsid w:val="007963FD"/>
    <w:rsid w:val="00797341"/>
    <w:rsid w:val="007A0FD0"/>
    <w:rsid w:val="007A1034"/>
    <w:rsid w:val="007A16FC"/>
    <w:rsid w:val="007A1B01"/>
    <w:rsid w:val="007A2A07"/>
    <w:rsid w:val="007A3BAD"/>
    <w:rsid w:val="007A418D"/>
    <w:rsid w:val="007A4219"/>
    <w:rsid w:val="007A458F"/>
    <w:rsid w:val="007A501B"/>
    <w:rsid w:val="007A5FB3"/>
    <w:rsid w:val="007A75E3"/>
    <w:rsid w:val="007A7E6A"/>
    <w:rsid w:val="007B2272"/>
    <w:rsid w:val="007B4F1D"/>
    <w:rsid w:val="007B602F"/>
    <w:rsid w:val="007B644A"/>
    <w:rsid w:val="007B66B4"/>
    <w:rsid w:val="007B6DAE"/>
    <w:rsid w:val="007B7C59"/>
    <w:rsid w:val="007C0CDD"/>
    <w:rsid w:val="007C0E26"/>
    <w:rsid w:val="007C119C"/>
    <w:rsid w:val="007C1DC4"/>
    <w:rsid w:val="007C388D"/>
    <w:rsid w:val="007C4E67"/>
    <w:rsid w:val="007D0929"/>
    <w:rsid w:val="007D1866"/>
    <w:rsid w:val="007D18EA"/>
    <w:rsid w:val="007D1F2F"/>
    <w:rsid w:val="007D3876"/>
    <w:rsid w:val="007D3906"/>
    <w:rsid w:val="007D3C07"/>
    <w:rsid w:val="007D3D56"/>
    <w:rsid w:val="007D4CD2"/>
    <w:rsid w:val="007D6029"/>
    <w:rsid w:val="007E01F5"/>
    <w:rsid w:val="007E035B"/>
    <w:rsid w:val="007E0A47"/>
    <w:rsid w:val="007E165E"/>
    <w:rsid w:val="007E1E59"/>
    <w:rsid w:val="007E39E1"/>
    <w:rsid w:val="007E3AB8"/>
    <w:rsid w:val="007E3AC0"/>
    <w:rsid w:val="007E3F52"/>
    <w:rsid w:val="007E4C01"/>
    <w:rsid w:val="007E58D0"/>
    <w:rsid w:val="007E5E0A"/>
    <w:rsid w:val="007E66AF"/>
    <w:rsid w:val="007F081B"/>
    <w:rsid w:val="007F0C24"/>
    <w:rsid w:val="007F108F"/>
    <w:rsid w:val="007F1577"/>
    <w:rsid w:val="007F3485"/>
    <w:rsid w:val="007F3FEF"/>
    <w:rsid w:val="007F4396"/>
    <w:rsid w:val="007F539C"/>
    <w:rsid w:val="007F5FA3"/>
    <w:rsid w:val="007F6E80"/>
    <w:rsid w:val="007F7C69"/>
    <w:rsid w:val="007F7D6B"/>
    <w:rsid w:val="00801D39"/>
    <w:rsid w:val="008037BD"/>
    <w:rsid w:val="00803904"/>
    <w:rsid w:val="00803B3C"/>
    <w:rsid w:val="008040E0"/>
    <w:rsid w:val="00804452"/>
    <w:rsid w:val="008046A8"/>
    <w:rsid w:val="0080589F"/>
    <w:rsid w:val="00806531"/>
    <w:rsid w:val="0080683C"/>
    <w:rsid w:val="00806948"/>
    <w:rsid w:val="0080709A"/>
    <w:rsid w:val="00807D75"/>
    <w:rsid w:val="00807F40"/>
    <w:rsid w:val="00810254"/>
    <w:rsid w:val="0081058D"/>
    <w:rsid w:val="00810CDB"/>
    <w:rsid w:val="008116A4"/>
    <w:rsid w:val="0081193B"/>
    <w:rsid w:val="00811969"/>
    <w:rsid w:val="00811F8D"/>
    <w:rsid w:val="00812364"/>
    <w:rsid w:val="0081263E"/>
    <w:rsid w:val="008126F1"/>
    <w:rsid w:val="00812E04"/>
    <w:rsid w:val="00813909"/>
    <w:rsid w:val="00814D3D"/>
    <w:rsid w:val="00814E91"/>
    <w:rsid w:val="00815495"/>
    <w:rsid w:val="0081645E"/>
    <w:rsid w:val="008170C8"/>
    <w:rsid w:val="00817455"/>
    <w:rsid w:val="008203DD"/>
    <w:rsid w:val="0082053B"/>
    <w:rsid w:val="0082081D"/>
    <w:rsid w:val="0082094F"/>
    <w:rsid w:val="00820AAB"/>
    <w:rsid w:val="00822739"/>
    <w:rsid w:val="008229C6"/>
    <w:rsid w:val="00822EF7"/>
    <w:rsid w:val="00823310"/>
    <w:rsid w:val="008233C1"/>
    <w:rsid w:val="0082358E"/>
    <w:rsid w:val="0082368D"/>
    <w:rsid w:val="008238BC"/>
    <w:rsid w:val="00823C38"/>
    <w:rsid w:val="00824E0D"/>
    <w:rsid w:val="008252A1"/>
    <w:rsid w:val="0082647E"/>
    <w:rsid w:val="00826641"/>
    <w:rsid w:val="00827DA0"/>
    <w:rsid w:val="008300FC"/>
    <w:rsid w:val="00830CBE"/>
    <w:rsid w:val="00831200"/>
    <w:rsid w:val="0083175F"/>
    <w:rsid w:val="00832D97"/>
    <w:rsid w:val="00833C09"/>
    <w:rsid w:val="00834449"/>
    <w:rsid w:val="00834733"/>
    <w:rsid w:val="008357C9"/>
    <w:rsid w:val="0083644E"/>
    <w:rsid w:val="00837463"/>
    <w:rsid w:val="00837ABE"/>
    <w:rsid w:val="00837FCB"/>
    <w:rsid w:val="00840AEE"/>
    <w:rsid w:val="00840EE1"/>
    <w:rsid w:val="00841D7C"/>
    <w:rsid w:val="00841E67"/>
    <w:rsid w:val="00842188"/>
    <w:rsid w:val="00842BDA"/>
    <w:rsid w:val="00844A94"/>
    <w:rsid w:val="00845EEB"/>
    <w:rsid w:val="008460D7"/>
    <w:rsid w:val="00846538"/>
    <w:rsid w:val="008476A5"/>
    <w:rsid w:val="00847707"/>
    <w:rsid w:val="00847D5F"/>
    <w:rsid w:val="00850B57"/>
    <w:rsid w:val="00851BA5"/>
    <w:rsid w:val="0085276F"/>
    <w:rsid w:val="00852C82"/>
    <w:rsid w:val="008538E1"/>
    <w:rsid w:val="0085422A"/>
    <w:rsid w:val="008558D9"/>
    <w:rsid w:val="00857FED"/>
    <w:rsid w:val="00860CB2"/>
    <w:rsid w:val="008614FE"/>
    <w:rsid w:val="00861542"/>
    <w:rsid w:val="00861B19"/>
    <w:rsid w:val="008629FE"/>
    <w:rsid w:val="00862AFE"/>
    <w:rsid w:val="00863E3C"/>
    <w:rsid w:val="0086405B"/>
    <w:rsid w:val="008643D4"/>
    <w:rsid w:val="008649AF"/>
    <w:rsid w:val="00865661"/>
    <w:rsid w:val="00870941"/>
    <w:rsid w:val="0087113B"/>
    <w:rsid w:val="00871400"/>
    <w:rsid w:val="00872702"/>
    <w:rsid w:val="00872AB6"/>
    <w:rsid w:val="00872B5C"/>
    <w:rsid w:val="0087311F"/>
    <w:rsid w:val="00874D19"/>
    <w:rsid w:val="008774F4"/>
    <w:rsid w:val="0087757C"/>
    <w:rsid w:val="00877F40"/>
    <w:rsid w:val="008810B2"/>
    <w:rsid w:val="0088171B"/>
    <w:rsid w:val="00882270"/>
    <w:rsid w:val="008836C7"/>
    <w:rsid w:val="00885BE2"/>
    <w:rsid w:val="00886111"/>
    <w:rsid w:val="00887589"/>
    <w:rsid w:val="00891A62"/>
    <w:rsid w:val="00891AD1"/>
    <w:rsid w:val="008925E6"/>
    <w:rsid w:val="0089291C"/>
    <w:rsid w:val="00892BF9"/>
    <w:rsid w:val="008939BE"/>
    <w:rsid w:val="008945FF"/>
    <w:rsid w:val="00894E31"/>
    <w:rsid w:val="008953D0"/>
    <w:rsid w:val="0089552C"/>
    <w:rsid w:val="008956F5"/>
    <w:rsid w:val="00895DFB"/>
    <w:rsid w:val="008970F5"/>
    <w:rsid w:val="008A091D"/>
    <w:rsid w:val="008A30F6"/>
    <w:rsid w:val="008A3F2D"/>
    <w:rsid w:val="008A3FAA"/>
    <w:rsid w:val="008A7A75"/>
    <w:rsid w:val="008B03E0"/>
    <w:rsid w:val="008B0616"/>
    <w:rsid w:val="008B0DD2"/>
    <w:rsid w:val="008B2C5E"/>
    <w:rsid w:val="008B3F38"/>
    <w:rsid w:val="008B415E"/>
    <w:rsid w:val="008B4703"/>
    <w:rsid w:val="008B5250"/>
    <w:rsid w:val="008B562D"/>
    <w:rsid w:val="008B5888"/>
    <w:rsid w:val="008B5D3E"/>
    <w:rsid w:val="008B6BD7"/>
    <w:rsid w:val="008B6EB8"/>
    <w:rsid w:val="008C16DD"/>
    <w:rsid w:val="008C1A48"/>
    <w:rsid w:val="008C1AB4"/>
    <w:rsid w:val="008C2449"/>
    <w:rsid w:val="008C2B05"/>
    <w:rsid w:val="008C45AB"/>
    <w:rsid w:val="008C68C6"/>
    <w:rsid w:val="008C7230"/>
    <w:rsid w:val="008C76E1"/>
    <w:rsid w:val="008C7C0C"/>
    <w:rsid w:val="008D10A4"/>
    <w:rsid w:val="008D1382"/>
    <w:rsid w:val="008D243E"/>
    <w:rsid w:val="008D2508"/>
    <w:rsid w:val="008D2C29"/>
    <w:rsid w:val="008D354E"/>
    <w:rsid w:val="008D3E5E"/>
    <w:rsid w:val="008D5F87"/>
    <w:rsid w:val="008D654D"/>
    <w:rsid w:val="008D745E"/>
    <w:rsid w:val="008D7868"/>
    <w:rsid w:val="008E1B4D"/>
    <w:rsid w:val="008E2051"/>
    <w:rsid w:val="008E3399"/>
    <w:rsid w:val="008E4B4F"/>
    <w:rsid w:val="008E51B7"/>
    <w:rsid w:val="008E594C"/>
    <w:rsid w:val="008E5A98"/>
    <w:rsid w:val="008E5D25"/>
    <w:rsid w:val="008F095A"/>
    <w:rsid w:val="008F3498"/>
    <w:rsid w:val="008F36FC"/>
    <w:rsid w:val="008F3A5D"/>
    <w:rsid w:val="008F51B3"/>
    <w:rsid w:val="008F54AC"/>
    <w:rsid w:val="008F56B5"/>
    <w:rsid w:val="008F64E4"/>
    <w:rsid w:val="008F7610"/>
    <w:rsid w:val="008F7713"/>
    <w:rsid w:val="008F7B97"/>
    <w:rsid w:val="009002DB"/>
    <w:rsid w:val="009012C0"/>
    <w:rsid w:val="0090218A"/>
    <w:rsid w:val="009023E4"/>
    <w:rsid w:val="0090303E"/>
    <w:rsid w:val="00903438"/>
    <w:rsid w:val="0090359C"/>
    <w:rsid w:val="00905518"/>
    <w:rsid w:val="0090669F"/>
    <w:rsid w:val="009066DB"/>
    <w:rsid w:val="00907B1E"/>
    <w:rsid w:val="00910088"/>
    <w:rsid w:val="009103A8"/>
    <w:rsid w:val="00910ABC"/>
    <w:rsid w:val="00911A4F"/>
    <w:rsid w:val="00912673"/>
    <w:rsid w:val="00912B7D"/>
    <w:rsid w:val="00912C0D"/>
    <w:rsid w:val="009135BC"/>
    <w:rsid w:val="00914F7F"/>
    <w:rsid w:val="00915E63"/>
    <w:rsid w:val="0091724D"/>
    <w:rsid w:val="00920095"/>
    <w:rsid w:val="009219B6"/>
    <w:rsid w:val="00921A7B"/>
    <w:rsid w:val="0092417F"/>
    <w:rsid w:val="00925A11"/>
    <w:rsid w:val="009263C8"/>
    <w:rsid w:val="0092680D"/>
    <w:rsid w:val="00927D94"/>
    <w:rsid w:val="00930DD8"/>
    <w:rsid w:val="009317B8"/>
    <w:rsid w:val="009318A2"/>
    <w:rsid w:val="0093193A"/>
    <w:rsid w:val="00931980"/>
    <w:rsid w:val="00931CFA"/>
    <w:rsid w:val="00932179"/>
    <w:rsid w:val="0093289C"/>
    <w:rsid w:val="00933056"/>
    <w:rsid w:val="00933199"/>
    <w:rsid w:val="009337CD"/>
    <w:rsid w:val="00935370"/>
    <w:rsid w:val="00941ABB"/>
    <w:rsid w:val="0094226F"/>
    <w:rsid w:val="00943A0E"/>
    <w:rsid w:val="00943B6D"/>
    <w:rsid w:val="009441ED"/>
    <w:rsid w:val="00944922"/>
    <w:rsid w:val="00944D77"/>
    <w:rsid w:val="0094627F"/>
    <w:rsid w:val="00946986"/>
    <w:rsid w:val="0094703D"/>
    <w:rsid w:val="00947649"/>
    <w:rsid w:val="00950649"/>
    <w:rsid w:val="00950A6A"/>
    <w:rsid w:val="00950C7A"/>
    <w:rsid w:val="00950FB2"/>
    <w:rsid w:val="00950FEC"/>
    <w:rsid w:val="009516A0"/>
    <w:rsid w:val="00951CB6"/>
    <w:rsid w:val="0095204E"/>
    <w:rsid w:val="009536F1"/>
    <w:rsid w:val="0095454B"/>
    <w:rsid w:val="0095623D"/>
    <w:rsid w:val="00957354"/>
    <w:rsid w:val="0095780C"/>
    <w:rsid w:val="00960623"/>
    <w:rsid w:val="00960DD7"/>
    <w:rsid w:val="00960E75"/>
    <w:rsid w:val="0096171B"/>
    <w:rsid w:val="00961775"/>
    <w:rsid w:val="009642F8"/>
    <w:rsid w:val="0096466C"/>
    <w:rsid w:val="009647C2"/>
    <w:rsid w:val="00964805"/>
    <w:rsid w:val="00965D32"/>
    <w:rsid w:val="00965D88"/>
    <w:rsid w:val="00965FA3"/>
    <w:rsid w:val="00966090"/>
    <w:rsid w:val="009667B8"/>
    <w:rsid w:val="00966A28"/>
    <w:rsid w:val="00966FCF"/>
    <w:rsid w:val="00967CA1"/>
    <w:rsid w:val="0097001B"/>
    <w:rsid w:val="0097060F"/>
    <w:rsid w:val="00970968"/>
    <w:rsid w:val="00970B05"/>
    <w:rsid w:val="0097191E"/>
    <w:rsid w:val="009727F1"/>
    <w:rsid w:val="00972E53"/>
    <w:rsid w:val="009742BB"/>
    <w:rsid w:val="009746D3"/>
    <w:rsid w:val="009748C1"/>
    <w:rsid w:val="0097520C"/>
    <w:rsid w:val="009755C6"/>
    <w:rsid w:val="0097672C"/>
    <w:rsid w:val="00980000"/>
    <w:rsid w:val="00980338"/>
    <w:rsid w:val="00980A07"/>
    <w:rsid w:val="0098187A"/>
    <w:rsid w:val="00981E84"/>
    <w:rsid w:val="00984450"/>
    <w:rsid w:val="009855CA"/>
    <w:rsid w:val="0098572A"/>
    <w:rsid w:val="0099173C"/>
    <w:rsid w:val="009926AE"/>
    <w:rsid w:val="00992CBF"/>
    <w:rsid w:val="0099347A"/>
    <w:rsid w:val="0099357A"/>
    <w:rsid w:val="00993609"/>
    <w:rsid w:val="00993B1A"/>
    <w:rsid w:val="0099454F"/>
    <w:rsid w:val="009945FA"/>
    <w:rsid w:val="0099497B"/>
    <w:rsid w:val="00995008"/>
    <w:rsid w:val="009952C8"/>
    <w:rsid w:val="009966A2"/>
    <w:rsid w:val="009973B9"/>
    <w:rsid w:val="00997829"/>
    <w:rsid w:val="00997BAC"/>
    <w:rsid w:val="009A0485"/>
    <w:rsid w:val="009A07A3"/>
    <w:rsid w:val="009A0E88"/>
    <w:rsid w:val="009A0FDB"/>
    <w:rsid w:val="009A1694"/>
    <w:rsid w:val="009A1C1B"/>
    <w:rsid w:val="009A2B86"/>
    <w:rsid w:val="009A390F"/>
    <w:rsid w:val="009A39C6"/>
    <w:rsid w:val="009A4650"/>
    <w:rsid w:val="009A483B"/>
    <w:rsid w:val="009A4BBC"/>
    <w:rsid w:val="009A4D52"/>
    <w:rsid w:val="009A531E"/>
    <w:rsid w:val="009A536B"/>
    <w:rsid w:val="009A5B2E"/>
    <w:rsid w:val="009A6333"/>
    <w:rsid w:val="009A66D4"/>
    <w:rsid w:val="009A687B"/>
    <w:rsid w:val="009A6E25"/>
    <w:rsid w:val="009A73EB"/>
    <w:rsid w:val="009A7BB7"/>
    <w:rsid w:val="009B0861"/>
    <w:rsid w:val="009B0A1F"/>
    <w:rsid w:val="009B108A"/>
    <w:rsid w:val="009B4113"/>
    <w:rsid w:val="009B50D8"/>
    <w:rsid w:val="009B7AAD"/>
    <w:rsid w:val="009B7AF6"/>
    <w:rsid w:val="009B7BC4"/>
    <w:rsid w:val="009C00F9"/>
    <w:rsid w:val="009C0F69"/>
    <w:rsid w:val="009C1167"/>
    <w:rsid w:val="009C17FE"/>
    <w:rsid w:val="009C1CB4"/>
    <w:rsid w:val="009C1F42"/>
    <w:rsid w:val="009C2FCD"/>
    <w:rsid w:val="009C42C2"/>
    <w:rsid w:val="009C6D0D"/>
    <w:rsid w:val="009C7638"/>
    <w:rsid w:val="009C7F20"/>
    <w:rsid w:val="009D0449"/>
    <w:rsid w:val="009D0723"/>
    <w:rsid w:val="009D1077"/>
    <w:rsid w:val="009D1CF9"/>
    <w:rsid w:val="009D1EC3"/>
    <w:rsid w:val="009D2CEF"/>
    <w:rsid w:val="009D4531"/>
    <w:rsid w:val="009D49FC"/>
    <w:rsid w:val="009D5830"/>
    <w:rsid w:val="009D5972"/>
    <w:rsid w:val="009D7426"/>
    <w:rsid w:val="009D79AF"/>
    <w:rsid w:val="009E1161"/>
    <w:rsid w:val="009E198A"/>
    <w:rsid w:val="009E1C49"/>
    <w:rsid w:val="009E2745"/>
    <w:rsid w:val="009E2D6F"/>
    <w:rsid w:val="009E3B73"/>
    <w:rsid w:val="009E3BD6"/>
    <w:rsid w:val="009E523E"/>
    <w:rsid w:val="009E53B0"/>
    <w:rsid w:val="009E5405"/>
    <w:rsid w:val="009E645B"/>
    <w:rsid w:val="009E68FB"/>
    <w:rsid w:val="009E6A2F"/>
    <w:rsid w:val="009E7C0F"/>
    <w:rsid w:val="009F083B"/>
    <w:rsid w:val="009F097B"/>
    <w:rsid w:val="009F122F"/>
    <w:rsid w:val="009F1580"/>
    <w:rsid w:val="009F28CC"/>
    <w:rsid w:val="009F28FC"/>
    <w:rsid w:val="009F36C3"/>
    <w:rsid w:val="009F508F"/>
    <w:rsid w:val="009F537E"/>
    <w:rsid w:val="009F5926"/>
    <w:rsid w:val="009F59DB"/>
    <w:rsid w:val="009F5BDA"/>
    <w:rsid w:val="009F5D8D"/>
    <w:rsid w:val="009F5EFE"/>
    <w:rsid w:val="009F65A0"/>
    <w:rsid w:val="009F6C1A"/>
    <w:rsid w:val="009F774B"/>
    <w:rsid w:val="009F794E"/>
    <w:rsid w:val="009F7FC0"/>
    <w:rsid w:val="00A0078F"/>
    <w:rsid w:val="00A01169"/>
    <w:rsid w:val="00A01731"/>
    <w:rsid w:val="00A0282A"/>
    <w:rsid w:val="00A0306C"/>
    <w:rsid w:val="00A03A85"/>
    <w:rsid w:val="00A042E2"/>
    <w:rsid w:val="00A0437F"/>
    <w:rsid w:val="00A043A0"/>
    <w:rsid w:val="00A0454D"/>
    <w:rsid w:val="00A054A0"/>
    <w:rsid w:val="00A05C48"/>
    <w:rsid w:val="00A06B24"/>
    <w:rsid w:val="00A06DC4"/>
    <w:rsid w:val="00A06F00"/>
    <w:rsid w:val="00A07A51"/>
    <w:rsid w:val="00A07D46"/>
    <w:rsid w:val="00A10B7F"/>
    <w:rsid w:val="00A10D5C"/>
    <w:rsid w:val="00A1110C"/>
    <w:rsid w:val="00A11189"/>
    <w:rsid w:val="00A11679"/>
    <w:rsid w:val="00A11C0E"/>
    <w:rsid w:val="00A11FEF"/>
    <w:rsid w:val="00A12711"/>
    <w:rsid w:val="00A130C9"/>
    <w:rsid w:val="00A138C3"/>
    <w:rsid w:val="00A13BC0"/>
    <w:rsid w:val="00A13FA7"/>
    <w:rsid w:val="00A14056"/>
    <w:rsid w:val="00A1455D"/>
    <w:rsid w:val="00A15094"/>
    <w:rsid w:val="00A1517A"/>
    <w:rsid w:val="00A152C1"/>
    <w:rsid w:val="00A20017"/>
    <w:rsid w:val="00A203EE"/>
    <w:rsid w:val="00A211F0"/>
    <w:rsid w:val="00A24072"/>
    <w:rsid w:val="00A24AB9"/>
    <w:rsid w:val="00A254E1"/>
    <w:rsid w:val="00A25511"/>
    <w:rsid w:val="00A25E20"/>
    <w:rsid w:val="00A30067"/>
    <w:rsid w:val="00A312F4"/>
    <w:rsid w:val="00A31788"/>
    <w:rsid w:val="00A33570"/>
    <w:rsid w:val="00A338AC"/>
    <w:rsid w:val="00A34CB9"/>
    <w:rsid w:val="00A3552D"/>
    <w:rsid w:val="00A35792"/>
    <w:rsid w:val="00A36978"/>
    <w:rsid w:val="00A37CBC"/>
    <w:rsid w:val="00A37D76"/>
    <w:rsid w:val="00A4001D"/>
    <w:rsid w:val="00A41260"/>
    <w:rsid w:val="00A416C4"/>
    <w:rsid w:val="00A4180D"/>
    <w:rsid w:val="00A446AA"/>
    <w:rsid w:val="00A44B31"/>
    <w:rsid w:val="00A45BB4"/>
    <w:rsid w:val="00A45E6C"/>
    <w:rsid w:val="00A46822"/>
    <w:rsid w:val="00A47C0B"/>
    <w:rsid w:val="00A504AB"/>
    <w:rsid w:val="00A52B02"/>
    <w:rsid w:val="00A542BD"/>
    <w:rsid w:val="00A54586"/>
    <w:rsid w:val="00A54664"/>
    <w:rsid w:val="00A56A32"/>
    <w:rsid w:val="00A57937"/>
    <w:rsid w:val="00A60C7F"/>
    <w:rsid w:val="00A612BD"/>
    <w:rsid w:val="00A63531"/>
    <w:rsid w:val="00A63E9E"/>
    <w:rsid w:val="00A645B1"/>
    <w:rsid w:val="00A65297"/>
    <w:rsid w:val="00A658B7"/>
    <w:rsid w:val="00A664E1"/>
    <w:rsid w:val="00A67594"/>
    <w:rsid w:val="00A67ABA"/>
    <w:rsid w:val="00A710EB"/>
    <w:rsid w:val="00A7149C"/>
    <w:rsid w:val="00A72EB1"/>
    <w:rsid w:val="00A72EB5"/>
    <w:rsid w:val="00A7319B"/>
    <w:rsid w:val="00A73D1C"/>
    <w:rsid w:val="00A73EAB"/>
    <w:rsid w:val="00A752A8"/>
    <w:rsid w:val="00A75397"/>
    <w:rsid w:val="00A75C11"/>
    <w:rsid w:val="00A76C85"/>
    <w:rsid w:val="00A77A0A"/>
    <w:rsid w:val="00A77AB1"/>
    <w:rsid w:val="00A80C82"/>
    <w:rsid w:val="00A82ACF"/>
    <w:rsid w:val="00A82B89"/>
    <w:rsid w:val="00A83102"/>
    <w:rsid w:val="00A845C8"/>
    <w:rsid w:val="00A84F1C"/>
    <w:rsid w:val="00A85B8B"/>
    <w:rsid w:val="00A86822"/>
    <w:rsid w:val="00A86C6A"/>
    <w:rsid w:val="00A87609"/>
    <w:rsid w:val="00A90560"/>
    <w:rsid w:val="00A917F7"/>
    <w:rsid w:val="00A921B0"/>
    <w:rsid w:val="00A931DA"/>
    <w:rsid w:val="00A9356E"/>
    <w:rsid w:val="00A941B9"/>
    <w:rsid w:val="00A94479"/>
    <w:rsid w:val="00A95690"/>
    <w:rsid w:val="00A95A1D"/>
    <w:rsid w:val="00A96010"/>
    <w:rsid w:val="00A96D2A"/>
    <w:rsid w:val="00A97BCE"/>
    <w:rsid w:val="00AA0A51"/>
    <w:rsid w:val="00AA0AA8"/>
    <w:rsid w:val="00AA2042"/>
    <w:rsid w:val="00AA286D"/>
    <w:rsid w:val="00AA30A1"/>
    <w:rsid w:val="00AA4DAD"/>
    <w:rsid w:val="00AA59C0"/>
    <w:rsid w:val="00AA640E"/>
    <w:rsid w:val="00AA6B17"/>
    <w:rsid w:val="00AA6FF2"/>
    <w:rsid w:val="00AA7EC5"/>
    <w:rsid w:val="00AB0592"/>
    <w:rsid w:val="00AB06B4"/>
    <w:rsid w:val="00AB0F57"/>
    <w:rsid w:val="00AB1064"/>
    <w:rsid w:val="00AB120A"/>
    <w:rsid w:val="00AB2FA6"/>
    <w:rsid w:val="00AB42B2"/>
    <w:rsid w:val="00AB5000"/>
    <w:rsid w:val="00AB61D3"/>
    <w:rsid w:val="00AB7801"/>
    <w:rsid w:val="00AB7AAC"/>
    <w:rsid w:val="00AB7EE8"/>
    <w:rsid w:val="00AC069F"/>
    <w:rsid w:val="00AC0858"/>
    <w:rsid w:val="00AC0C88"/>
    <w:rsid w:val="00AC3773"/>
    <w:rsid w:val="00AC4033"/>
    <w:rsid w:val="00AC563A"/>
    <w:rsid w:val="00AC5949"/>
    <w:rsid w:val="00AC6A7B"/>
    <w:rsid w:val="00AC707A"/>
    <w:rsid w:val="00AD002D"/>
    <w:rsid w:val="00AD0280"/>
    <w:rsid w:val="00AD11DA"/>
    <w:rsid w:val="00AD49B7"/>
    <w:rsid w:val="00AD5413"/>
    <w:rsid w:val="00AD6468"/>
    <w:rsid w:val="00AD6A79"/>
    <w:rsid w:val="00AE0169"/>
    <w:rsid w:val="00AE06CC"/>
    <w:rsid w:val="00AE1518"/>
    <w:rsid w:val="00AE17C8"/>
    <w:rsid w:val="00AE2797"/>
    <w:rsid w:val="00AE431E"/>
    <w:rsid w:val="00AE48DA"/>
    <w:rsid w:val="00AE7A77"/>
    <w:rsid w:val="00AF0A31"/>
    <w:rsid w:val="00AF0A68"/>
    <w:rsid w:val="00AF0BF2"/>
    <w:rsid w:val="00AF1709"/>
    <w:rsid w:val="00AF28FC"/>
    <w:rsid w:val="00AF3399"/>
    <w:rsid w:val="00AF4A7B"/>
    <w:rsid w:val="00AF68C1"/>
    <w:rsid w:val="00B00C9F"/>
    <w:rsid w:val="00B01F3D"/>
    <w:rsid w:val="00B0226A"/>
    <w:rsid w:val="00B030DC"/>
    <w:rsid w:val="00B042BE"/>
    <w:rsid w:val="00B04558"/>
    <w:rsid w:val="00B05797"/>
    <w:rsid w:val="00B05A89"/>
    <w:rsid w:val="00B06CAD"/>
    <w:rsid w:val="00B10491"/>
    <w:rsid w:val="00B10A8D"/>
    <w:rsid w:val="00B11108"/>
    <w:rsid w:val="00B112DF"/>
    <w:rsid w:val="00B11E12"/>
    <w:rsid w:val="00B123B9"/>
    <w:rsid w:val="00B14786"/>
    <w:rsid w:val="00B15C58"/>
    <w:rsid w:val="00B16401"/>
    <w:rsid w:val="00B16BA5"/>
    <w:rsid w:val="00B2046B"/>
    <w:rsid w:val="00B20EC3"/>
    <w:rsid w:val="00B2114C"/>
    <w:rsid w:val="00B23068"/>
    <w:rsid w:val="00B2361E"/>
    <w:rsid w:val="00B23A78"/>
    <w:rsid w:val="00B23C65"/>
    <w:rsid w:val="00B24722"/>
    <w:rsid w:val="00B24891"/>
    <w:rsid w:val="00B24B0A"/>
    <w:rsid w:val="00B25271"/>
    <w:rsid w:val="00B2532D"/>
    <w:rsid w:val="00B27105"/>
    <w:rsid w:val="00B30D91"/>
    <w:rsid w:val="00B31B1F"/>
    <w:rsid w:val="00B328C2"/>
    <w:rsid w:val="00B32C8F"/>
    <w:rsid w:val="00B32CF5"/>
    <w:rsid w:val="00B33298"/>
    <w:rsid w:val="00B340F4"/>
    <w:rsid w:val="00B34B72"/>
    <w:rsid w:val="00B34C90"/>
    <w:rsid w:val="00B350A9"/>
    <w:rsid w:val="00B35163"/>
    <w:rsid w:val="00B35640"/>
    <w:rsid w:val="00B3659B"/>
    <w:rsid w:val="00B36F94"/>
    <w:rsid w:val="00B37596"/>
    <w:rsid w:val="00B37E16"/>
    <w:rsid w:val="00B405FA"/>
    <w:rsid w:val="00B417B3"/>
    <w:rsid w:val="00B426D7"/>
    <w:rsid w:val="00B4318F"/>
    <w:rsid w:val="00B43361"/>
    <w:rsid w:val="00B43900"/>
    <w:rsid w:val="00B43E18"/>
    <w:rsid w:val="00B4465B"/>
    <w:rsid w:val="00B44EA4"/>
    <w:rsid w:val="00B45B43"/>
    <w:rsid w:val="00B45E59"/>
    <w:rsid w:val="00B46073"/>
    <w:rsid w:val="00B464C7"/>
    <w:rsid w:val="00B47514"/>
    <w:rsid w:val="00B502CF"/>
    <w:rsid w:val="00B50A3E"/>
    <w:rsid w:val="00B510B4"/>
    <w:rsid w:val="00B510E0"/>
    <w:rsid w:val="00B51F05"/>
    <w:rsid w:val="00B5214C"/>
    <w:rsid w:val="00B53100"/>
    <w:rsid w:val="00B5409E"/>
    <w:rsid w:val="00B5423E"/>
    <w:rsid w:val="00B542B4"/>
    <w:rsid w:val="00B56138"/>
    <w:rsid w:val="00B5661A"/>
    <w:rsid w:val="00B569C9"/>
    <w:rsid w:val="00B57F6C"/>
    <w:rsid w:val="00B61090"/>
    <w:rsid w:val="00B61F96"/>
    <w:rsid w:val="00B62114"/>
    <w:rsid w:val="00B62993"/>
    <w:rsid w:val="00B62D6A"/>
    <w:rsid w:val="00B6497A"/>
    <w:rsid w:val="00B652AB"/>
    <w:rsid w:val="00B65B7C"/>
    <w:rsid w:val="00B6611A"/>
    <w:rsid w:val="00B665C8"/>
    <w:rsid w:val="00B702C9"/>
    <w:rsid w:val="00B703AD"/>
    <w:rsid w:val="00B704C9"/>
    <w:rsid w:val="00B71C80"/>
    <w:rsid w:val="00B74DC0"/>
    <w:rsid w:val="00B758FD"/>
    <w:rsid w:val="00B76353"/>
    <w:rsid w:val="00B76C9E"/>
    <w:rsid w:val="00B76F2C"/>
    <w:rsid w:val="00B76F66"/>
    <w:rsid w:val="00B7707B"/>
    <w:rsid w:val="00B806E8"/>
    <w:rsid w:val="00B807B7"/>
    <w:rsid w:val="00B808C2"/>
    <w:rsid w:val="00B80F8F"/>
    <w:rsid w:val="00B81163"/>
    <w:rsid w:val="00B815B0"/>
    <w:rsid w:val="00B83FD2"/>
    <w:rsid w:val="00B84480"/>
    <w:rsid w:val="00B86EAB"/>
    <w:rsid w:val="00B877CC"/>
    <w:rsid w:val="00B9016B"/>
    <w:rsid w:val="00B90CF1"/>
    <w:rsid w:val="00B91437"/>
    <w:rsid w:val="00B916D9"/>
    <w:rsid w:val="00B91780"/>
    <w:rsid w:val="00B91B68"/>
    <w:rsid w:val="00B928E5"/>
    <w:rsid w:val="00B9374C"/>
    <w:rsid w:val="00B93F2C"/>
    <w:rsid w:val="00B94B62"/>
    <w:rsid w:val="00B950DF"/>
    <w:rsid w:val="00B95AAB"/>
    <w:rsid w:val="00B97944"/>
    <w:rsid w:val="00B97B0F"/>
    <w:rsid w:val="00BA0059"/>
    <w:rsid w:val="00BA0433"/>
    <w:rsid w:val="00BA22E8"/>
    <w:rsid w:val="00BA24FE"/>
    <w:rsid w:val="00BA32D8"/>
    <w:rsid w:val="00BA3879"/>
    <w:rsid w:val="00BA3AC9"/>
    <w:rsid w:val="00BA3E0A"/>
    <w:rsid w:val="00BB0B0C"/>
    <w:rsid w:val="00BB0FE3"/>
    <w:rsid w:val="00BB1088"/>
    <w:rsid w:val="00BB1151"/>
    <w:rsid w:val="00BB186A"/>
    <w:rsid w:val="00BB2A7C"/>
    <w:rsid w:val="00BB33FC"/>
    <w:rsid w:val="00BB39CB"/>
    <w:rsid w:val="00BB3FDA"/>
    <w:rsid w:val="00BB54E6"/>
    <w:rsid w:val="00BB5558"/>
    <w:rsid w:val="00BB5E78"/>
    <w:rsid w:val="00BB6CAF"/>
    <w:rsid w:val="00BB72E6"/>
    <w:rsid w:val="00BC0CFE"/>
    <w:rsid w:val="00BC103F"/>
    <w:rsid w:val="00BC1C84"/>
    <w:rsid w:val="00BC21AC"/>
    <w:rsid w:val="00BC2D51"/>
    <w:rsid w:val="00BC2EB2"/>
    <w:rsid w:val="00BC3171"/>
    <w:rsid w:val="00BC328B"/>
    <w:rsid w:val="00BC36BE"/>
    <w:rsid w:val="00BC38BC"/>
    <w:rsid w:val="00BC3C41"/>
    <w:rsid w:val="00BC47EA"/>
    <w:rsid w:val="00BC5745"/>
    <w:rsid w:val="00BC639A"/>
    <w:rsid w:val="00BC646C"/>
    <w:rsid w:val="00BC67D8"/>
    <w:rsid w:val="00BC6AA2"/>
    <w:rsid w:val="00BC7545"/>
    <w:rsid w:val="00BC76FB"/>
    <w:rsid w:val="00BC77FB"/>
    <w:rsid w:val="00BD02A7"/>
    <w:rsid w:val="00BD1289"/>
    <w:rsid w:val="00BD2A46"/>
    <w:rsid w:val="00BD2C69"/>
    <w:rsid w:val="00BD2F96"/>
    <w:rsid w:val="00BD39A7"/>
    <w:rsid w:val="00BD411F"/>
    <w:rsid w:val="00BD6FB8"/>
    <w:rsid w:val="00BD70B5"/>
    <w:rsid w:val="00BD785A"/>
    <w:rsid w:val="00BE0274"/>
    <w:rsid w:val="00BE09CB"/>
    <w:rsid w:val="00BE0A20"/>
    <w:rsid w:val="00BE1D38"/>
    <w:rsid w:val="00BE1DF7"/>
    <w:rsid w:val="00BE1FC4"/>
    <w:rsid w:val="00BE225A"/>
    <w:rsid w:val="00BE231B"/>
    <w:rsid w:val="00BE2FC5"/>
    <w:rsid w:val="00BE36B9"/>
    <w:rsid w:val="00BE3D31"/>
    <w:rsid w:val="00BE4966"/>
    <w:rsid w:val="00BE4B13"/>
    <w:rsid w:val="00BE4C71"/>
    <w:rsid w:val="00BE4E77"/>
    <w:rsid w:val="00BE5732"/>
    <w:rsid w:val="00BE60C6"/>
    <w:rsid w:val="00BE6E3F"/>
    <w:rsid w:val="00BE7C9A"/>
    <w:rsid w:val="00BF0C09"/>
    <w:rsid w:val="00BF2B83"/>
    <w:rsid w:val="00BF2CC1"/>
    <w:rsid w:val="00BF3BA4"/>
    <w:rsid w:val="00BF4908"/>
    <w:rsid w:val="00BF493B"/>
    <w:rsid w:val="00BF4FA2"/>
    <w:rsid w:val="00BF51CC"/>
    <w:rsid w:val="00BF5703"/>
    <w:rsid w:val="00BF5944"/>
    <w:rsid w:val="00BF6DAC"/>
    <w:rsid w:val="00BF7373"/>
    <w:rsid w:val="00C01D16"/>
    <w:rsid w:val="00C01F65"/>
    <w:rsid w:val="00C02CF6"/>
    <w:rsid w:val="00C037F5"/>
    <w:rsid w:val="00C046C5"/>
    <w:rsid w:val="00C048EE"/>
    <w:rsid w:val="00C04DFE"/>
    <w:rsid w:val="00C056BF"/>
    <w:rsid w:val="00C05CB6"/>
    <w:rsid w:val="00C063E0"/>
    <w:rsid w:val="00C0752F"/>
    <w:rsid w:val="00C105EF"/>
    <w:rsid w:val="00C10627"/>
    <w:rsid w:val="00C11245"/>
    <w:rsid w:val="00C1195E"/>
    <w:rsid w:val="00C121C2"/>
    <w:rsid w:val="00C12BC5"/>
    <w:rsid w:val="00C12DA8"/>
    <w:rsid w:val="00C12EDC"/>
    <w:rsid w:val="00C13197"/>
    <w:rsid w:val="00C134B4"/>
    <w:rsid w:val="00C134C3"/>
    <w:rsid w:val="00C1362E"/>
    <w:rsid w:val="00C14212"/>
    <w:rsid w:val="00C151A7"/>
    <w:rsid w:val="00C15214"/>
    <w:rsid w:val="00C16583"/>
    <w:rsid w:val="00C165E7"/>
    <w:rsid w:val="00C16731"/>
    <w:rsid w:val="00C171BE"/>
    <w:rsid w:val="00C2008E"/>
    <w:rsid w:val="00C204DE"/>
    <w:rsid w:val="00C2062D"/>
    <w:rsid w:val="00C20E1D"/>
    <w:rsid w:val="00C212EE"/>
    <w:rsid w:val="00C234B4"/>
    <w:rsid w:val="00C23CC5"/>
    <w:rsid w:val="00C24D95"/>
    <w:rsid w:val="00C26749"/>
    <w:rsid w:val="00C268DB"/>
    <w:rsid w:val="00C27708"/>
    <w:rsid w:val="00C27E6F"/>
    <w:rsid w:val="00C30E8B"/>
    <w:rsid w:val="00C30F2A"/>
    <w:rsid w:val="00C31A6B"/>
    <w:rsid w:val="00C31E0A"/>
    <w:rsid w:val="00C32B4D"/>
    <w:rsid w:val="00C330D2"/>
    <w:rsid w:val="00C332FD"/>
    <w:rsid w:val="00C33B75"/>
    <w:rsid w:val="00C34626"/>
    <w:rsid w:val="00C348C1"/>
    <w:rsid w:val="00C352AA"/>
    <w:rsid w:val="00C35C1E"/>
    <w:rsid w:val="00C36DBE"/>
    <w:rsid w:val="00C3717F"/>
    <w:rsid w:val="00C37F35"/>
    <w:rsid w:val="00C40307"/>
    <w:rsid w:val="00C40877"/>
    <w:rsid w:val="00C410A7"/>
    <w:rsid w:val="00C411C7"/>
    <w:rsid w:val="00C4180D"/>
    <w:rsid w:val="00C41933"/>
    <w:rsid w:val="00C4291B"/>
    <w:rsid w:val="00C436D6"/>
    <w:rsid w:val="00C43B12"/>
    <w:rsid w:val="00C44409"/>
    <w:rsid w:val="00C468B8"/>
    <w:rsid w:val="00C5075C"/>
    <w:rsid w:val="00C508A0"/>
    <w:rsid w:val="00C51D7E"/>
    <w:rsid w:val="00C52D6F"/>
    <w:rsid w:val="00C53102"/>
    <w:rsid w:val="00C53260"/>
    <w:rsid w:val="00C533BD"/>
    <w:rsid w:val="00C53E86"/>
    <w:rsid w:val="00C545AC"/>
    <w:rsid w:val="00C55279"/>
    <w:rsid w:val="00C558B7"/>
    <w:rsid w:val="00C55EE6"/>
    <w:rsid w:val="00C5778B"/>
    <w:rsid w:val="00C579BE"/>
    <w:rsid w:val="00C6058B"/>
    <w:rsid w:val="00C63162"/>
    <w:rsid w:val="00C651F1"/>
    <w:rsid w:val="00C65B2C"/>
    <w:rsid w:val="00C65DD0"/>
    <w:rsid w:val="00C663A4"/>
    <w:rsid w:val="00C66CFF"/>
    <w:rsid w:val="00C66DBC"/>
    <w:rsid w:val="00C66E1D"/>
    <w:rsid w:val="00C70045"/>
    <w:rsid w:val="00C702D4"/>
    <w:rsid w:val="00C7081F"/>
    <w:rsid w:val="00C7082A"/>
    <w:rsid w:val="00C71368"/>
    <w:rsid w:val="00C7169A"/>
    <w:rsid w:val="00C71BFC"/>
    <w:rsid w:val="00C73D0E"/>
    <w:rsid w:val="00C76C23"/>
    <w:rsid w:val="00C7701E"/>
    <w:rsid w:val="00C8111E"/>
    <w:rsid w:val="00C8114B"/>
    <w:rsid w:val="00C82214"/>
    <w:rsid w:val="00C82869"/>
    <w:rsid w:val="00C82C27"/>
    <w:rsid w:val="00C83235"/>
    <w:rsid w:val="00C85611"/>
    <w:rsid w:val="00C867D4"/>
    <w:rsid w:val="00C90481"/>
    <w:rsid w:val="00C905DA"/>
    <w:rsid w:val="00C90A0E"/>
    <w:rsid w:val="00C91638"/>
    <w:rsid w:val="00C919A3"/>
    <w:rsid w:val="00C91CAF"/>
    <w:rsid w:val="00C93136"/>
    <w:rsid w:val="00C94422"/>
    <w:rsid w:val="00C9472D"/>
    <w:rsid w:val="00C95979"/>
    <w:rsid w:val="00C95F83"/>
    <w:rsid w:val="00C95FA2"/>
    <w:rsid w:val="00C963C3"/>
    <w:rsid w:val="00C9722F"/>
    <w:rsid w:val="00C9755D"/>
    <w:rsid w:val="00CA0350"/>
    <w:rsid w:val="00CA1958"/>
    <w:rsid w:val="00CA26EF"/>
    <w:rsid w:val="00CA309D"/>
    <w:rsid w:val="00CA3224"/>
    <w:rsid w:val="00CA3EEA"/>
    <w:rsid w:val="00CA734B"/>
    <w:rsid w:val="00CA7716"/>
    <w:rsid w:val="00CB108A"/>
    <w:rsid w:val="00CB1493"/>
    <w:rsid w:val="00CB2C1C"/>
    <w:rsid w:val="00CB497D"/>
    <w:rsid w:val="00CB4E96"/>
    <w:rsid w:val="00CB5339"/>
    <w:rsid w:val="00CB5CD1"/>
    <w:rsid w:val="00CB6466"/>
    <w:rsid w:val="00CC0237"/>
    <w:rsid w:val="00CC05D2"/>
    <w:rsid w:val="00CC071C"/>
    <w:rsid w:val="00CC07A9"/>
    <w:rsid w:val="00CC07E4"/>
    <w:rsid w:val="00CC0A60"/>
    <w:rsid w:val="00CC0E39"/>
    <w:rsid w:val="00CC0E93"/>
    <w:rsid w:val="00CC1908"/>
    <w:rsid w:val="00CC1E16"/>
    <w:rsid w:val="00CC259E"/>
    <w:rsid w:val="00CC32F3"/>
    <w:rsid w:val="00CC4F83"/>
    <w:rsid w:val="00CC53C9"/>
    <w:rsid w:val="00CC6622"/>
    <w:rsid w:val="00CC6901"/>
    <w:rsid w:val="00CC745A"/>
    <w:rsid w:val="00CC79DF"/>
    <w:rsid w:val="00CD1F19"/>
    <w:rsid w:val="00CD23A3"/>
    <w:rsid w:val="00CD2C84"/>
    <w:rsid w:val="00CD2CB3"/>
    <w:rsid w:val="00CD4FB9"/>
    <w:rsid w:val="00CD5428"/>
    <w:rsid w:val="00CD55D6"/>
    <w:rsid w:val="00CD5E17"/>
    <w:rsid w:val="00CD61DA"/>
    <w:rsid w:val="00CD6B96"/>
    <w:rsid w:val="00CD7EE8"/>
    <w:rsid w:val="00CE075A"/>
    <w:rsid w:val="00CE1807"/>
    <w:rsid w:val="00CE1B77"/>
    <w:rsid w:val="00CE20A4"/>
    <w:rsid w:val="00CE24CB"/>
    <w:rsid w:val="00CE2B04"/>
    <w:rsid w:val="00CE2B8C"/>
    <w:rsid w:val="00CE36D5"/>
    <w:rsid w:val="00CE4126"/>
    <w:rsid w:val="00CE5BC9"/>
    <w:rsid w:val="00CF0AD3"/>
    <w:rsid w:val="00CF0D2C"/>
    <w:rsid w:val="00CF0EB1"/>
    <w:rsid w:val="00CF21DA"/>
    <w:rsid w:val="00CF288F"/>
    <w:rsid w:val="00CF3D61"/>
    <w:rsid w:val="00CF4BDC"/>
    <w:rsid w:val="00CF4E12"/>
    <w:rsid w:val="00CF520A"/>
    <w:rsid w:val="00CF584D"/>
    <w:rsid w:val="00CF64FA"/>
    <w:rsid w:val="00CF6B4C"/>
    <w:rsid w:val="00CF730D"/>
    <w:rsid w:val="00CF784A"/>
    <w:rsid w:val="00CF7D3D"/>
    <w:rsid w:val="00D00BFE"/>
    <w:rsid w:val="00D00DA6"/>
    <w:rsid w:val="00D0120A"/>
    <w:rsid w:val="00D031D6"/>
    <w:rsid w:val="00D03A96"/>
    <w:rsid w:val="00D0418C"/>
    <w:rsid w:val="00D041E9"/>
    <w:rsid w:val="00D04BF3"/>
    <w:rsid w:val="00D0501C"/>
    <w:rsid w:val="00D05AB7"/>
    <w:rsid w:val="00D06AF1"/>
    <w:rsid w:val="00D074C4"/>
    <w:rsid w:val="00D0786A"/>
    <w:rsid w:val="00D10674"/>
    <w:rsid w:val="00D10A50"/>
    <w:rsid w:val="00D124EC"/>
    <w:rsid w:val="00D135D0"/>
    <w:rsid w:val="00D143BF"/>
    <w:rsid w:val="00D145A6"/>
    <w:rsid w:val="00D14867"/>
    <w:rsid w:val="00D14A94"/>
    <w:rsid w:val="00D14DE5"/>
    <w:rsid w:val="00D16C8E"/>
    <w:rsid w:val="00D21395"/>
    <w:rsid w:val="00D217A7"/>
    <w:rsid w:val="00D221F4"/>
    <w:rsid w:val="00D223D0"/>
    <w:rsid w:val="00D22447"/>
    <w:rsid w:val="00D22836"/>
    <w:rsid w:val="00D23312"/>
    <w:rsid w:val="00D24035"/>
    <w:rsid w:val="00D24130"/>
    <w:rsid w:val="00D2485C"/>
    <w:rsid w:val="00D2571D"/>
    <w:rsid w:val="00D25A1F"/>
    <w:rsid w:val="00D265BF"/>
    <w:rsid w:val="00D266A8"/>
    <w:rsid w:val="00D274C3"/>
    <w:rsid w:val="00D27B46"/>
    <w:rsid w:val="00D30481"/>
    <w:rsid w:val="00D307A6"/>
    <w:rsid w:val="00D30FE3"/>
    <w:rsid w:val="00D313BD"/>
    <w:rsid w:val="00D3162E"/>
    <w:rsid w:val="00D31880"/>
    <w:rsid w:val="00D31E62"/>
    <w:rsid w:val="00D33B95"/>
    <w:rsid w:val="00D342EE"/>
    <w:rsid w:val="00D35E90"/>
    <w:rsid w:val="00D3708D"/>
    <w:rsid w:val="00D407ED"/>
    <w:rsid w:val="00D4115A"/>
    <w:rsid w:val="00D417DF"/>
    <w:rsid w:val="00D41FC0"/>
    <w:rsid w:val="00D43555"/>
    <w:rsid w:val="00D44E12"/>
    <w:rsid w:val="00D47812"/>
    <w:rsid w:val="00D47F16"/>
    <w:rsid w:val="00D47FF7"/>
    <w:rsid w:val="00D51C0B"/>
    <w:rsid w:val="00D52355"/>
    <w:rsid w:val="00D52696"/>
    <w:rsid w:val="00D5314D"/>
    <w:rsid w:val="00D5397B"/>
    <w:rsid w:val="00D55D47"/>
    <w:rsid w:val="00D55EA0"/>
    <w:rsid w:val="00D579C0"/>
    <w:rsid w:val="00D57A09"/>
    <w:rsid w:val="00D604BC"/>
    <w:rsid w:val="00D6093D"/>
    <w:rsid w:val="00D6137B"/>
    <w:rsid w:val="00D61935"/>
    <w:rsid w:val="00D627C5"/>
    <w:rsid w:val="00D6381B"/>
    <w:rsid w:val="00D6389F"/>
    <w:rsid w:val="00D63A4B"/>
    <w:rsid w:val="00D63B95"/>
    <w:rsid w:val="00D63E15"/>
    <w:rsid w:val="00D6452C"/>
    <w:rsid w:val="00D6465E"/>
    <w:rsid w:val="00D651D7"/>
    <w:rsid w:val="00D6520F"/>
    <w:rsid w:val="00D6556B"/>
    <w:rsid w:val="00D66F00"/>
    <w:rsid w:val="00D672EA"/>
    <w:rsid w:val="00D6748F"/>
    <w:rsid w:val="00D6763C"/>
    <w:rsid w:val="00D707C0"/>
    <w:rsid w:val="00D70FF2"/>
    <w:rsid w:val="00D7185D"/>
    <w:rsid w:val="00D7204B"/>
    <w:rsid w:val="00D72063"/>
    <w:rsid w:val="00D740ED"/>
    <w:rsid w:val="00D75358"/>
    <w:rsid w:val="00D757D2"/>
    <w:rsid w:val="00D762FE"/>
    <w:rsid w:val="00D764CC"/>
    <w:rsid w:val="00D770C6"/>
    <w:rsid w:val="00D77C5B"/>
    <w:rsid w:val="00D8013B"/>
    <w:rsid w:val="00D80798"/>
    <w:rsid w:val="00D80D8C"/>
    <w:rsid w:val="00D818FA"/>
    <w:rsid w:val="00D81F7E"/>
    <w:rsid w:val="00D821B9"/>
    <w:rsid w:val="00D833A3"/>
    <w:rsid w:val="00D83864"/>
    <w:rsid w:val="00D8497B"/>
    <w:rsid w:val="00D85964"/>
    <w:rsid w:val="00D86900"/>
    <w:rsid w:val="00D86F37"/>
    <w:rsid w:val="00D871E6"/>
    <w:rsid w:val="00D87294"/>
    <w:rsid w:val="00D87EE7"/>
    <w:rsid w:val="00D90340"/>
    <w:rsid w:val="00D935EC"/>
    <w:rsid w:val="00D93674"/>
    <w:rsid w:val="00D93F31"/>
    <w:rsid w:val="00D948C2"/>
    <w:rsid w:val="00D95E07"/>
    <w:rsid w:val="00D97752"/>
    <w:rsid w:val="00D978BE"/>
    <w:rsid w:val="00D978F2"/>
    <w:rsid w:val="00D97A57"/>
    <w:rsid w:val="00D97D8A"/>
    <w:rsid w:val="00D97E4B"/>
    <w:rsid w:val="00D97F44"/>
    <w:rsid w:val="00DA039D"/>
    <w:rsid w:val="00DA0FB1"/>
    <w:rsid w:val="00DA1EBB"/>
    <w:rsid w:val="00DA2886"/>
    <w:rsid w:val="00DA335E"/>
    <w:rsid w:val="00DA41DD"/>
    <w:rsid w:val="00DA5B0D"/>
    <w:rsid w:val="00DA5EA7"/>
    <w:rsid w:val="00DA654E"/>
    <w:rsid w:val="00DA6FF5"/>
    <w:rsid w:val="00DA70A7"/>
    <w:rsid w:val="00DA71A3"/>
    <w:rsid w:val="00DB0151"/>
    <w:rsid w:val="00DB04D7"/>
    <w:rsid w:val="00DB05BE"/>
    <w:rsid w:val="00DB158D"/>
    <w:rsid w:val="00DB2998"/>
    <w:rsid w:val="00DB3211"/>
    <w:rsid w:val="00DB34C0"/>
    <w:rsid w:val="00DB3C57"/>
    <w:rsid w:val="00DB40BC"/>
    <w:rsid w:val="00DB5798"/>
    <w:rsid w:val="00DB586D"/>
    <w:rsid w:val="00DB73A6"/>
    <w:rsid w:val="00DB7D18"/>
    <w:rsid w:val="00DC02A8"/>
    <w:rsid w:val="00DC03F3"/>
    <w:rsid w:val="00DC0CBA"/>
    <w:rsid w:val="00DC19D1"/>
    <w:rsid w:val="00DC2B7B"/>
    <w:rsid w:val="00DC3C8B"/>
    <w:rsid w:val="00DC448D"/>
    <w:rsid w:val="00DC518D"/>
    <w:rsid w:val="00DC5E9F"/>
    <w:rsid w:val="00DC6BDC"/>
    <w:rsid w:val="00DC7B4A"/>
    <w:rsid w:val="00DC7C8E"/>
    <w:rsid w:val="00DD03D8"/>
    <w:rsid w:val="00DD0B83"/>
    <w:rsid w:val="00DD11E2"/>
    <w:rsid w:val="00DD4FB5"/>
    <w:rsid w:val="00DD5369"/>
    <w:rsid w:val="00DD5451"/>
    <w:rsid w:val="00DD5AA5"/>
    <w:rsid w:val="00DD6A07"/>
    <w:rsid w:val="00DD6A3C"/>
    <w:rsid w:val="00DD6AD4"/>
    <w:rsid w:val="00DD6E4F"/>
    <w:rsid w:val="00DD6FB1"/>
    <w:rsid w:val="00DD794E"/>
    <w:rsid w:val="00DD798F"/>
    <w:rsid w:val="00DE04F6"/>
    <w:rsid w:val="00DE0D16"/>
    <w:rsid w:val="00DE2E59"/>
    <w:rsid w:val="00DE2F61"/>
    <w:rsid w:val="00DE4AA2"/>
    <w:rsid w:val="00DE4C01"/>
    <w:rsid w:val="00DE4C3A"/>
    <w:rsid w:val="00DE59D6"/>
    <w:rsid w:val="00DE644D"/>
    <w:rsid w:val="00DE69AF"/>
    <w:rsid w:val="00DE6D64"/>
    <w:rsid w:val="00DE722B"/>
    <w:rsid w:val="00DE72AC"/>
    <w:rsid w:val="00DE7C1A"/>
    <w:rsid w:val="00DF0352"/>
    <w:rsid w:val="00DF0838"/>
    <w:rsid w:val="00DF0AC9"/>
    <w:rsid w:val="00DF0DDC"/>
    <w:rsid w:val="00DF0F0A"/>
    <w:rsid w:val="00DF12EA"/>
    <w:rsid w:val="00DF285D"/>
    <w:rsid w:val="00DF2883"/>
    <w:rsid w:val="00DF2C38"/>
    <w:rsid w:val="00DF30B8"/>
    <w:rsid w:val="00DF3FC1"/>
    <w:rsid w:val="00DF421C"/>
    <w:rsid w:val="00DF4693"/>
    <w:rsid w:val="00DF5426"/>
    <w:rsid w:val="00DF5A98"/>
    <w:rsid w:val="00DF5C54"/>
    <w:rsid w:val="00DF6308"/>
    <w:rsid w:val="00DF6827"/>
    <w:rsid w:val="00DF7C9A"/>
    <w:rsid w:val="00E00462"/>
    <w:rsid w:val="00E0059C"/>
    <w:rsid w:val="00E00C4A"/>
    <w:rsid w:val="00E00C9B"/>
    <w:rsid w:val="00E00EE0"/>
    <w:rsid w:val="00E016AB"/>
    <w:rsid w:val="00E01A30"/>
    <w:rsid w:val="00E029E5"/>
    <w:rsid w:val="00E04213"/>
    <w:rsid w:val="00E055AD"/>
    <w:rsid w:val="00E068F1"/>
    <w:rsid w:val="00E07316"/>
    <w:rsid w:val="00E0743A"/>
    <w:rsid w:val="00E0782F"/>
    <w:rsid w:val="00E10044"/>
    <w:rsid w:val="00E10827"/>
    <w:rsid w:val="00E115DD"/>
    <w:rsid w:val="00E11677"/>
    <w:rsid w:val="00E12CC7"/>
    <w:rsid w:val="00E1479B"/>
    <w:rsid w:val="00E14D3A"/>
    <w:rsid w:val="00E168AE"/>
    <w:rsid w:val="00E16990"/>
    <w:rsid w:val="00E174CC"/>
    <w:rsid w:val="00E17ADF"/>
    <w:rsid w:val="00E20675"/>
    <w:rsid w:val="00E22248"/>
    <w:rsid w:val="00E24531"/>
    <w:rsid w:val="00E24646"/>
    <w:rsid w:val="00E24654"/>
    <w:rsid w:val="00E24934"/>
    <w:rsid w:val="00E24BC0"/>
    <w:rsid w:val="00E24F3A"/>
    <w:rsid w:val="00E25B01"/>
    <w:rsid w:val="00E262BA"/>
    <w:rsid w:val="00E26535"/>
    <w:rsid w:val="00E27D4B"/>
    <w:rsid w:val="00E305C0"/>
    <w:rsid w:val="00E306CD"/>
    <w:rsid w:val="00E319FC"/>
    <w:rsid w:val="00E3390D"/>
    <w:rsid w:val="00E3444C"/>
    <w:rsid w:val="00E3542C"/>
    <w:rsid w:val="00E361A3"/>
    <w:rsid w:val="00E3622C"/>
    <w:rsid w:val="00E36397"/>
    <w:rsid w:val="00E378C2"/>
    <w:rsid w:val="00E403A9"/>
    <w:rsid w:val="00E404C8"/>
    <w:rsid w:val="00E40605"/>
    <w:rsid w:val="00E408D3"/>
    <w:rsid w:val="00E40DF8"/>
    <w:rsid w:val="00E41155"/>
    <w:rsid w:val="00E414A0"/>
    <w:rsid w:val="00E41DF7"/>
    <w:rsid w:val="00E43EF2"/>
    <w:rsid w:val="00E44384"/>
    <w:rsid w:val="00E445E6"/>
    <w:rsid w:val="00E44A0B"/>
    <w:rsid w:val="00E44DEB"/>
    <w:rsid w:val="00E45392"/>
    <w:rsid w:val="00E457F6"/>
    <w:rsid w:val="00E466E7"/>
    <w:rsid w:val="00E46746"/>
    <w:rsid w:val="00E4724F"/>
    <w:rsid w:val="00E47B4E"/>
    <w:rsid w:val="00E509EE"/>
    <w:rsid w:val="00E5108F"/>
    <w:rsid w:val="00E51C8D"/>
    <w:rsid w:val="00E52073"/>
    <w:rsid w:val="00E52158"/>
    <w:rsid w:val="00E52963"/>
    <w:rsid w:val="00E529E6"/>
    <w:rsid w:val="00E52BFF"/>
    <w:rsid w:val="00E53021"/>
    <w:rsid w:val="00E533B5"/>
    <w:rsid w:val="00E5370D"/>
    <w:rsid w:val="00E5389F"/>
    <w:rsid w:val="00E543A5"/>
    <w:rsid w:val="00E54543"/>
    <w:rsid w:val="00E54881"/>
    <w:rsid w:val="00E5506C"/>
    <w:rsid w:val="00E56C7C"/>
    <w:rsid w:val="00E56FF2"/>
    <w:rsid w:val="00E57292"/>
    <w:rsid w:val="00E5732D"/>
    <w:rsid w:val="00E57523"/>
    <w:rsid w:val="00E6006F"/>
    <w:rsid w:val="00E607CE"/>
    <w:rsid w:val="00E617DB"/>
    <w:rsid w:val="00E61BC4"/>
    <w:rsid w:val="00E61CFC"/>
    <w:rsid w:val="00E62530"/>
    <w:rsid w:val="00E641AA"/>
    <w:rsid w:val="00E64A10"/>
    <w:rsid w:val="00E65869"/>
    <w:rsid w:val="00E663F3"/>
    <w:rsid w:val="00E675E1"/>
    <w:rsid w:val="00E676D6"/>
    <w:rsid w:val="00E67A24"/>
    <w:rsid w:val="00E67B57"/>
    <w:rsid w:val="00E70159"/>
    <w:rsid w:val="00E71C75"/>
    <w:rsid w:val="00E71E6F"/>
    <w:rsid w:val="00E723F0"/>
    <w:rsid w:val="00E73708"/>
    <w:rsid w:val="00E751F7"/>
    <w:rsid w:val="00E7598E"/>
    <w:rsid w:val="00E7604C"/>
    <w:rsid w:val="00E774F4"/>
    <w:rsid w:val="00E77775"/>
    <w:rsid w:val="00E77A53"/>
    <w:rsid w:val="00E77D9C"/>
    <w:rsid w:val="00E77FE3"/>
    <w:rsid w:val="00E81196"/>
    <w:rsid w:val="00E8139B"/>
    <w:rsid w:val="00E81639"/>
    <w:rsid w:val="00E82093"/>
    <w:rsid w:val="00E820C3"/>
    <w:rsid w:val="00E82722"/>
    <w:rsid w:val="00E82969"/>
    <w:rsid w:val="00E82D0C"/>
    <w:rsid w:val="00E83449"/>
    <w:rsid w:val="00E841AF"/>
    <w:rsid w:val="00E845BA"/>
    <w:rsid w:val="00E8468A"/>
    <w:rsid w:val="00E848A0"/>
    <w:rsid w:val="00E84A56"/>
    <w:rsid w:val="00E851A0"/>
    <w:rsid w:val="00E8536B"/>
    <w:rsid w:val="00E870E6"/>
    <w:rsid w:val="00E87B0C"/>
    <w:rsid w:val="00E9145C"/>
    <w:rsid w:val="00E91A4A"/>
    <w:rsid w:val="00E91CB5"/>
    <w:rsid w:val="00E93670"/>
    <w:rsid w:val="00E93E0E"/>
    <w:rsid w:val="00E93E1D"/>
    <w:rsid w:val="00E9428D"/>
    <w:rsid w:val="00E9439F"/>
    <w:rsid w:val="00E97439"/>
    <w:rsid w:val="00E977CA"/>
    <w:rsid w:val="00E977EF"/>
    <w:rsid w:val="00EA081C"/>
    <w:rsid w:val="00EA1C0C"/>
    <w:rsid w:val="00EA1C9A"/>
    <w:rsid w:val="00EA6100"/>
    <w:rsid w:val="00EA6114"/>
    <w:rsid w:val="00EA7058"/>
    <w:rsid w:val="00EA7584"/>
    <w:rsid w:val="00EB1E72"/>
    <w:rsid w:val="00EB2F2C"/>
    <w:rsid w:val="00EB2F98"/>
    <w:rsid w:val="00EB38B5"/>
    <w:rsid w:val="00EB4FB0"/>
    <w:rsid w:val="00EB644F"/>
    <w:rsid w:val="00EB6BDC"/>
    <w:rsid w:val="00EB7483"/>
    <w:rsid w:val="00EC1108"/>
    <w:rsid w:val="00EC2763"/>
    <w:rsid w:val="00EC3782"/>
    <w:rsid w:val="00EC4A09"/>
    <w:rsid w:val="00EC5182"/>
    <w:rsid w:val="00EC69B2"/>
    <w:rsid w:val="00ED00F0"/>
    <w:rsid w:val="00ED27A0"/>
    <w:rsid w:val="00ED2CDC"/>
    <w:rsid w:val="00ED2E29"/>
    <w:rsid w:val="00ED4B8A"/>
    <w:rsid w:val="00ED547A"/>
    <w:rsid w:val="00ED5D10"/>
    <w:rsid w:val="00ED6070"/>
    <w:rsid w:val="00ED6E0C"/>
    <w:rsid w:val="00ED7459"/>
    <w:rsid w:val="00EE00EE"/>
    <w:rsid w:val="00EE16C9"/>
    <w:rsid w:val="00EE1C94"/>
    <w:rsid w:val="00EE26C4"/>
    <w:rsid w:val="00EE29FD"/>
    <w:rsid w:val="00EE2CCC"/>
    <w:rsid w:val="00EE352C"/>
    <w:rsid w:val="00EE3718"/>
    <w:rsid w:val="00EE3F3D"/>
    <w:rsid w:val="00EE3FA6"/>
    <w:rsid w:val="00EE40C9"/>
    <w:rsid w:val="00EE4293"/>
    <w:rsid w:val="00EE6B3D"/>
    <w:rsid w:val="00EE7B2E"/>
    <w:rsid w:val="00EF0BF6"/>
    <w:rsid w:val="00EF0E85"/>
    <w:rsid w:val="00EF1D18"/>
    <w:rsid w:val="00EF217F"/>
    <w:rsid w:val="00EF22BA"/>
    <w:rsid w:val="00EF3E3D"/>
    <w:rsid w:val="00EF6239"/>
    <w:rsid w:val="00EF711D"/>
    <w:rsid w:val="00EF745C"/>
    <w:rsid w:val="00EF7974"/>
    <w:rsid w:val="00EF7BF3"/>
    <w:rsid w:val="00EF7CD3"/>
    <w:rsid w:val="00F006CC"/>
    <w:rsid w:val="00F00AF3"/>
    <w:rsid w:val="00F01DB9"/>
    <w:rsid w:val="00F02B3A"/>
    <w:rsid w:val="00F05FEF"/>
    <w:rsid w:val="00F061CD"/>
    <w:rsid w:val="00F06D39"/>
    <w:rsid w:val="00F07090"/>
    <w:rsid w:val="00F070B5"/>
    <w:rsid w:val="00F0787B"/>
    <w:rsid w:val="00F07BBB"/>
    <w:rsid w:val="00F10062"/>
    <w:rsid w:val="00F108DE"/>
    <w:rsid w:val="00F10B99"/>
    <w:rsid w:val="00F12CCC"/>
    <w:rsid w:val="00F133C7"/>
    <w:rsid w:val="00F13CAE"/>
    <w:rsid w:val="00F13D07"/>
    <w:rsid w:val="00F13FC8"/>
    <w:rsid w:val="00F14426"/>
    <w:rsid w:val="00F150EA"/>
    <w:rsid w:val="00F154C9"/>
    <w:rsid w:val="00F154E0"/>
    <w:rsid w:val="00F15CCC"/>
    <w:rsid w:val="00F164A2"/>
    <w:rsid w:val="00F16682"/>
    <w:rsid w:val="00F17D1E"/>
    <w:rsid w:val="00F20694"/>
    <w:rsid w:val="00F20B74"/>
    <w:rsid w:val="00F217CF"/>
    <w:rsid w:val="00F218F1"/>
    <w:rsid w:val="00F21BFA"/>
    <w:rsid w:val="00F21CDB"/>
    <w:rsid w:val="00F229CE"/>
    <w:rsid w:val="00F22EF8"/>
    <w:rsid w:val="00F234D1"/>
    <w:rsid w:val="00F23A21"/>
    <w:rsid w:val="00F24272"/>
    <w:rsid w:val="00F24313"/>
    <w:rsid w:val="00F254E9"/>
    <w:rsid w:val="00F25A28"/>
    <w:rsid w:val="00F274D6"/>
    <w:rsid w:val="00F27ECC"/>
    <w:rsid w:val="00F315DC"/>
    <w:rsid w:val="00F31706"/>
    <w:rsid w:val="00F31917"/>
    <w:rsid w:val="00F32E9F"/>
    <w:rsid w:val="00F332C5"/>
    <w:rsid w:val="00F33AB3"/>
    <w:rsid w:val="00F34114"/>
    <w:rsid w:val="00F34752"/>
    <w:rsid w:val="00F3519E"/>
    <w:rsid w:val="00F35C54"/>
    <w:rsid w:val="00F35F4C"/>
    <w:rsid w:val="00F361C9"/>
    <w:rsid w:val="00F36966"/>
    <w:rsid w:val="00F36F6D"/>
    <w:rsid w:val="00F4080D"/>
    <w:rsid w:val="00F40E20"/>
    <w:rsid w:val="00F413E8"/>
    <w:rsid w:val="00F41EB1"/>
    <w:rsid w:val="00F42122"/>
    <w:rsid w:val="00F426A0"/>
    <w:rsid w:val="00F4282A"/>
    <w:rsid w:val="00F43624"/>
    <w:rsid w:val="00F436C9"/>
    <w:rsid w:val="00F43F02"/>
    <w:rsid w:val="00F44059"/>
    <w:rsid w:val="00F44AFD"/>
    <w:rsid w:val="00F44CC2"/>
    <w:rsid w:val="00F46EFB"/>
    <w:rsid w:val="00F472BA"/>
    <w:rsid w:val="00F517E6"/>
    <w:rsid w:val="00F52895"/>
    <w:rsid w:val="00F52994"/>
    <w:rsid w:val="00F52C56"/>
    <w:rsid w:val="00F53111"/>
    <w:rsid w:val="00F53879"/>
    <w:rsid w:val="00F53BAF"/>
    <w:rsid w:val="00F556FE"/>
    <w:rsid w:val="00F55B2B"/>
    <w:rsid w:val="00F55EDD"/>
    <w:rsid w:val="00F5616F"/>
    <w:rsid w:val="00F564B0"/>
    <w:rsid w:val="00F56AAA"/>
    <w:rsid w:val="00F56FE6"/>
    <w:rsid w:val="00F57659"/>
    <w:rsid w:val="00F6300B"/>
    <w:rsid w:val="00F6310A"/>
    <w:rsid w:val="00F634EF"/>
    <w:rsid w:val="00F6459A"/>
    <w:rsid w:val="00F64BB6"/>
    <w:rsid w:val="00F65021"/>
    <w:rsid w:val="00F6509A"/>
    <w:rsid w:val="00F659BD"/>
    <w:rsid w:val="00F65DEF"/>
    <w:rsid w:val="00F65F65"/>
    <w:rsid w:val="00F6629C"/>
    <w:rsid w:val="00F665B8"/>
    <w:rsid w:val="00F6666C"/>
    <w:rsid w:val="00F672C4"/>
    <w:rsid w:val="00F67370"/>
    <w:rsid w:val="00F67660"/>
    <w:rsid w:val="00F67CD8"/>
    <w:rsid w:val="00F715A7"/>
    <w:rsid w:val="00F718AA"/>
    <w:rsid w:val="00F729A4"/>
    <w:rsid w:val="00F73755"/>
    <w:rsid w:val="00F7384F"/>
    <w:rsid w:val="00F73B24"/>
    <w:rsid w:val="00F73DAB"/>
    <w:rsid w:val="00F744B3"/>
    <w:rsid w:val="00F75662"/>
    <w:rsid w:val="00F75E84"/>
    <w:rsid w:val="00F768C0"/>
    <w:rsid w:val="00F76E36"/>
    <w:rsid w:val="00F77218"/>
    <w:rsid w:val="00F77313"/>
    <w:rsid w:val="00F778B8"/>
    <w:rsid w:val="00F81EB1"/>
    <w:rsid w:val="00F824DD"/>
    <w:rsid w:val="00F82A18"/>
    <w:rsid w:val="00F84464"/>
    <w:rsid w:val="00F844B7"/>
    <w:rsid w:val="00F85FB1"/>
    <w:rsid w:val="00F8636A"/>
    <w:rsid w:val="00F86A3C"/>
    <w:rsid w:val="00F86AFF"/>
    <w:rsid w:val="00F86B98"/>
    <w:rsid w:val="00F9083C"/>
    <w:rsid w:val="00F917D6"/>
    <w:rsid w:val="00F9190C"/>
    <w:rsid w:val="00F91D36"/>
    <w:rsid w:val="00F922A6"/>
    <w:rsid w:val="00F92CF9"/>
    <w:rsid w:val="00F9386F"/>
    <w:rsid w:val="00F939CF"/>
    <w:rsid w:val="00F93ECF"/>
    <w:rsid w:val="00F9615E"/>
    <w:rsid w:val="00F97584"/>
    <w:rsid w:val="00FA056E"/>
    <w:rsid w:val="00FA1C97"/>
    <w:rsid w:val="00FA2A29"/>
    <w:rsid w:val="00FA2DA9"/>
    <w:rsid w:val="00FA37EA"/>
    <w:rsid w:val="00FA53F4"/>
    <w:rsid w:val="00FA5EC6"/>
    <w:rsid w:val="00FA62B8"/>
    <w:rsid w:val="00FA6EA4"/>
    <w:rsid w:val="00FA6F52"/>
    <w:rsid w:val="00FB007D"/>
    <w:rsid w:val="00FB00A4"/>
    <w:rsid w:val="00FB134C"/>
    <w:rsid w:val="00FB327D"/>
    <w:rsid w:val="00FB3AE7"/>
    <w:rsid w:val="00FB3B8C"/>
    <w:rsid w:val="00FB3BE6"/>
    <w:rsid w:val="00FB506B"/>
    <w:rsid w:val="00FB549C"/>
    <w:rsid w:val="00FB5C7A"/>
    <w:rsid w:val="00FB5CC8"/>
    <w:rsid w:val="00FB68B8"/>
    <w:rsid w:val="00FB79C7"/>
    <w:rsid w:val="00FB7B7E"/>
    <w:rsid w:val="00FB7E3F"/>
    <w:rsid w:val="00FC05FC"/>
    <w:rsid w:val="00FC0ADE"/>
    <w:rsid w:val="00FC0B0C"/>
    <w:rsid w:val="00FC0D6C"/>
    <w:rsid w:val="00FC2170"/>
    <w:rsid w:val="00FC249A"/>
    <w:rsid w:val="00FC39D4"/>
    <w:rsid w:val="00FC3A38"/>
    <w:rsid w:val="00FC40A0"/>
    <w:rsid w:val="00FC6022"/>
    <w:rsid w:val="00FC6D25"/>
    <w:rsid w:val="00FC6DE7"/>
    <w:rsid w:val="00FC6DF5"/>
    <w:rsid w:val="00FC7140"/>
    <w:rsid w:val="00FD029A"/>
    <w:rsid w:val="00FD04A3"/>
    <w:rsid w:val="00FD0CAB"/>
    <w:rsid w:val="00FD175E"/>
    <w:rsid w:val="00FD1A75"/>
    <w:rsid w:val="00FD1E53"/>
    <w:rsid w:val="00FD2B42"/>
    <w:rsid w:val="00FD30AF"/>
    <w:rsid w:val="00FD330D"/>
    <w:rsid w:val="00FD490C"/>
    <w:rsid w:val="00FD4E90"/>
    <w:rsid w:val="00FD62EF"/>
    <w:rsid w:val="00FD6511"/>
    <w:rsid w:val="00FD68F8"/>
    <w:rsid w:val="00FD7253"/>
    <w:rsid w:val="00FE066D"/>
    <w:rsid w:val="00FE0BDB"/>
    <w:rsid w:val="00FE10BA"/>
    <w:rsid w:val="00FE2230"/>
    <w:rsid w:val="00FE2582"/>
    <w:rsid w:val="00FE388F"/>
    <w:rsid w:val="00FE3B53"/>
    <w:rsid w:val="00FE4930"/>
    <w:rsid w:val="00FE4BD6"/>
    <w:rsid w:val="00FE4CE5"/>
    <w:rsid w:val="00FE4F7A"/>
    <w:rsid w:val="00FE5A63"/>
    <w:rsid w:val="00FE6D0F"/>
    <w:rsid w:val="00FE7AFD"/>
    <w:rsid w:val="00FE7BA4"/>
    <w:rsid w:val="00FF0195"/>
    <w:rsid w:val="00FF13A7"/>
    <w:rsid w:val="00FF1E4F"/>
    <w:rsid w:val="00FF2B56"/>
    <w:rsid w:val="00FF2EC4"/>
    <w:rsid w:val="00FF3B04"/>
    <w:rsid w:val="00FF4293"/>
    <w:rsid w:val="00FF451E"/>
    <w:rsid w:val="00FF51A1"/>
    <w:rsid w:val="00FF6C46"/>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008173,#d1d3d4"/>
    </o:shapedefaults>
    <o:shapelayout v:ext="edit">
      <o:idmap v:ext="edit" data="2"/>
    </o:shapelayout>
  </w:shapeDefaults>
  <w:decimalSymbol w:val=","/>
  <w:listSeparator w:val=";"/>
  <w14:docId w14:val="394013A6"/>
  <w15:docId w15:val="{578A7B88-D0BB-4B31-8A13-277E4A694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liases w:val="EEA_Standard"/>
    <w:qFormat/>
    <w:rsid w:val="002F4FA7"/>
    <w:pPr>
      <w:suppressAutoHyphens/>
      <w:jc w:val="both"/>
    </w:pPr>
    <w:rPr>
      <w:rFonts w:ascii="Calibri" w:eastAsia="Times New Roman" w:hAnsi="Calibri" w:cs="Calibri"/>
      <w:sz w:val="22"/>
      <w:szCs w:val="20"/>
      <w:lang w:val="en-GB" w:eastAsia="ar-SA"/>
    </w:rPr>
  </w:style>
  <w:style w:type="paragraph" w:styleId="berschrift1">
    <w:name w:val="heading 1"/>
    <w:aliases w:val="EEA Report Chapter"/>
    <w:basedOn w:val="Standard"/>
    <w:next w:val="Standard"/>
    <w:link w:val="berschrift1Zchn"/>
    <w:uiPriority w:val="99"/>
    <w:qFormat/>
    <w:rsid w:val="001C6C1E"/>
    <w:pPr>
      <w:keepNext/>
      <w:keepLines/>
      <w:numPr>
        <w:numId w:val="3"/>
      </w:numPr>
      <w:tabs>
        <w:tab w:val="left" w:pos="567"/>
      </w:tabs>
      <w:spacing w:before="240"/>
      <w:outlineLvl w:val="0"/>
    </w:pPr>
    <w:rPr>
      <w:rFonts w:cs="Times New Roman"/>
      <w:b/>
      <w:bCs/>
      <w:color w:val="008173"/>
      <w:sz w:val="28"/>
      <w:szCs w:val="28"/>
    </w:rPr>
  </w:style>
  <w:style w:type="paragraph" w:styleId="berschrift2">
    <w:name w:val="heading 2"/>
    <w:aliases w:val="EEA Report Section"/>
    <w:basedOn w:val="Standard"/>
    <w:next w:val="Standard"/>
    <w:link w:val="berschrift2Zchn"/>
    <w:uiPriority w:val="99"/>
    <w:unhideWhenUsed/>
    <w:qFormat/>
    <w:rsid w:val="009D5972"/>
    <w:pPr>
      <w:keepNext/>
      <w:keepLines/>
      <w:numPr>
        <w:ilvl w:val="1"/>
        <w:numId w:val="3"/>
      </w:numPr>
      <w:tabs>
        <w:tab w:val="left" w:pos="567"/>
      </w:tabs>
      <w:spacing w:before="200"/>
      <w:jc w:val="left"/>
      <w:outlineLvl w:val="1"/>
    </w:pPr>
    <w:rPr>
      <w:rFonts w:cs="Times New Roman"/>
      <w:b/>
      <w:bCs/>
      <w:color w:val="008173"/>
      <w:sz w:val="24"/>
      <w:szCs w:val="26"/>
    </w:rPr>
  </w:style>
  <w:style w:type="paragraph" w:styleId="berschrift3">
    <w:name w:val="heading 3"/>
    <w:aliases w:val="EEA Report Sub-section (heading 3)"/>
    <w:basedOn w:val="Standard"/>
    <w:next w:val="Standard"/>
    <w:link w:val="berschrift3Zchn"/>
    <w:uiPriority w:val="99"/>
    <w:unhideWhenUsed/>
    <w:qFormat/>
    <w:rsid w:val="0082358E"/>
    <w:pPr>
      <w:keepNext/>
      <w:keepLines/>
      <w:spacing w:before="200"/>
      <w:outlineLvl w:val="2"/>
    </w:pPr>
    <w:rPr>
      <w:rFonts w:cs="Times New Roman"/>
      <w:bCs/>
      <w:i/>
      <w:color w:val="008173"/>
    </w:rPr>
  </w:style>
  <w:style w:type="paragraph" w:styleId="berschrift4">
    <w:name w:val="heading 4"/>
    <w:basedOn w:val="Standard"/>
    <w:next w:val="Standard"/>
    <w:link w:val="berschrift4Zchn1"/>
    <w:uiPriority w:val="99"/>
    <w:unhideWhenUsed/>
    <w:qFormat/>
    <w:rsid w:val="00F05FEF"/>
    <w:pPr>
      <w:keepNext/>
      <w:keepLines/>
      <w:numPr>
        <w:ilvl w:val="3"/>
        <w:numId w:val="3"/>
      </w:numPr>
      <w:spacing w:before="40" w:line="259" w:lineRule="auto"/>
      <w:jc w:val="left"/>
      <w:outlineLvl w:val="3"/>
    </w:pPr>
    <w:rPr>
      <w:rFonts w:ascii="Calibri Light" w:hAnsi="Calibri Light" w:cs="Times New Roman"/>
      <w:i/>
      <w:iCs/>
      <w:color w:val="008173"/>
      <w:szCs w:val="22"/>
    </w:rPr>
  </w:style>
  <w:style w:type="paragraph" w:styleId="berschrift5">
    <w:name w:val="heading 5"/>
    <w:basedOn w:val="Standard"/>
    <w:next w:val="Textkrper"/>
    <w:link w:val="berschrift5Zchn"/>
    <w:uiPriority w:val="99"/>
    <w:qFormat/>
    <w:rsid w:val="00F05FEF"/>
    <w:pPr>
      <w:keepNext/>
      <w:keepLines/>
      <w:numPr>
        <w:ilvl w:val="4"/>
        <w:numId w:val="3"/>
      </w:numPr>
      <w:spacing w:before="120"/>
      <w:jc w:val="left"/>
      <w:outlineLvl w:val="4"/>
    </w:pPr>
    <w:rPr>
      <w:i/>
    </w:rPr>
  </w:style>
  <w:style w:type="paragraph" w:styleId="berschrift6">
    <w:name w:val="heading 6"/>
    <w:basedOn w:val="Standard"/>
    <w:next w:val="Textkrper"/>
    <w:link w:val="berschrift6Zchn"/>
    <w:qFormat/>
    <w:rsid w:val="00F05FEF"/>
    <w:pPr>
      <w:keepNext/>
      <w:keepLines/>
      <w:numPr>
        <w:ilvl w:val="5"/>
        <w:numId w:val="3"/>
      </w:numPr>
      <w:spacing w:before="120"/>
      <w:jc w:val="left"/>
      <w:outlineLvl w:val="5"/>
    </w:pPr>
    <w:rPr>
      <w:rFonts w:cs="Times New Roman"/>
      <w:b/>
      <w:sz w:val="24"/>
    </w:rPr>
  </w:style>
  <w:style w:type="paragraph" w:styleId="berschrift7">
    <w:name w:val="heading 7"/>
    <w:basedOn w:val="Standard"/>
    <w:next w:val="Textkrper"/>
    <w:link w:val="berschrift7Zchn"/>
    <w:qFormat/>
    <w:rsid w:val="00F05FEF"/>
    <w:pPr>
      <w:keepNext/>
      <w:keepLines/>
      <w:numPr>
        <w:ilvl w:val="6"/>
        <w:numId w:val="3"/>
      </w:numPr>
      <w:spacing w:before="120"/>
      <w:jc w:val="left"/>
      <w:outlineLvl w:val="6"/>
    </w:pPr>
    <w:rPr>
      <w:rFonts w:cs="Times New Roman"/>
      <w:b/>
      <w:i/>
      <w:kern w:val="28"/>
      <w:sz w:val="24"/>
    </w:rPr>
  </w:style>
  <w:style w:type="paragraph" w:styleId="berschrift8">
    <w:name w:val="heading 8"/>
    <w:basedOn w:val="Standard"/>
    <w:next w:val="Textkrper"/>
    <w:link w:val="berschrift8Zchn"/>
    <w:qFormat/>
    <w:rsid w:val="00F05FEF"/>
    <w:pPr>
      <w:keepNext/>
      <w:keepLines/>
      <w:numPr>
        <w:ilvl w:val="7"/>
        <w:numId w:val="3"/>
      </w:numPr>
      <w:spacing w:before="120"/>
      <w:jc w:val="left"/>
      <w:outlineLvl w:val="7"/>
    </w:pPr>
    <w:rPr>
      <w:rFonts w:cs="Times New Roman"/>
      <w:b/>
    </w:rPr>
  </w:style>
  <w:style w:type="paragraph" w:styleId="berschrift9">
    <w:name w:val="heading 9"/>
    <w:basedOn w:val="Standard"/>
    <w:next w:val="Textkrper"/>
    <w:link w:val="berschrift9Zchn"/>
    <w:qFormat/>
    <w:rsid w:val="00F05FEF"/>
    <w:pPr>
      <w:keepNext/>
      <w:keepLines/>
      <w:numPr>
        <w:ilvl w:val="8"/>
        <w:numId w:val="3"/>
      </w:numPr>
      <w:spacing w:before="120"/>
      <w:jc w:val="left"/>
      <w:outlineLvl w:val="8"/>
    </w:pPr>
    <w:rPr>
      <w:rFonts w:cs="Times New Roman"/>
      <w:b/>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EEA Report Chapter Zchn1"/>
    <w:link w:val="berschrift1"/>
    <w:uiPriority w:val="99"/>
    <w:rsid w:val="001C6C1E"/>
    <w:rPr>
      <w:rFonts w:ascii="Calibri" w:eastAsia="Times New Roman" w:hAnsi="Calibri" w:cs="Times New Roman"/>
      <w:b/>
      <w:bCs/>
      <w:color w:val="008173"/>
      <w:sz w:val="28"/>
      <w:szCs w:val="28"/>
      <w:lang w:val="en-GB" w:eastAsia="ar-SA"/>
    </w:rPr>
  </w:style>
  <w:style w:type="character" w:customStyle="1" w:styleId="berschrift2Zchn">
    <w:name w:val="Überschrift 2 Zchn"/>
    <w:aliases w:val="EEA Report Section Zchn1"/>
    <w:link w:val="berschrift2"/>
    <w:uiPriority w:val="99"/>
    <w:rsid w:val="009D5972"/>
    <w:rPr>
      <w:rFonts w:ascii="Calibri" w:eastAsia="Times New Roman" w:hAnsi="Calibri" w:cs="Times New Roman"/>
      <w:b/>
      <w:bCs/>
      <w:color w:val="008173"/>
      <w:szCs w:val="26"/>
      <w:lang w:val="en-GB" w:eastAsia="ar-SA"/>
    </w:rPr>
  </w:style>
  <w:style w:type="character" w:customStyle="1" w:styleId="berschrift3Zchn">
    <w:name w:val="Überschrift 3 Zchn"/>
    <w:aliases w:val="EEA Report Sub-section (heading 3) Zchn1"/>
    <w:link w:val="berschrift3"/>
    <w:uiPriority w:val="99"/>
    <w:rsid w:val="00F05FEF"/>
    <w:rPr>
      <w:rFonts w:ascii="Calibri" w:eastAsia="Times New Roman" w:hAnsi="Calibri" w:cs="Times New Roman"/>
      <w:bCs/>
      <w:i/>
      <w:color w:val="008173"/>
      <w:sz w:val="22"/>
    </w:rPr>
  </w:style>
  <w:style w:type="character" w:customStyle="1" w:styleId="berschrift4Zchn1">
    <w:name w:val="Überschrift 4 Zchn1"/>
    <w:link w:val="berschrift4"/>
    <w:uiPriority w:val="99"/>
    <w:rsid w:val="00F05FEF"/>
    <w:rPr>
      <w:rFonts w:ascii="Calibri Light" w:eastAsia="Times New Roman" w:hAnsi="Calibri Light" w:cs="Times New Roman"/>
      <w:i/>
      <w:iCs/>
      <w:color w:val="008173"/>
      <w:sz w:val="22"/>
      <w:szCs w:val="22"/>
      <w:lang w:val="en-GB" w:eastAsia="ar-SA"/>
    </w:rPr>
  </w:style>
  <w:style w:type="paragraph" w:styleId="Textkrper">
    <w:name w:val="Body Text"/>
    <w:basedOn w:val="Standard"/>
    <w:link w:val="TextkrperZchn"/>
    <w:uiPriority w:val="99"/>
    <w:unhideWhenUsed/>
    <w:rsid w:val="00BA22E8"/>
  </w:style>
  <w:style w:type="character" w:customStyle="1" w:styleId="TextkrperZchn">
    <w:name w:val="Textkörper Zchn"/>
    <w:basedOn w:val="Absatz-Standardschriftart"/>
    <w:link w:val="Textkrper"/>
    <w:uiPriority w:val="99"/>
    <w:rsid w:val="00BA22E8"/>
    <w:rPr>
      <w:rFonts w:ascii="Calibri" w:hAnsi="Calibri"/>
      <w:sz w:val="22"/>
    </w:rPr>
  </w:style>
  <w:style w:type="character" w:customStyle="1" w:styleId="berschrift5Zchn">
    <w:name w:val="Überschrift 5 Zchn"/>
    <w:link w:val="berschrift5"/>
    <w:uiPriority w:val="99"/>
    <w:rsid w:val="00F05FEF"/>
    <w:rPr>
      <w:rFonts w:ascii="Calibri" w:eastAsia="Times New Roman" w:hAnsi="Calibri" w:cs="Calibri"/>
      <w:i/>
      <w:sz w:val="22"/>
      <w:szCs w:val="20"/>
      <w:lang w:val="en-GB" w:eastAsia="ar-SA"/>
    </w:rPr>
  </w:style>
  <w:style w:type="character" w:customStyle="1" w:styleId="berschrift6Zchn">
    <w:name w:val="Überschrift 6 Zchn"/>
    <w:link w:val="berschrift6"/>
    <w:rsid w:val="00F05FEF"/>
    <w:rPr>
      <w:rFonts w:ascii="Calibri" w:eastAsia="Times New Roman" w:hAnsi="Calibri" w:cs="Times New Roman"/>
      <w:b/>
      <w:szCs w:val="20"/>
      <w:lang w:val="en-GB" w:eastAsia="ar-SA"/>
    </w:rPr>
  </w:style>
  <w:style w:type="character" w:customStyle="1" w:styleId="berschrift7Zchn">
    <w:name w:val="Überschrift 7 Zchn"/>
    <w:link w:val="berschrift7"/>
    <w:rsid w:val="00F05FEF"/>
    <w:rPr>
      <w:rFonts w:ascii="Calibri" w:eastAsia="Times New Roman" w:hAnsi="Calibri" w:cs="Times New Roman"/>
      <w:b/>
      <w:i/>
      <w:kern w:val="28"/>
      <w:szCs w:val="20"/>
      <w:lang w:val="en-GB" w:eastAsia="ar-SA"/>
    </w:rPr>
  </w:style>
  <w:style w:type="character" w:customStyle="1" w:styleId="berschrift8Zchn">
    <w:name w:val="Überschrift 8 Zchn"/>
    <w:link w:val="berschrift8"/>
    <w:rsid w:val="00F05FEF"/>
    <w:rPr>
      <w:rFonts w:ascii="Calibri" w:eastAsia="Times New Roman" w:hAnsi="Calibri" w:cs="Times New Roman"/>
      <w:b/>
      <w:sz w:val="22"/>
      <w:szCs w:val="20"/>
      <w:lang w:val="en-GB" w:eastAsia="ar-SA"/>
    </w:rPr>
  </w:style>
  <w:style w:type="character" w:customStyle="1" w:styleId="berschrift9Zchn">
    <w:name w:val="Überschrift 9 Zchn"/>
    <w:link w:val="berschrift9"/>
    <w:rsid w:val="00F05FEF"/>
    <w:rPr>
      <w:rFonts w:ascii="Calibri" w:eastAsia="Times New Roman" w:hAnsi="Calibri" w:cs="Times New Roman"/>
      <w:b/>
      <w:i/>
      <w:sz w:val="22"/>
      <w:szCs w:val="20"/>
      <w:lang w:val="en-GB" w:eastAsia="ar-SA"/>
    </w:rPr>
  </w:style>
  <w:style w:type="paragraph" w:styleId="Kopfzeile">
    <w:name w:val="header"/>
    <w:basedOn w:val="Standard"/>
    <w:link w:val="KopfzeileZchn"/>
    <w:uiPriority w:val="99"/>
    <w:unhideWhenUsed/>
    <w:rsid w:val="003E25FF"/>
    <w:pPr>
      <w:tabs>
        <w:tab w:val="center" w:pos="4320"/>
        <w:tab w:val="right" w:pos="8640"/>
      </w:tabs>
    </w:pPr>
  </w:style>
  <w:style w:type="character" w:customStyle="1" w:styleId="KopfzeileZchn">
    <w:name w:val="Kopfzeile Zchn"/>
    <w:basedOn w:val="Absatz-Standardschriftart"/>
    <w:link w:val="Kopfzeile"/>
    <w:uiPriority w:val="99"/>
    <w:rsid w:val="003E25FF"/>
  </w:style>
  <w:style w:type="paragraph" w:styleId="Fuzeile">
    <w:name w:val="footer"/>
    <w:basedOn w:val="Standard"/>
    <w:link w:val="FuzeileZchn"/>
    <w:uiPriority w:val="99"/>
    <w:unhideWhenUsed/>
    <w:rsid w:val="003E25FF"/>
    <w:pPr>
      <w:tabs>
        <w:tab w:val="center" w:pos="4320"/>
        <w:tab w:val="right" w:pos="8640"/>
      </w:tabs>
    </w:pPr>
  </w:style>
  <w:style w:type="character" w:customStyle="1" w:styleId="FuzeileZchn">
    <w:name w:val="Fußzeile Zchn"/>
    <w:basedOn w:val="Absatz-Standardschriftart"/>
    <w:link w:val="Fuzeile"/>
    <w:uiPriority w:val="99"/>
    <w:rsid w:val="003E25FF"/>
  </w:style>
  <w:style w:type="paragraph" w:customStyle="1" w:styleId="BasicParagraph">
    <w:name w:val="[Basic Paragraph]"/>
    <w:basedOn w:val="Standard"/>
    <w:uiPriority w:val="99"/>
    <w:rsid w:val="003E25F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Sprechblasentext">
    <w:name w:val="Balloon Text"/>
    <w:basedOn w:val="Standard"/>
    <w:link w:val="SprechblasentextZchn"/>
    <w:uiPriority w:val="99"/>
    <w:semiHidden/>
    <w:unhideWhenUsed/>
    <w:rsid w:val="007A2A07"/>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7A2A07"/>
    <w:rPr>
      <w:rFonts w:ascii="Lucida Grande" w:hAnsi="Lucida Grande" w:cs="Lucida Grande"/>
      <w:sz w:val="18"/>
      <w:szCs w:val="18"/>
    </w:rPr>
  </w:style>
  <w:style w:type="character" w:customStyle="1" w:styleId="Style1">
    <w:name w:val="Style1"/>
    <w:uiPriority w:val="1"/>
    <w:qFormat/>
    <w:rsid w:val="00B24722"/>
    <w:rPr>
      <w:rFonts w:ascii="Open Sans" w:hAnsi="Open Sans"/>
      <w:b w:val="0"/>
      <w:i w:val="0"/>
      <w:color w:val="FFFFFF" w:themeColor="background1"/>
      <w:sz w:val="28"/>
    </w:rPr>
  </w:style>
  <w:style w:type="character" w:customStyle="1" w:styleId="Style2">
    <w:name w:val="Style2"/>
    <w:basedOn w:val="Style1"/>
    <w:uiPriority w:val="1"/>
    <w:qFormat/>
    <w:rsid w:val="00B24722"/>
    <w:rPr>
      <w:rFonts w:ascii="Open Sans" w:hAnsi="Open Sans"/>
      <w:b w:val="0"/>
      <w:i w:val="0"/>
      <w:color w:val="FFFFFF" w:themeColor="background1"/>
      <w:sz w:val="16"/>
    </w:rPr>
  </w:style>
  <w:style w:type="paragraph" w:styleId="StandardWeb">
    <w:name w:val="Normal (Web)"/>
    <w:basedOn w:val="Standard"/>
    <w:uiPriority w:val="99"/>
    <w:unhideWhenUsed/>
    <w:rsid w:val="00104BA0"/>
    <w:pPr>
      <w:spacing w:before="100" w:beforeAutospacing="1" w:after="100" w:afterAutospacing="1"/>
    </w:pPr>
    <w:rPr>
      <w:rFonts w:ascii="Times" w:hAnsi="Times" w:cs="Times New Roman"/>
    </w:rPr>
  </w:style>
  <w:style w:type="character" w:styleId="Fett">
    <w:name w:val="Strong"/>
    <w:basedOn w:val="Absatz-Standardschriftart"/>
    <w:uiPriority w:val="22"/>
    <w:qFormat/>
    <w:rsid w:val="00104BA0"/>
    <w:rPr>
      <w:b/>
      <w:bCs/>
    </w:rPr>
  </w:style>
  <w:style w:type="character" w:customStyle="1" w:styleId="apple-converted-space">
    <w:name w:val="apple-converted-space"/>
    <w:basedOn w:val="Absatz-Standardschriftart"/>
    <w:rsid w:val="00104BA0"/>
  </w:style>
  <w:style w:type="character" w:styleId="Hyperlink">
    <w:name w:val="Hyperlink"/>
    <w:basedOn w:val="Absatz-Standardschriftart"/>
    <w:uiPriority w:val="99"/>
    <w:unhideWhenUsed/>
    <w:rsid w:val="009A73EB"/>
    <w:rPr>
      <w:color w:val="0000FF" w:themeColor="hyperlink"/>
      <w:u w:val="single"/>
    </w:rPr>
  </w:style>
  <w:style w:type="paragraph" w:styleId="Inhaltsverzeichnisberschrift">
    <w:name w:val="TOC Heading"/>
    <w:basedOn w:val="berschrift1"/>
    <w:next w:val="Standard"/>
    <w:uiPriority w:val="39"/>
    <w:unhideWhenUsed/>
    <w:qFormat/>
    <w:rsid w:val="009B108A"/>
    <w:pPr>
      <w:spacing w:line="276" w:lineRule="auto"/>
      <w:outlineLvl w:val="9"/>
    </w:pPr>
    <w:rPr>
      <w:lang w:val="pt-PT"/>
    </w:rPr>
  </w:style>
  <w:style w:type="paragraph" w:styleId="Verzeichnis1">
    <w:name w:val="toc 1"/>
    <w:basedOn w:val="Standard"/>
    <w:next w:val="Standard"/>
    <w:autoRedefine/>
    <w:uiPriority w:val="39"/>
    <w:unhideWhenUsed/>
    <w:rsid w:val="009F083B"/>
    <w:pPr>
      <w:tabs>
        <w:tab w:val="left" w:pos="397"/>
        <w:tab w:val="right" w:leader="dot" w:pos="9356"/>
      </w:tabs>
      <w:spacing w:after="40"/>
      <w:ind w:left="397" w:hanging="397"/>
    </w:pPr>
  </w:style>
  <w:style w:type="paragraph" w:styleId="Verzeichnis2">
    <w:name w:val="toc 2"/>
    <w:basedOn w:val="Standard"/>
    <w:next w:val="Standard"/>
    <w:autoRedefine/>
    <w:uiPriority w:val="39"/>
    <w:unhideWhenUsed/>
    <w:rsid w:val="009F083B"/>
    <w:pPr>
      <w:tabs>
        <w:tab w:val="left" w:leader="dot" w:pos="794"/>
        <w:tab w:val="left" w:pos="1191"/>
        <w:tab w:val="right" w:leader="dot" w:pos="9356"/>
      </w:tabs>
      <w:spacing w:after="40"/>
      <w:ind w:left="794" w:hanging="397"/>
    </w:pPr>
  </w:style>
  <w:style w:type="paragraph" w:styleId="Verzeichnis3">
    <w:name w:val="toc 3"/>
    <w:basedOn w:val="Standard"/>
    <w:next w:val="Standard"/>
    <w:autoRedefine/>
    <w:uiPriority w:val="39"/>
    <w:unhideWhenUsed/>
    <w:rsid w:val="00020A93"/>
    <w:pPr>
      <w:tabs>
        <w:tab w:val="left" w:leader="dot" w:pos="1247"/>
        <w:tab w:val="right" w:pos="9356"/>
      </w:tabs>
      <w:spacing w:after="40"/>
      <w:ind w:left="1191" w:hanging="397"/>
      <w:jc w:val="left"/>
    </w:pPr>
    <w:rPr>
      <w:i/>
      <w:sz w:val="18"/>
    </w:rPr>
  </w:style>
  <w:style w:type="character" w:customStyle="1" w:styleId="FunotentextZchn">
    <w:name w:val="Fußnotentext Zchn"/>
    <w:aliases w:val="Fußnotentext Char Zchn,Fußnotentext Char1 Char1 Zchn,Fußnotentext Char Char Char Char Zchn,Fußnotentext Char1 Char Char Char Zchn,Fußnotentext Char Char Zchn,Fußnotentext Char1 Char Char Char Char Zchn,Fußnotentext Char1 Zchn"/>
    <w:basedOn w:val="Absatz-Standardschriftart"/>
    <w:link w:val="Funotentext"/>
    <w:locked/>
    <w:rsid w:val="00DB40BC"/>
    <w:rPr>
      <w:lang w:val="en-GB"/>
    </w:rPr>
  </w:style>
  <w:style w:type="paragraph" w:styleId="Funotentext">
    <w:name w:val="footnote text"/>
    <w:aliases w:val="Fußnotentext Char,Fußnotentext Char1 Char1,Fußnotentext Char Char Char Char,Fußnotentext Char1 Char Char Char,Fußnotentext Char Char,Fußnotentext Char1 Char Char Char Char,Fußnotentext Char Char Char Char Char Char,Fußnotentext Char1"/>
    <w:basedOn w:val="Standard"/>
    <w:link w:val="FunotentextZchn"/>
    <w:unhideWhenUsed/>
    <w:rsid w:val="00DB40BC"/>
    <w:pPr>
      <w:tabs>
        <w:tab w:val="left" w:pos="187"/>
      </w:tabs>
      <w:spacing w:line="220" w:lineRule="exact"/>
      <w:ind w:left="187" w:hanging="187"/>
    </w:pPr>
    <w:rPr>
      <w:rFonts w:asciiTheme="minorHAnsi" w:hAnsiTheme="minorHAnsi"/>
      <w:sz w:val="24"/>
    </w:rPr>
  </w:style>
  <w:style w:type="character" w:customStyle="1" w:styleId="FunotentextZchn1">
    <w:name w:val="Fußnotentext Zchn1"/>
    <w:basedOn w:val="Absatz-Standardschriftart"/>
    <w:uiPriority w:val="99"/>
    <w:semiHidden/>
    <w:rsid w:val="00DB40BC"/>
    <w:rPr>
      <w:rFonts w:ascii="Calibri" w:hAnsi="Calibri"/>
      <w:sz w:val="20"/>
      <w:szCs w:val="20"/>
    </w:rPr>
  </w:style>
  <w:style w:type="character" w:styleId="Funotenzeichen">
    <w:name w:val="footnote reference"/>
    <w:aliases w:val="number,BVI fnr,Odwołanie przypisu,Footnote Reference2,Footnote Reference Number,E FNZ,-E Fußnotenzeichen,Footnote#,Footnote symbol,Times 10 Point,Exposant 3 Point,Ref,de nota al pie,Footnote reference number,note TESI,SUPER,stylish"/>
    <w:uiPriority w:val="99"/>
    <w:unhideWhenUsed/>
    <w:rsid w:val="00DB40BC"/>
    <w:rPr>
      <w:vertAlign w:val="superscript"/>
    </w:rPr>
  </w:style>
  <w:style w:type="paragraph" w:customStyle="1" w:styleId="EEALiterature">
    <w:name w:val="EEA_Literature"/>
    <w:basedOn w:val="Standard"/>
    <w:rsid w:val="00DB40BC"/>
    <w:pPr>
      <w:ind w:left="482" w:hanging="482"/>
      <w:jc w:val="left"/>
    </w:pPr>
    <w:rPr>
      <w:rFonts w:cs="Times New Roman"/>
    </w:rPr>
  </w:style>
  <w:style w:type="paragraph" w:customStyle="1" w:styleId="EEAfootnote">
    <w:name w:val="EEA_footnote"/>
    <w:basedOn w:val="Funotentext"/>
    <w:qFormat/>
    <w:rsid w:val="005824D4"/>
    <w:pPr>
      <w:tabs>
        <w:tab w:val="clear" w:pos="187"/>
        <w:tab w:val="left" w:pos="567"/>
      </w:tabs>
      <w:spacing w:after="60"/>
      <w:ind w:left="567" w:hanging="567"/>
      <w:jc w:val="left"/>
    </w:pPr>
    <w:rPr>
      <w:rFonts w:ascii="Calibri" w:hAnsi="Calibri"/>
      <w:sz w:val="16"/>
    </w:rPr>
  </w:style>
  <w:style w:type="paragraph" w:customStyle="1" w:styleId="GAbullet05cm">
    <w:name w:val="GA_bullet_05cm"/>
    <w:basedOn w:val="Standard"/>
    <w:qFormat/>
    <w:rsid w:val="001E1796"/>
    <w:pPr>
      <w:numPr>
        <w:numId w:val="1"/>
      </w:numPr>
      <w:tabs>
        <w:tab w:val="left" w:pos="680"/>
      </w:tabs>
      <w:autoSpaceDE w:val="0"/>
      <w:autoSpaceDN w:val="0"/>
      <w:adjustRightInd w:val="0"/>
      <w:spacing w:before="40" w:after="60" w:line="260" w:lineRule="exact"/>
      <w:ind w:left="681" w:hanging="397"/>
      <w:jc w:val="left"/>
    </w:pPr>
    <w:rPr>
      <w:rFonts w:ascii="Arial" w:hAnsi="Arial" w:cs="Arial"/>
      <w:lang w:val="de-AT" w:eastAsia="ko-KR"/>
    </w:rPr>
  </w:style>
  <w:style w:type="paragraph" w:styleId="Listenabsatz">
    <w:name w:val="List Paragraph"/>
    <w:aliases w:val="SLIKE,List Paragraph1,Dot pt,Numbered Para 1,No Spacing1,List Paragraph Char Char Char,Indicator Text,Bullet 1,Bullet Points,MAIN CONTENT,IFCL - List Paragraph,List Paragraph12,OBC Bullet,F5 List Paragraph,Colorful List - Accent 11"/>
    <w:basedOn w:val="Standard"/>
    <w:link w:val="ListenabsatzZchn"/>
    <w:uiPriority w:val="34"/>
    <w:qFormat/>
    <w:rsid w:val="001E1796"/>
    <w:pPr>
      <w:ind w:left="720"/>
      <w:contextualSpacing/>
    </w:pPr>
  </w:style>
  <w:style w:type="character" w:customStyle="1" w:styleId="ListenabsatzZchn">
    <w:name w:val="Listenabsatz Zchn"/>
    <w:aliases w:val="SLIKE Zchn,List Paragraph1 Zchn,Dot pt Zchn,Numbered Para 1 Zchn,No Spacing1 Zchn,List Paragraph Char Char Char Zchn,Indicator Text Zchn,Bullet 1 Zchn,Bullet Points Zchn,MAIN CONTENT Zchn,IFCL - List Paragraph Zchn,OBC Bullet Zchn"/>
    <w:basedOn w:val="Absatz-Standardschriftart"/>
    <w:link w:val="Listenabsatz"/>
    <w:uiPriority w:val="34"/>
    <w:qFormat/>
    <w:rsid w:val="00F77313"/>
    <w:rPr>
      <w:rFonts w:ascii="Verdana" w:eastAsia="Times New Roman" w:hAnsi="Verdana" w:cs="Calibri"/>
      <w:sz w:val="20"/>
      <w:szCs w:val="20"/>
      <w:lang w:val="en-GB" w:eastAsia="ar-SA"/>
    </w:rPr>
  </w:style>
  <w:style w:type="character" w:styleId="BesuchterLink">
    <w:name w:val="FollowedHyperlink"/>
    <w:basedOn w:val="Absatz-Standardschriftart"/>
    <w:uiPriority w:val="99"/>
    <w:semiHidden/>
    <w:unhideWhenUsed/>
    <w:rsid w:val="00C0752F"/>
    <w:rPr>
      <w:color w:val="800080" w:themeColor="followedHyperlink"/>
      <w:u w:val="single"/>
    </w:rPr>
  </w:style>
  <w:style w:type="paragraph" w:styleId="Aufzhlungszeichen2">
    <w:name w:val="List Bullet 2"/>
    <w:basedOn w:val="Standard"/>
    <w:uiPriority w:val="99"/>
    <w:rsid w:val="000400BE"/>
    <w:pPr>
      <w:numPr>
        <w:numId w:val="2"/>
      </w:numPr>
      <w:tabs>
        <w:tab w:val="clear" w:pos="643"/>
      </w:tabs>
      <w:spacing w:line="360" w:lineRule="auto"/>
      <w:ind w:left="568" w:hanging="284"/>
    </w:pPr>
    <w:rPr>
      <w:rFonts w:ascii="Arial" w:hAnsi="Arial" w:cs="Times New Roman"/>
      <w:sz w:val="18"/>
    </w:rPr>
  </w:style>
  <w:style w:type="paragraph" w:customStyle="1" w:styleId="EEAbullet">
    <w:name w:val="EEA_bullet"/>
    <w:basedOn w:val="Textkrper"/>
    <w:qFormat/>
    <w:rsid w:val="005F3980"/>
    <w:pPr>
      <w:numPr>
        <w:numId w:val="5"/>
      </w:numPr>
      <w:tabs>
        <w:tab w:val="left" w:pos="284"/>
      </w:tabs>
      <w:jc w:val="left"/>
    </w:pPr>
  </w:style>
  <w:style w:type="table" w:styleId="Tabellenraster">
    <w:name w:val="Table Grid"/>
    <w:aliases w:val="Kadertabel"/>
    <w:basedOn w:val="NormaleTabelle"/>
    <w:uiPriority w:val="59"/>
    <w:rsid w:val="007F10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EALabel">
    <w:name w:val="EEA_Label"/>
    <w:basedOn w:val="EEAStandardbold"/>
    <w:qFormat/>
    <w:rsid w:val="00C36DBE"/>
    <w:pPr>
      <w:pBdr>
        <w:top w:val="single" w:sz="4" w:space="1" w:color="auto"/>
        <w:bottom w:val="single" w:sz="4" w:space="1" w:color="auto"/>
      </w:pBdr>
      <w:tabs>
        <w:tab w:val="left" w:pos="1134"/>
      </w:tabs>
      <w:ind w:left="1134" w:hanging="1134"/>
      <w:jc w:val="left"/>
    </w:pPr>
    <w:rPr>
      <w:color w:val="000000" w:themeColor="text1"/>
    </w:rPr>
  </w:style>
  <w:style w:type="paragraph" w:customStyle="1" w:styleId="EEASource">
    <w:name w:val="EEA_Source"/>
    <w:basedOn w:val="Standard"/>
    <w:qFormat/>
    <w:rsid w:val="002A5C04"/>
    <w:pPr>
      <w:tabs>
        <w:tab w:val="left" w:pos="851"/>
      </w:tabs>
      <w:ind w:left="851" w:hanging="851"/>
      <w:jc w:val="left"/>
    </w:pPr>
    <w:rPr>
      <w:sz w:val="18"/>
    </w:rPr>
  </w:style>
  <w:style w:type="paragraph" w:customStyle="1" w:styleId="EEATabfootnote">
    <w:name w:val="EEA_Tab_footnote"/>
    <w:basedOn w:val="Standard"/>
    <w:qFormat/>
    <w:rsid w:val="000D3F2A"/>
    <w:pPr>
      <w:tabs>
        <w:tab w:val="left" w:pos="851"/>
      </w:tabs>
      <w:ind w:left="851" w:hanging="284"/>
      <w:jc w:val="left"/>
    </w:pPr>
    <w:rPr>
      <w:rFonts w:eastAsia="Calibri"/>
      <w:sz w:val="20"/>
    </w:rPr>
  </w:style>
  <w:style w:type="paragraph" w:customStyle="1" w:styleId="EEATabbold">
    <w:name w:val="EEA_Tab_bold"/>
    <w:basedOn w:val="EEATabfootnote"/>
    <w:qFormat/>
    <w:rsid w:val="001207E6"/>
    <w:rPr>
      <w:b/>
    </w:rPr>
  </w:style>
  <w:style w:type="paragraph" w:styleId="Beschriftung">
    <w:name w:val="caption"/>
    <w:aliases w:val="EEA Report Caption"/>
    <w:basedOn w:val="Standard"/>
    <w:next w:val="Standard"/>
    <w:link w:val="BeschriftungZchn"/>
    <w:uiPriority w:val="35"/>
    <w:unhideWhenUsed/>
    <w:qFormat/>
    <w:rsid w:val="00F05FEF"/>
    <w:pPr>
      <w:spacing w:after="200"/>
      <w:jc w:val="left"/>
    </w:pPr>
    <w:rPr>
      <w:rFonts w:eastAsia="Calibri" w:cs="Times New Roman"/>
      <w:i/>
      <w:iCs/>
      <w:color w:val="44546A"/>
      <w:sz w:val="18"/>
      <w:szCs w:val="18"/>
    </w:rPr>
  </w:style>
  <w:style w:type="character" w:customStyle="1" w:styleId="BeschriftungZchn">
    <w:name w:val="Beschriftung Zchn"/>
    <w:aliases w:val="EEA Report Caption Zchn"/>
    <w:basedOn w:val="Absatz-Standardschriftart"/>
    <w:link w:val="Beschriftung"/>
    <w:uiPriority w:val="35"/>
    <w:rsid w:val="00BA22E8"/>
    <w:rPr>
      <w:rFonts w:ascii="Calibri" w:eastAsia="Calibri" w:hAnsi="Calibri" w:cs="Times New Roman"/>
      <w:i/>
      <w:iCs/>
      <w:color w:val="44546A"/>
      <w:sz w:val="18"/>
      <w:szCs w:val="18"/>
      <w:lang w:val="en-GB"/>
    </w:rPr>
  </w:style>
  <w:style w:type="paragraph" w:customStyle="1" w:styleId="EEAbullet20">
    <w:name w:val="EEA_bullet2"/>
    <w:basedOn w:val="EEAbullet"/>
    <w:qFormat/>
    <w:rsid w:val="00E12CC7"/>
    <w:pPr>
      <w:numPr>
        <w:numId w:val="11"/>
      </w:numPr>
      <w:tabs>
        <w:tab w:val="clear" w:pos="284"/>
        <w:tab w:val="left" w:pos="1134"/>
      </w:tabs>
      <w:ind w:left="1135" w:hanging="284"/>
    </w:pPr>
  </w:style>
  <w:style w:type="character" w:customStyle="1" w:styleId="berschrift1Zchn1">
    <w:name w:val="Überschrift 1 Zchn1"/>
    <w:aliases w:val="EEA Report Chapter Zchn"/>
    <w:uiPriority w:val="99"/>
    <w:rsid w:val="00F05FEF"/>
    <w:rPr>
      <w:rFonts w:ascii="Arial" w:eastAsia="Times New Roman" w:hAnsi="Arial" w:cs="Calibri"/>
      <w:b/>
      <w:smallCaps/>
      <w:sz w:val="40"/>
      <w:szCs w:val="20"/>
      <w:lang w:val="en-GB" w:eastAsia="ar-SA"/>
    </w:rPr>
  </w:style>
  <w:style w:type="character" w:customStyle="1" w:styleId="berschrift2Zchn1">
    <w:name w:val="Überschrift 2 Zchn1"/>
    <w:aliases w:val="EEA Report Section Zchn"/>
    <w:uiPriority w:val="99"/>
    <w:rsid w:val="00F05FEF"/>
    <w:rPr>
      <w:rFonts w:ascii="Arial" w:eastAsia="Times New Roman" w:hAnsi="Arial" w:cs="Calibri"/>
      <w:b/>
      <w:sz w:val="24"/>
      <w:szCs w:val="20"/>
      <w:lang w:val="en-GB" w:eastAsia="ar-SA"/>
    </w:rPr>
  </w:style>
  <w:style w:type="character" w:customStyle="1" w:styleId="berschrift3Zchn1">
    <w:name w:val="Überschrift 3 Zchn1"/>
    <w:aliases w:val="EEA Report Sub-section (heading 3) Zchn"/>
    <w:uiPriority w:val="99"/>
    <w:rsid w:val="00F05FEF"/>
    <w:rPr>
      <w:rFonts w:ascii="Times New Roman" w:eastAsia="Times New Roman" w:hAnsi="Times New Roman" w:cs="Calibri"/>
      <w:b/>
      <w:i/>
      <w:szCs w:val="20"/>
      <w:lang w:val="en-GB" w:eastAsia="ar-SA"/>
    </w:rPr>
  </w:style>
  <w:style w:type="character" w:customStyle="1" w:styleId="berschrift4Zchn">
    <w:name w:val="Überschrift 4 Zchn"/>
    <w:rsid w:val="00F05FEF"/>
    <w:rPr>
      <w:rFonts w:ascii="Cambria" w:eastAsia="Times New Roman" w:hAnsi="Cambria" w:cs="Times New Roman"/>
      <w:b/>
      <w:bCs/>
      <w:sz w:val="28"/>
      <w:szCs w:val="28"/>
      <w:lang w:val="en-US" w:eastAsia="en-US"/>
    </w:rPr>
  </w:style>
  <w:style w:type="character" w:customStyle="1" w:styleId="berschrift5Zchn1">
    <w:name w:val="Überschrift 5 Zchn1"/>
    <w:uiPriority w:val="99"/>
    <w:rsid w:val="00F05FEF"/>
    <w:rPr>
      <w:rFonts w:ascii="Verdana" w:eastAsia="Times New Roman" w:hAnsi="Verdana" w:cs="Calibri"/>
      <w:i/>
      <w:sz w:val="20"/>
      <w:szCs w:val="20"/>
      <w:lang w:val="en-GB" w:eastAsia="ar-SA"/>
    </w:rPr>
  </w:style>
  <w:style w:type="paragraph" w:customStyle="1" w:styleId="xx">
    <w:name w:val="xx"/>
    <w:basedOn w:val="Funotentext"/>
    <w:rsid w:val="00F05FEF"/>
    <w:pPr>
      <w:tabs>
        <w:tab w:val="clear" w:pos="187"/>
        <w:tab w:val="left" w:pos="851"/>
      </w:tabs>
      <w:spacing w:line="240" w:lineRule="auto"/>
      <w:ind w:left="851" w:hanging="851"/>
      <w:jc w:val="left"/>
    </w:pPr>
    <w:rPr>
      <w:rFonts w:ascii="Verdana" w:hAnsi="Verdana"/>
      <w:sz w:val="18"/>
    </w:rPr>
  </w:style>
  <w:style w:type="paragraph" w:customStyle="1" w:styleId="EEAfootnoteli">
    <w:name w:val="EEA_footnote_li"/>
    <w:basedOn w:val="BasicParagraph"/>
    <w:qFormat/>
    <w:rsid w:val="00F05FEF"/>
    <w:pPr>
      <w:tabs>
        <w:tab w:val="right" w:pos="9356"/>
      </w:tabs>
    </w:pPr>
    <w:rPr>
      <w:rFonts w:ascii="Calibri" w:hAnsi="Calibri" w:cs="Calibri"/>
      <w:color w:val="008173"/>
      <w:szCs w:val="22"/>
    </w:rPr>
  </w:style>
  <w:style w:type="paragraph" w:customStyle="1" w:styleId="EEAfootnotere">
    <w:name w:val="EEA_footnote_re"/>
    <w:basedOn w:val="EEAfootnoteli"/>
    <w:qFormat/>
    <w:rsid w:val="00F05FEF"/>
    <w:pPr>
      <w:jc w:val="left"/>
    </w:pPr>
  </w:style>
  <w:style w:type="paragraph" w:customStyle="1" w:styleId="EEAheadline">
    <w:name w:val="EEA_headline"/>
    <w:basedOn w:val="berschrift2"/>
    <w:qFormat/>
    <w:rsid w:val="00F05FEF"/>
    <w:pPr>
      <w:numPr>
        <w:ilvl w:val="0"/>
        <w:numId w:val="0"/>
      </w:numPr>
      <w:spacing w:before="120"/>
    </w:pPr>
    <w:rPr>
      <w:rFonts w:ascii="Arial" w:hAnsi="Arial" w:cs="Calibri"/>
      <w:b w:val="0"/>
      <w:bCs w:val="0"/>
      <w:color w:val="auto"/>
      <w:szCs w:val="20"/>
    </w:rPr>
  </w:style>
  <w:style w:type="paragraph" w:customStyle="1" w:styleId="EEATable">
    <w:name w:val="EEA_Table"/>
    <w:basedOn w:val="Textkrper"/>
    <w:qFormat/>
    <w:rsid w:val="00F05FEF"/>
    <w:pPr>
      <w:tabs>
        <w:tab w:val="left" w:pos="1134"/>
      </w:tabs>
      <w:spacing w:before="120"/>
      <w:ind w:left="1134" w:hanging="1134"/>
      <w:jc w:val="left"/>
    </w:pPr>
    <w:rPr>
      <w:b/>
    </w:rPr>
  </w:style>
  <w:style w:type="paragraph" w:customStyle="1" w:styleId="EEAspacesm">
    <w:name w:val="EEA_space_sm"/>
    <w:basedOn w:val="Standard"/>
    <w:qFormat/>
    <w:rsid w:val="00F77313"/>
    <w:rPr>
      <w:sz w:val="8"/>
    </w:rPr>
  </w:style>
  <w:style w:type="character" w:styleId="Kommentarzeichen">
    <w:name w:val="annotation reference"/>
    <w:basedOn w:val="Absatz-Standardschriftart"/>
    <w:uiPriority w:val="99"/>
    <w:rsid w:val="009A66D4"/>
    <w:rPr>
      <w:sz w:val="16"/>
      <w:szCs w:val="16"/>
    </w:rPr>
  </w:style>
  <w:style w:type="paragraph" w:customStyle="1" w:styleId="EEAFootnote0">
    <w:name w:val="EEA_Footnote"/>
    <w:basedOn w:val="Funotentext"/>
    <w:qFormat/>
    <w:rsid w:val="00696049"/>
    <w:pPr>
      <w:tabs>
        <w:tab w:val="clear" w:pos="187"/>
        <w:tab w:val="left" w:pos="567"/>
      </w:tabs>
      <w:spacing w:line="240" w:lineRule="auto"/>
      <w:ind w:left="567" w:hanging="567"/>
      <w:jc w:val="left"/>
    </w:pPr>
    <w:rPr>
      <w:rFonts w:ascii="Calibri" w:hAnsi="Calibri"/>
      <w:sz w:val="18"/>
    </w:rPr>
  </w:style>
  <w:style w:type="paragraph" w:styleId="Kommentartext">
    <w:name w:val="annotation text"/>
    <w:basedOn w:val="Standard"/>
    <w:link w:val="KommentartextZchn"/>
    <w:uiPriority w:val="99"/>
    <w:unhideWhenUsed/>
    <w:rsid w:val="007029FA"/>
    <w:rPr>
      <w:sz w:val="20"/>
    </w:rPr>
  </w:style>
  <w:style w:type="character" w:customStyle="1" w:styleId="KommentartextZchn">
    <w:name w:val="Kommentartext Zchn"/>
    <w:basedOn w:val="Absatz-Standardschriftart"/>
    <w:link w:val="Kommentartext"/>
    <w:uiPriority w:val="99"/>
    <w:rsid w:val="007029FA"/>
    <w:rPr>
      <w:rFonts w:ascii="Calibri" w:eastAsia="Times New Roman" w:hAnsi="Calibri" w:cs="Calibri"/>
      <w:sz w:val="20"/>
      <w:szCs w:val="20"/>
      <w:lang w:val="en-GB" w:eastAsia="ar-SA"/>
    </w:rPr>
  </w:style>
  <w:style w:type="paragraph" w:styleId="Kommentarthema">
    <w:name w:val="annotation subject"/>
    <w:basedOn w:val="Kommentartext"/>
    <w:next w:val="Kommentartext"/>
    <w:link w:val="KommentarthemaZchn"/>
    <w:uiPriority w:val="99"/>
    <w:semiHidden/>
    <w:unhideWhenUsed/>
    <w:rsid w:val="007029FA"/>
    <w:rPr>
      <w:b/>
      <w:bCs/>
    </w:rPr>
  </w:style>
  <w:style w:type="character" w:customStyle="1" w:styleId="KommentarthemaZchn">
    <w:name w:val="Kommentarthema Zchn"/>
    <w:basedOn w:val="KommentartextZchn"/>
    <w:link w:val="Kommentarthema"/>
    <w:uiPriority w:val="99"/>
    <w:semiHidden/>
    <w:rsid w:val="007029FA"/>
    <w:rPr>
      <w:rFonts w:ascii="Calibri" w:eastAsia="Times New Roman" w:hAnsi="Calibri" w:cs="Calibri"/>
      <w:b/>
      <w:bCs/>
      <w:sz w:val="20"/>
      <w:szCs w:val="20"/>
      <w:lang w:val="en-GB" w:eastAsia="ar-SA"/>
    </w:rPr>
  </w:style>
  <w:style w:type="paragraph" w:styleId="Abbildungsverzeichnis">
    <w:name w:val="table of figures"/>
    <w:basedOn w:val="Standard"/>
    <w:next w:val="Standard"/>
    <w:uiPriority w:val="99"/>
    <w:unhideWhenUsed/>
    <w:rsid w:val="0090303E"/>
    <w:pPr>
      <w:tabs>
        <w:tab w:val="left" w:pos="1134"/>
        <w:tab w:val="right" w:leader="dot" w:pos="9356"/>
      </w:tabs>
      <w:ind w:left="1134" w:hanging="1134"/>
      <w:jc w:val="left"/>
    </w:pPr>
  </w:style>
  <w:style w:type="paragraph" w:customStyle="1" w:styleId="EEAbullet0">
    <w:name w:val="EEA_bullet_0"/>
    <w:basedOn w:val="EEAbullet"/>
    <w:qFormat/>
    <w:rsid w:val="00E4724F"/>
    <w:pPr>
      <w:tabs>
        <w:tab w:val="clear" w:pos="284"/>
        <w:tab w:val="left" w:pos="397"/>
      </w:tabs>
      <w:ind w:left="397" w:hanging="397"/>
    </w:pPr>
  </w:style>
  <w:style w:type="character" w:customStyle="1" w:styleId="UnresolvedMention1">
    <w:name w:val="Unresolved Mention1"/>
    <w:basedOn w:val="Absatz-Standardschriftart"/>
    <w:uiPriority w:val="99"/>
    <w:semiHidden/>
    <w:unhideWhenUsed/>
    <w:rsid w:val="006E1C2E"/>
    <w:rPr>
      <w:color w:val="605E5C"/>
      <w:shd w:val="clear" w:color="auto" w:fill="E1DFDD"/>
    </w:rPr>
  </w:style>
  <w:style w:type="character" w:customStyle="1" w:styleId="Formatvorlageberschrift3Zchn1">
    <w:name w:val="Formatvorlage Überschrift 3 Zchn1"/>
    <w:aliases w:val="EEA Report Sub-section (heading 3) Zchn +..."/>
    <w:basedOn w:val="berschrift3Zchn1"/>
    <w:rsid w:val="0064169B"/>
    <w:rPr>
      <w:rFonts w:ascii="Calibri" w:eastAsia="Times New Roman" w:hAnsi="Calibri" w:cs="Calibri"/>
      <w:b/>
      <w:i/>
      <w:color w:val="008173"/>
      <w:szCs w:val="20"/>
      <w:lang w:val="en-GB" w:eastAsia="ar-SA"/>
    </w:rPr>
  </w:style>
  <w:style w:type="character" w:styleId="Hervorhebung">
    <w:name w:val="Emphasis"/>
    <w:basedOn w:val="Absatz-Standardschriftart"/>
    <w:uiPriority w:val="20"/>
    <w:qFormat/>
    <w:rsid w:val="001D3BF7"/>
    <w:rPr>
      <w:i/>
      <w:iCs/>
    </w:rPr>
  </w:style>
  <w:style w:type="character" w:customStyle="1" w:styleId="FootnoteTextChar1">
    <w:name w:val="Footnote Text Char1"/>
    <w:basedOn w:val="Absatz-Standardschriftart"/>
    <w:uiPriority w:val="99"/>
    <w:semiHidden/>
    <w:rsid w:val="00B93F2C"/>
    <w:rPr>
      <w:rFonts w:ascii="Calibri" w:eastAsia="Times New Roman" w:hAnsi="Calibri" w:cs="Calibri"/>
      <w:sz w:val="20"/>
      <w:szCs w:val="20"/>
      <w:lang w:val="en-GB" w:eastAsia="ar-SA"/>
    </w:rPr>
  </w:style>
  <w:style w:type="character" w:customStyle="1" w:styleId="UnresolvedMention2">
    <w:name w:val="Unresolved Mention2"/>
    <w:basedOn w:val="Absatz-Standardschriftart"/>
    <w:uiPriority w:val="99"/>
    <w:semiHidden/>
    <w:unhideWhenUsed/>
    <w:rsid w:val="00B93F2C"/>
    <w:rPr>
      <w:color w:val="605E5C"/>
      <w:shd w:val="clear" w:color="auto" w:fill="E1DFDD"/>
    </w:rPr>
  </w:style>
  <w:style w:type="paragraph" w:customStyle="1" w:styleId="FormatvorlageEEAbullet2BlockVor2PtNach4Pt">
    <w:name w:val="Formatvorlage EEA_bullet2 + Block Vor:  2 Pt. Nach:  4 Pt."/>
    <w:basedOn w:val="EEAbullet20"/>
    <w:rsid w:val="004E3982"/>
    <w:pPr>
      <w:spacing w:before="40" w:after="80"/>
      <w:jc w:val="both"/>
    </w:pPr>
    <w:rPr>
      <w:rFonts w:cs="Times New Roman"/>
    </w:rPr>
  </w:style>
  <w:style w:type="paragraph" w:customStyle="1" w:styleId="EEAbullet2left">
    <w:name w:val="EEA_bullet2_left"/>
    <w:basedOn w:val="EEAbullet20"/>
    <w:rsid w:val="004E3982"/>
    <w:pPr>
      <w:tabs>
        <w:tab w:val="left" w:pos="794"/>
      </w:tabs>
      <w:ind w:left="794" w:hanging="397"/>
    </w:pPr>
    <w:rPr>
      <w:rFonts w:cs="Times New Roman"/>
    </w:rPr>
  </w:style>
  <w:style w:type="table" w:customStyle="1" w:styleId="Kadertabel1">
    <w:name w:val="Kadertabel1"/>
    <w:basedOn w:val="NormaleTabelle"/>
    <w:next w:val="Tabellenraster"/>
    <w:uiPriority w:val="59"/>
    <w:rsid w:val="004E3982"/>
    <w:pPr>
      <w:spacing w:line="260" w:lineRule="exact"/>
    </w:pPr>
    <w:rPr>
      <w:rFonts w:ascii="Verdana" w:eastAsiaTheme="minorHAnsi" w:hAnsi="Verdana"/>
      <w:sz w:val="16"/>
      <w:szCs w:val="17"/>
      <w:lang w:val="nl-NL"/>
    </w:rPr>
    <w:tblPr>
      <w:tblCellMar>
        <w:left w:w="0" w:type="dxa"/>
        <w:right w:w="0" w:type="dxa"/>
      </w:tblCellMar>
    </w:tblPr>
    <w:tblStylePr w:type="firstRow">
      <w:pPr>
        <w:wordWrap/>
        <w:spacing w:beforeLines="0" w:before="110" w:beforeAutospacing="0" w:afterLines="0" w:after="110" w:afterAutospacing="0" w:line="220" w:lineRule="exact"/>
        <w:ind w:leftChars="0" w:left="113" w:rightChars="0" w:right="113"/>
        <w:jc w:val="left"/>
      </w:pPr>
      <w:rPr>
        <w:rFonts w:ascii="Verdana" w:hAnsi="Verdana"/>
        <w:b w:val="0"/>
        <w:color w:val="808080" w:themeColor="background1" w:themeShade="80"/>
        <w:sz w:val="14"/>
      </w:rPr>
      <w:tblPr/>
      <w:tcPr>
        <w:tcBorders>
          <w:top w:val="nil"/>
          <w:left w:val="nil"/>
          <w:bottom w:val="nil"/>
          <w:right w:val="nil"/>
          <w:insideH w:val="nil"/>
          <w:insideV w:val="nil"/>
          <w:tl2br w:val="nil"/>
          <w:tr2bl w:val="nil"/>
        </w:tcBorders>
      </w:tcPr>
    </w:tblStylePr>
    <w:tblStylePr w:type="lastRow">
      <w:pPr>
        <w:wordWrap/>
        <w:spacing w:beforeLines="110" w:before="110" w:beforeAutospacing="0" w:afterLines="110" w:after="110" w:afterAutospacing="0" w:line="220" w:lineRule="exact"/>
        <w:ind w:leftChars="0" w:left="113" w:rightChars="0" w:right="113"/>
        <w:jc w:val="left"/>
      </w:pPr>
      <w:rPr>
        <w:rFonts w:ascii="Verdana" w:hAnsi="Verdana"/>
        <w:b w:val="0"/>
      </w:rPr>
      <w:tblPr/>
      <w:tcPr>
        <w:tcBorders>
          <w:top w:val="nil"/>
        </w:tcBorders>
      </w:tcPr>
    </w:tblStylePr>
    <w:tblStylePr w:type="firstCol">
      <w:pPr>
        <w:wordWrap/>
        <w:spacing w:line="180" w:lineRule="exact"/>
        <w:jc w:val="left"/>
      </w:pPr>
    </w:tblStylePr>
  </w:style>
  <w:style w:type="paragraph" w:customStyle="1" w:styleId="EEAtableleft">
    <w:name w:val="EEA_table_left"/>
    <w:basedOn w:val="EEATable"/>
    <w:qFormat/>
    <w:rsid w:val="004E3982"/>
    <w:pPr>
      <w:spacing w:before="40" w:after="40"/>
      <w:ind w:left="0" w:firstLine="0"/>
    </w:pPr>
    <w:rPr>
      <w:rFonts w:eastAsia="Calibri"/>
      <w:b w:val="0"/>
      <w:color w:val="000000" w:themeColor="text1"/>
      <w:sz w:val="20"/>
    </w:rPr>
  </w:style>
  <w:style w:type="paragraph" w:customStyle="1" w:styleId="EEAtabbull">
    <w:name w:val="EEA_tab_bull"/>
    <w:basedOn w:val="EEAtableleft"/>
    <w:qFormat/>
    <w:rsid w:val="004E3982"/>
    <w:pPr>
      <w:numPr>
        <w:numId w:val="6"/>
      </w:numPr>
      <w:tabs>
        <w:tab w:val="clear" w:pos="1134"/>
        <w:tab w:val="left" w:pos="284"/>
      </w:tabs>
      <w:ind w:left="284" w:hanging="284"/>
    </w:pPr>
  </w:style>
  <w:style w:type="paragraph" w:customStyle="1" w:styleId="EEAtableleftbold">
    <w:name w:val="EEA_table_left_bold"/>
    <w:basedOn w:val="EEAtableleft"/>
    <w:qFormat/>
    <w:rsid w:val="004E3982"/>
    <w:rPr>
      <w:b/>
    </w:rPr>
  </w:style>
  <w:style w:type="paragraph" w:customStyle="1" w:styleId="EEATabcenter">
    <w:name w:val="EEA_Tab_center"/>
    <w:basedOn w:val="EEATabfootnote"/>
    <w:qFormat/>
    <w:rsid w:val="002E582B"/>
    <w:pPr>
      <w:ind w:left="0" w:firstLine="0"/>
      <w:jc w:val="center"/>
    </w:pPr>
  </w:style>
  <w:style w:type="paragraph" w:customStyle="1" w:styleId="EEAformula">
    <w:name w:val="EEA_formula"/>
    <w:basedOn w:val="Standard"/>
    <w:qFormat/>
    <w:rsid w:val="00325B98"/>
    <w:pPr>
      <w:jc w:val="center"/>
    </w:pPr>
    <w:rPr>
      <w:rFonts w:ascii="Times New Roman" w:hAnsi="Times New Roman"/>
      <w:i/>
      <w:sz w:val="28"/>
    </w:rPr>
  </w:style>
  <w:style w:type="paragraph" w:customStyle="1" w:styleId="EEATabboldcenter">
    <w:name w:val="EEA_Tab_bold_center"/>
    <w:basedOn w:val="EEATabbold"/>
    <w:qFormat/>
    <w:rsid w:val="0020636B"/>
    <w:pPr>
      <w:jc w:val="center"/>
    </w:pPr>
    <w:rPr>
      <w:bCs/>
      <w:szCs w:val="22"/>
      <w:lang w:val="de-AT" w:eastAsia="de-AT"/>
    </w:rPr>
  </w:style>
  <w:style w:type="paragraph" w:customStyle="1" w:styleId="EEATabboldcenterneu">
    <w:name w:val="EEA_Tab_bold_center_neu"/>
    <w:basedOn w:val="EEATabboldcenter"/>
    <w:rsid w:val="00995008"/>
    <w:rPr>
      <w:bCs w:val="0"/>
      <w:lang w:val="en-GB"/>
    </w:rPr>
  </w:style>
  <w:style w:type="paragraph" w:customStyle="1" w:styleId="EEAtableright">
    <w:name w:val="EEA_table_right"/>
    <w:basedOn w:val="EEATabfootnote"/>
    <w:qFormat/>
    <w:rsid w:val="002E582B"/>
    <w:pPr>
      <w:ind w:left="0" w:right="227" w:firstLine="0"/>
      <w:jc w:val="right"/>
    </w:pPr>
  </w:style>
  <w:style w:type="paragraph" w:customStyle="1" w:styleId="EEAStandardbold">
    <w:name w:val="EEA_Standard_bold"/>
    <w:basedOn w:val="Standard"/>
    <w:qFormat/>
    <w:rsid w:val="000755DE"/>
    <w:rPr>
      <w:b/>
    </w:rPr>
  </w:style>
  <w:style w:type="paragraph" w:customStyle="1" w:styleId="EEAStandardindent07">
    <w:name w:val="EEA_Standard_indent_07"/>
    <w:basedOn w:val="Standard"/>
    <w:qFormat/>
    <w:rsid w:val="00F35F4C"/>
    <w:pPr>
      <w:ind w:left="397"/>
    </w:pPr>
  </w:style>
  <w:style w:type="table" w:styleId="TabellemithellemGitternetz">
    <w:name w:val="Grid Table Light"/>
    <w:basedOn w:val="NormaleTabelle"/>
    <w:uiPriority w:val="40"/>
    <w:rsid w:val="00011F45"/>
    <w:rPr>
      <w:rFonts w:ascii="Verdana" w:eastAsiaTheme="minorHAnsi" w:hAnsi="Verdana"/>
      <w:sz w:val="17"/>
      <w:szCs w:val="22"/>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EAStandardleft">
    <w:name w:val="EEA_Standard_left"/>
    <w:basedOn w:val="Standard"/>
    <w:qFormat/>
    <w:rsid w:val="002C3700"/>
    <w:pPr>
      <w:jc w:val="left"/>
    </w:pPr>
    <w:rPr>
      <w:lang w:eastAsia="pt-PT"/>
    </w:rPr>
  </w:style>
  <w:style w:type="paragraph" w:customStyle="1" w:styleId="EEATabcenterbold">
    <w:name w:val="EEA_Tab_center_bold"/>
    <w:basedOn w:val="EEATabcenter"/>
    <w:qFormat/>
    <w:rsid w:val="002E582B"/>
    <w:rPr>
      <w:b/>
      <w:color w:val="000000"/>
      <w:szCs w:val="22"/>
      <w:lang w:eastAsia="de-AT"/>
    </w:rPr>
  </w:style>
  <w:style w:type="paragraph" w:customStyle="1" w:styleId="Formatvorlageberschrift3">
    <w:name w:val="Formatvorlage Überschrift 3"/>
    <w:aliases w:val="EEA Report Sub-section (heading 3) + +Textkörpe..."/>
    <w:basedOn w:val="berschrift3"/>
    <w:rsid w:val="00C24D95"/>
    <w:pPr>
      <w:ind w:left="709" w:hanging="709"/>
    </w:pPr>
    <w:rPr>
      <w:bCs w:val="0"/>
      <w:iCs/>
    </w:rPr>
  </w:style>
  <w:style w:type="paragraph" w:customStyle="1" w:styleId="EEAFigNote">
    <w:name w:val="EEA_Fig_Note"/>
    <w:basedOn w:val="EEALabel"/>
    <w:qFormat/>
    <w:rsid w:val="005B4D78"/>
    <w:pPr>
      <w:ind w:firstLine="0"/>
    </w:pPr>
    <w:rPr>
      <w:b w:val="0"/>
      <w:sz w:val="20"/>
    </w:rPr>
  </w:style>
  <w:style w:type="paragraph" w:customStyle="1" w:styleId="EEA-Standardindent3cm">
    <w:name w:val="EEA-Standard_indent_3cm"/>
    <w:basedOn w:val="EEAStandardindent07"/>
    <w:qFormat/>
    <w:rsid w:val="00776F43"/>
    <w:pPr>
      <w:ind w:left="1701"/>
    </w:pPr>
  </w:style>
  <w:style w:type="paragraph" w:styleId="KeinLeerraum">
    <w:name w:val="No Spacing"/>
    <w:aliases w:val="图、表头"/>
    <w:uiPriority w:val="1"/>
    <w:qFormat/>
    <w:rsid w:val="00861B19"/>
    <w:pPr>
      <w:widowControl w:val="0"/>
      <w:spacing w:line="480" w:lineRule="auto"/>
      <w:jc w:val="both"/>
    </w:pPr>
    <w:rPr>
      <w:rFonts w:ascii="Times New Roman" w:eastAsia="Times New Roman" w:hAnsi="Times New Roman" w:cs="Times New Roman"/>
      <w:kern w:val="2"/>
      <w:szCs w:val="22"/>
      <w:lang w:eastAsia="zh-CN"/>
    </w:rPr>
  </w:style>
  <w:style w:type="paragraph" w:customStyle="1" w:styleId="xeealiterature">
    <w:name w:val="x_eealiterature"/>
    <w:basedOn w:val="Standard"/>
    <w:rsid w:val="001C0647"/>
    <w:pPr>
      <w:suppressAutoHyphens w:val="0"/>
      <w:jc w:val="left"/>
    </w:pPr>
    <w:rPr>
      <w:rFonts w:ascii="Times New Roman" w:eastAsiaTheme="minorHAnsi" w:hAnsi="Times New Roman" w:cs="Times New Roman"/>
      <w:sz w:val="24"/>
      <w:szCs w:val="24"/>
      <w:lang w:val="de-AT" w:eastAsia="de-AT"/>
    </w:rPr>
  </w:style>
  <w:style w:type="paragraph" w:customStyle="1" w:styleId="Default">
    <w:name w:val="Default"/>
    <w:rsid w:val="007B2272"/>
    <w:pPr>
      <w:autoSpaceDE w:val="0"/>
      <w:autoSpaceDN w:val="0"/>
      <w:adjustRightInd w:val="0"/>
    </w:pPr>
    <w:rPr>
      <w:rFonts w:ascii="Verdana" w:hAnsi="Verdana" w:cs="Verdana"/>
      <w:color w:val="000000"/>
      <w:lang w:val="nl-NL"/>
    </w:rPr>
  </w:style>
  <w:style w:type="character" w:customStyle="1" w:styleId="UnresolvedMention3">
    <w:name w:val="Unresolved Mention3"/>
    <w:basedOn w:val="Absatz-Standardschriftart"/>
    <w:uiPriority w:val="99"/>
    <w:semiHidden/>
    <w:unhideWhenUsed/>
    <w:rsid w:val="002B2D56"/>
    <w:rPr>
      <w:color w:val="605E5C"/>
      <w:shd w:val="clear" w:color="auto" w:fill="E1DFDD"/>
    </w:rPr>
  </w:style>
  <w:style w:type="character" w:customStyle="1" w:styleId="Onopgelostemelding1">
    <w:name w:val="Onopgeloste melding1"/>
    <w:basedOn w:val="Absatz-Standardschriftart"/>
    <w:uiPriority w:val="99"/>
    <w:semiHidden/>
    <w:unhideWhenUsed/>
    <w:rsid w:val="00EE6B3D"/>
    <w:rPr>
      <w:color w:val="605E5C"/>
      <w:shd w:val="clear" w:color="auto" w:fill="E1DFDD"/>
    </w:rPr>
  </w:style>
  <w:style w:type="paragraph" w:styleId="berarbeitung">
    <w:name w:val="Revision"/>
    <w:hidden/>
    <w:uiPriority w:val="99"/>
    <w:semiHidden/>
    <w:rsid w:val="00EE6B3D"/>
    <w:rPr>
      <w:rFonts w:ascii="Calibri" w:eastAsia="Times New Roman" w:hAnsi="Calibri" w:cs="Calibri"/>
      <w:sz w:val="22"/>
      <w:szCs w:val="20"/>
      <w:lang w:val="en-GB" w:eastAsia="ar-SA"/>
    </w:rPr>
  </w:style>
  <w:style w:type="paragraph" w:customStyle="1" w:styleId="relations">
    <w:name w:val="relations"/>
    <w:basedOn w:val="Standard"/>
    <w:rsid w:val="00EE6B3D"/>
    <w:pPr>
      <w:suppressAutoHyphens w:val="0"/>
      <w:spacing w:before="100" w:beforeAutospacing="1" w:after="100" w:afterAutospacing="1"/>
      <w:jc w:val="left"/>
    </w:pPr>
    <w:rPr>
      <w:rFonts w:ascii="Times New Roman" w:hAnsi="Times New Roman" w:cs="Times New Roman"/>
      <w:sz w:val="24"/>
      <w:szCs w:val="24"/>
      <w:lang w:val="nl-NL" w:eastAsia="nl-NL"/>
    </w:rPr>
  </w:style>
  <w:style w:type="character" w:customStyle="1" w:styleId="UnresolvedMention30">
    <w:name w:val="Unresolved Mention3"/>
    <w:basedOn w:val="Absatz-Standardschriftart"/>
    <w:uiPriority w:val="99"/>
    <w:semiHidden/>
    <w:unhideWhenUsed/>
    <w:rsid w:val="000A1527"/>
    <w:rPr>
      <w:color w:val="605E5C"/>
      <w:shd w:val="clear" w:color="auto" w:fill="E1DFDD"/>
    </w:rPr>
  </w:style>
  <w:style w:type="character" w:customStyle="1" w:styleId="UnresolvedMention4">
    <w:name w:val="Unresolved Mention4"/>
    <w:basedOn w:val="Absatz-Standardschriftart"/>
    <w:uiPriority w:val="99"/>
    <w:semiHidden/>
    <w:unhideWhenUsed/>
    <w:rsid w:val="000A1527"/>
    <w:rPr>
      <w:color w:val="605E5C"/>
      <w:shd w:val="clear" w:color="auto" w:fill="E1DFDD"/>
    </w:rPr>
  </w:style>
  <w:style w:type="table" w:customStyle="1" w:styleId="TableGrid1">
    <w:name w:val="Table Grid1"/>
    <w:basedOn w:val="NormaleTabelle"/>
    <w:next w:val="Tabellenraster"/>
    <w:rsid w:val="000A1527"/>
    <w:rPr>
      <w:rFonts w:eastAsia="Helvetica"/>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erzeichnis4">
    <w:name w:val="toc 4"/>
    <w:basedOn w:val="Standard"/>
    <w:next w:val="Standard"/>
    <w:autoRedefine/>
    <w:uiPriority w:val="39"/>
    <w:unhideWhenUsed/>
    <w:rsid w:val="000A1527"/>
    <w:pPr>
      <w:suppressAutoHyphens w:val="0"/>
      <w:spacing w:after="100" w:line="259" w:lineRule="auto"/>
      <w:ind w:left="660"/>
      <w:jc w:val="left"/>
    </w:pPr>
    <w:rPr>
      <w:rFonts w:asciiTheme="minorHAnsi" w:eastAsiaTheme="minorEastAsia" w:hAnsiTheme="minorHAnsi" w:cstheme="minorBidi"/>
      <w:szCs w:val="22"/>
    </w:rPr>
  </w:style>
  <w:style w:type="paragraph" w:styleId="Verzeichnis5">
    <w:name w:val="toc 5"/>
    <w:basedOn w:val="Standard"/>
    <w:next w:val="Standard"/>
    <w:autoRedefine/>
    <w:uiPriority w:val="39"/>
    <w:unhideWhenUsed/>
    <w:rsid w:val="000A1527"/>
    <w:pPr>
      <w:suppressAutoHyphens w:val="0"/>
      <w:spacing w:after="100" w:line="259" w:lineRule="auto"/>
      <w:ind w:left="880"/>
      <w:jc w:val="left"/>
    </w:pPr>
    <w:rPr>
      <w:rFonts w:asciiTheme="minorHAnsi" w:eastAsiaTheme="minorEastAsia" w:hAnsiTheme="minorHAnsi" w:cstheme="minorBidi"/>
      <w:szCs w:val="22"/>
    </w:rPr>
  </w:style>
  <w:style w:type="paragraph" w:styleId="Verzeichnis6">
    <w:name w:val="toc 6"/>
    <w:basedOn w:val="Standard"/>
    <w:next w:val="Standard"/>
    <w:autoRedefine/>
    <w:uiPriority w:val="39"/>
    <w:unhideWhenUsed/>
    <w:rsid w:val="000A1527"/>
    <w:pPr>
      <w:suppressAutoHyphens w:val="0"/>
      <w:spacing w:after="100" w:line="259" w:lineRule="auto"/>
      <w:ind w:left="1100"/>
      <w:jc w:val="left"/>
    </w:pPr>
    <w:rPr>
      <w:rFonts w:asciiTheme="minorHAnsi" w:eastAsiaTheme="minorEastAsia" w:hAnsiTheme="minorHAnsi" w:cstheme="minorBidi"/>
      <w:szCs w:val="22"/>
    </w:rPr>
  </w:style>
  <w:style w:type="paragraph" w:styleId="Verzeichnis7">
    <w:name w:val="toc 7"/>
    <w:basedOn w:val="Standard"/>
    <w:next w:val="Standard"/>
    <w:autoRedefine/>
    <w:uiPriority w:val="39"/>
    <w:unhideWhenUsed/>
    <w:rsid w:val="000A1527"/>
    <w:pPr>
      <w:suppressAutoHyphens w:val="0"/>
      <w:spacing w:after="100" w:line="259" w:lineRule="auto"/>
      <w:ind w:left="1320"/>
      <w:jc w:val="left"/>
    </w:pPr>
    <w:rPr>
      <w:rFonts w:asciiTheme="minorHAnsi" w:eastAsiaTheme="minorEastAsia" w:hAnsiTheme="minorHAnsi" w:cstheme="minorBidi"/>
      <w:szCs w:val="22"/>
    </w:rPr>
  </w:style>
  <w:style w:type="paragraph" w:styleId="Verzeichnis8">
    <w:name w:val="toc 8"/>
    <w:basedOn w:val="Standard"/>
    <w:next w:val="Standard"/>
    <w:autoRedefine/>
    <w:uiPriority w:val="39"/>
    <w:unhideWhenUsed/>
    <w:rsid w:val="000A1527"/>
    <w:pPr>
      <w:suppressAutoHyphens w:val="0"/>
      <w:spacing w:after="100" w:line="259" w:lineRule="auto"/>
      <w:ind w:left="1540"/>
      <w:jc w:val="left"/>
    </w:pPr>
    <w:rPr>
      <w:rFonts w:asciiTheme="minorHAnsi" w:eastAsiaTheme="minorEastAsia" w:hAnsiTheme="minorHAnsi" w:cstheme="minorBidi"/>
      <w:szCs w:val="22"/>
    </w:rPr>
  </w:style>
  <w:style w:type="paragraph" w:styleId="Verzeichnis9">
    <w:name w:val="toc 9"/>
    <w:basedOn w:val="Standard"/>
    <w:next w:val="Standard"/>
    <w:autoRedefine/>
    <w:uiPriority w:val="39"/>
    <w:unhideWhenUsed/>
    <w:rsid w:val="000A1527"/>
    <w:pPr>
      <w:suppressAutoHyphens w:val="0"/>
      <w:spacing w:after="100" w:line="259" w:lineRule="auto"/>
      <w:ind w:left="1760"/>
      <w:jc w:val="left"/>
    </w:pPr>
    <w:rPr>
      <w:rFonts w:asciiTheme="minorHAnsi" w:eastAsiaTheme="minorEastAsia" w:hAnsiTheme="minorHAnsi" w:cstheme="minorBidi"/>
      <w:szCs w:val="22"/>
    </w:rPr>
  </w:style>
  <w:style w:type="character" w:customStyle="1" w:styleId="Onopgelostemelding2">
    <w:name w:val="Onopgeloste melding2"/>
    <w:basedOn w:val="Absatz-Standardschriftart"/>
    <w:uiPriority w:val="99"/>
    <w:semiHidden/>
    <w:unhideWhenUsed/>
    <w:rsid w:val="00A13FA7"/>
    <w:rPr>
      <w:color w:val="605E5C"/>
      <w:shd w:val="clear" w:color="auto" w:fill="E1DFDD"/>
    </w:rPr>
  </w:style>
  <w:style w:type="paragraph" w:customStyle="1" w:styleId="Acknowledgement">
    <w:name w:val="Acknowledgement"/>
    <w:basedOn w:val="Standard"/>
    <w:rsid w:val="00A13FA7"/>
    <w:pPr>
      <w:suppressAutoHyphens w:val="0"/>
      <w:spacing w:before="120"/>
      <w:ind w:left="720" w:hanging="720"/>
      <w:jc w:val="left"/>
    </w:pPr>
    <w:rPr>
      <w:rFonts w:ascii="Times New Roman" w:hAnsi="Times New Roman" w:cs="Times New Roman"/>
      <w:sz w:val="24"/>
      <w:szCs w:val="24"/>
      <w:lang w:val="en-US" w:eastAsia="en-US"/>
    </w:rPr>
  </w:style>
  <w:style w:type="paragraph" w:customStyle="1" w:styleId="EndNoteBibliographyTitle">
    <w:name w:val="EndNote Bibliography Title"/>
    <w:basedOn w:val="Standard"/>
    <w:link w:val="EndNoteBibliographyTitleChar"/>
    <w:rsid w:val="00A13FA7"/>
    <w:pPr>
      <w:jc w:val="center"/>
    </w:pPr>
    <w:rPr>
      <w:noProof/>
      <w:color w:val="008173"/>
    </w:rPr>
  </w:style>
  <w:style w:type="character" w:customStyle="1" w:styleId="EndNoteBibliographyTitleChar">
    <w:name w:val="EndNote Bibliography Title Char"/>
    <w:basedOn w:val="berschrift2Zchn"/>
    <w:link w:val="EndNoteBibliographyTitle"/>
    <w:rsid w:val="00A13FA7"/>
    <w:rPr>
      <w:rFonts w:ascii="Calibri" w:eastAsia="Times New Roman" w:hAnsi="Calibri" w:cs="Calibri"/>
      <w:b/>
      <w:bCs w:val="0"/>
      <w:noProof/>
      <w:color w:val="008173"/>
      <w:sz w:val="22"/>
      <w:szCs w:val="20"/>
      <w:lang w:val="en-GB" w:eastAsia="ar-SA"/>
    </w:rPr>
  </w:style>
  <w:style w:type="paragraph" w:customStyle="1" w:styleId="EndNoteBibliography">
    <w:name w:val="EndNote Bibliography"/>
    <w:basedOn w:val="Standard"/>
    <w:link w:val="EndNoteBibliographyChar"/>
    <w:rsid w:val="00A13FA7"/>
    <w:pPr>
      <w:jc w:val="left"/>
    </w:pPr>
    <w:rPr>
      <w:noProof/>
      <w:color w:val="008173"/>
    </w:rPr>
  </w:style>
  <w:style w:type="character" w:customStyle="1" w:styleId="EndNoteBibliographyChar">
    <w:name w:val="EndNote Bibliography Char"/>
    <w:basedOn w:val="berschrift2Zchn"/>
    <w:link w:val="EndNoteBibliography"/>
    <w:rsid w:val="00A13FA7"/>
    <w:rPr>
      <w:rFonts w:ascii="Calibri" w:eastAsia="Times New Roman" w:hAnsi="Calibri" w:cs="Calibri"/>
      <w:b/>
      <w:bCs w:val="0"/>
      <w:noProof/>
      <w:color w:val="008173"/>
      <w:sz w:val="22"/>
      <w:szCs w:val="20"/>
      <w:lang w:val="en-GB" w:eastAsia="ar-SA"/>
    </w:rPr>
  </w:style>
  <w:style w:type="character" w:customStyle="1" w:styleId="personname">
    <w:name w:val="person_name"/>
    <w:basedOn w:val="Absatz-Standardschriftart"/>
    <w:rsid w:val="00A13FA7"/>
  </w:style>
  <w:style w:type="paragraph" w:customStyle="1" w:styleId="formulenr">
    <w:name w:val="formulenr"/>
    <w:basedOn w:val="Standard"/>
    <w:rsid w:val="00A13FA7"/>
    <w:pPr>
      <w:tabs>
        <w:tab w:val="right" w:pos="9072"/>
      </w:tabs>
      <w:spacing w:line="480" w:lineRule="auto"/>
      <w:jc w:val="left"/>
    </w:pPr>
    <w:rPr>
      <w:rFonts w:ascii="Times New Roman" w:hAnsi="Times New Roman" w:cs="Times New Roman"/>
      <w:sz w:val="23"/>
      <w:lang w:eastAsia="en-US"/>
    </w:rPr>
  </w:style>
  <w:style w:type="character" w:customStyle="1" w:styleId="inlineblock">
    <w:name w:val="inlineblock"/>
    <w:basedOn w:val="Absatz-Standardschriftart"/>
    <w:rsid w:val="00BB0FE3"/>
  </w:style>
  <w:style w:type="character" w:customStyle="1" w:styleId="sciprofiles-link">
    <w:name w:val="sciprofiles-link"/>
    <w:basedOn w:val="Absatz-Standardschriftart"/>
    <w:rsid w:val="00BB0FE3"/>
  </w:style>
  <w:style w:type="paragraph" w:customStyle="1" w:styleId="FigureCaption">
    <w:name w:val="Figure Caption"/>
    <w:basedOn w:val="Standard"/>
    <w:link w:val="FigureCaptionZchn"/>
    <w:qFormat/>
    <w:rsid w:val="00BB0FE3"/>
    <w:pPr>
      <w:suppressAutoHyphens w:val="0"/>
      <w:spacing w:after="120"/>
    </w:pPr>
    <w:rPr>
      <w:rFonts w:ascii="Arial" w:eastAsiaTheme="minorHAnsi" w:hAnsi="Arial" w:cstheme="minorBidi"/>
      <w:i/>
      <w:sz w:val="20"/>
      <w:szCs w:val="22"/>
      <w:lang w:val="en-US" w:eastAsia="en-US"/>
    </w:rPr>
  </w:style>
  <w:style w:type="character" w:customStyle="1" w:styleId="FigureCaptionZchn">
    <w:name w:val="Figure Caption Zchn"/>
    <w:basedOn w:val="Absatz-Standardschriftart"/>
    <w:link w:val="FigureCaption"/>
    <w:rsid w:val="00BB0FE3"/>
    <w:rPr>
      <w:rFonts w:ascii="Arial" w:eastAsiaTheme="minorHAnsi" w:hAnsi="Arial"/>
      <w:i/>
      <w:sz w:val="20"/>
      <w:szCs w:val="22"/>
    </w:rPr>
  </w:style>
  <w:style w:type="paragraph" w:styleId="Titel">
    <w:name w:val="Title"/>
    <w:basedOn w:val="Standard"/>
    <w:next w:val="Standard"/>
    <w:link w:val="TitelZchn"/>
    <w:uiPriority w:val="10"/>
    <w:qFormat/>
    <w:rsid w:val="00BB0FE3"/>
    <w:pPr>
      <w:suppressAutoHyphens w:val="0"/>
      <w:contextualSpacing/>
      <w:jc w:val="center"/>
    </w:pPr>
    <w:rPr>
      <w:rFonts w:asciiTheme="majorHAnsi" w:eastAsiaTheme="majorEastAsia" w:hAnsiTheme="majorHAnsi" w:cstheme="majorBidi"/>
      <w:spacing w:val="-10"/>
      <w:kern w:val="28"/>
      <w:sz w:val="40"/>
      <w:szCs w:val="56"/>
      <w:lang w:eastAsia="en-US"/>
    </w:rPr>
  </w:style>
  <w:style w:type="character" w:customStyle="1" w:styleId="TitelZchn">
    <w:name w:val="Titel Zchn"/>
    <w:basedOn w:val="Absatz-Standardschriftart"/>
    <w:link w:val="Titel"/>
    <w:uiPriority w:val="10"/>
    <w:rsid w:val="00BB0FE3"/>
    <w:rPr>
      <w:rFonts w:asciiTheme="majorHAnsi" w:eastAsiaTheme="majorEastAsia" w:hAnsiTheme="majorHAnsi" w:cstheme="majorBidi"/>
      <w:spacing w:val="-10"/>
      <w:kern w:val="28"/>
      <w:sz w:val="40"/>
      <w:szCs w:val="56"/>
      <w:lang w:val="en-GB"/>
    </w:rPr>
  </w:style>
  <w:style w:type="character" w:customStyle="1" w:styleId="label">
    <w:name w:val="label"/>
    <w:basedOn w:val="Absatz-Standardschriftart"/>
    <w:rsid w:val="00BB0FE3"/>
  </w:style>
  <w:style w:type="paragraph" w:styleId="NurText">
    <w:name w:val="Plain Text"/>
    <w:basedOn w:val="Standard"/>
    <w:link w:val="NurTextZchn"/>
    <w:rsid w:val="00BB0FE3"/>
    <w:pPr>
      <w:suppressAutoHyphens w:val="0"/>
      <w:jc w:val="left"/>
    </w:pPr>
    <w:rPr>
      <w:rFonts w:ascii="Courier New" w:hAnsi="Courier New" w:cs="Times New Roman"/>
      <w:sz w:val="20"/>
      <w:lang w:val="nl-NL" w:eastAsia="nl-NL"/>
    </w:rPr>
  </w:style>
  <w:style w:type="character" w:customStyle="1" w:styleId="NurTextZchn">
    <w:name w:val="Nur Text Zchn"/>
    <w:basedOn w:val="Absatz-Standardschriftart"/>
    <w:link w:val="NurText"/>
    <w:rsid w:val="00BB0FE3"/>
    <w:rPr>
      <w:rFonts w:ascii="Courier New" w:eastAsia="Times New Roman" w:hAnsi="Courier New" w:cs="Times New Roman"/>
      <w:sz w:val="20"/>
      <w:szCs w:val="20"/>
      <w:lang w:val="nl-NL" w:eastAsia="nl-NL"/>
    </w:rPr>
  </w:style>
  <w:style w:type="paragraph" w:customStyle="1" w:styleId="Pa6">
    <w:name w:val="Pa6"/>
    <w:basedOn w:val="Default"/>
    <w:next w:val="Default"/>
    <w:uiPriority w:val="99"/>
    <w:rsid w:val="00BB0FE3"/>
    <w:pPr>
      <w:spacing w:line="191" w:lineRule="atLeast"/>
    </w:pPr>
    <w:rPr>
      <w:rFonts w:ascii="Frutiger 45 Light" w:hAnsi="Frutiger 45 Light" w:cstheme="minorBidi"/>
      <w:color w:val="auto"/>
    </w:rPr>
  </w:style>
  <w:style w:type="paragraph" w:customStyle="1" w:styleId="Text">
    <w:name w:val="Text"/>
    <w:basedOn w:val="Standard"/>
    <w:link w:val="TextZchn"/>
    <w:qFormat/>
    <w:rsid w:val="00BB0FE3"/>
    <w:pPr>
      <w:suppressAutoHyphens w:val="0"/>
      <w:spacing w:line="264" w:lineRule="auto"/>
      <w:jc w:val="left"/>
    </w:pPr>
    <w:rPr>
      <w:rFonts w:cs="Times New Roman"/>
      <w:sz w:val="24"/>
      <w:szCs w:val="24"/>
      <w:lang w:val="de-DE" w:eastAsia="en-US"/>
    </w:rPr>
  </w:style>
  <w:style w:type="character" w:customStyle="1" w:styleId="TextZchn">
    <w:name w:val="Text Zchn"/>
    <w:link w:val="Text"/>
    <w:locked/>
    <w:rsid w:val="00BB0FE3"/>
    <w:rPr>
      <w:rFonts w:ascii="Calibri" w:eastAsia="Times New Roman" w:hAnsi="Calibri" w:cs="Times New Roman"/>
      <w:lang w:val="de-DE"/>
    </w:rPr>
  </w:style>
  <w:style w:type="character" w:customStyle="1" w:styleId="figurelink">
    <w:name w:val="figurelink"/>
    <w:basedOn w:val="Absatz-Standardschriftart"/>
    <w:rsid w:val="00BB0FE3"/>
  </w:style>
  <w:style w:type="table" w:customStyle="1" w:styleId="TableGridLight1">
    <w:name w:val="Table Grid Light1"/>
    <w:basedOn w:val="NormaleTabelle"/>
    <w:uiPriority w:val="40"/>
    <w:rsid w:val="00F13FC8"/>
    <w:rPr>
      <w:rFonts w:ascii="Verdana" w:eastAsiaTheme="minorHAnsi" w:hAnsi="Verdana"/>
      <w:sz w:val="17"/>
      <w:szCs w:val="22"/>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uteurs-Contact">
    <w:name w:val="Auteurs-Contact"/>
    <w:basedOn w:val="Standard"/>
    <w:rsid w:val="009E645B"/>
    <w:pPr>
      <w:framePr w:w="7371" w:h="1701" w:wrap="around" w:hAnchor="margin" w:y="5104"/>
      <w:suppressAutoHyphens w:val="0"/>
      <w:spacing w:line="255" w:lineRule="atLeast"/>
      <w:jc w:val="left"/>
    </w:pPr>
    <w:rPr>
      <w:rFonts w:ascii="Times New Roman" w:hAnsi="Times New Roman" w:cs="Times New Roman"/>
      <w:sz w:val="21"/>
      <w:lang w:eastAsia="en-US"/>
    </w:rPr>
  </w:style>
  <w:style w:type="paragraph" w:customStyle="1" w:styleId="ReportTitle">
    <w:name w:val="ReportTitle"/>
    <w:basedOn w:val="Standard"/>
    <w:next w:val="Standard"/>
    <w:rsid w:val="00966090"/>
    <w:pPr>
      <w:suppressAutoHyphens w:val="0"/>
      <w:jc w:val="left"/>
    </w:pPr>
    <w:rPr>
      <w:rFonts w:ascii="Times New Roman" w:hAnsi="Times New Roman" w:cs="Times New Roman"/>
      <w:b/>
      <w:sz w:val="36"/>
      <w:lang w:eastAsia="en-US"/>
    </w:rPr>
  </w:style>
  <w:style w:type="character" w:customStyle="1" w:styleId="ff3">
    <w:name w:val="ff3"/>
    <w:basedOn w:val="Absatz-Standardschriftart"/>
    <w:rsid w:val="00A34CB9"/>
  </w:style>
  <w:style w:type="character" w:customStyle="1" w:styleId="ff8">
    <w:name w:val="ff8"/>
    <w:basedOn w:val="Absatz-Standardschriftart"/>
    <w:rsid w:val="00A34CB9"/>
  </w:style>
  <w:style w:type="paragraph" w:customStyle="1" w:styleId="FormatvorlageEEATabfootnoteLinks0cmErsteZeile0cm">
    <w:name w:val="Formatvorlage EEA_Tab_footnote + Links:  0 cm Erste Zeile:  0 cm"/>
    <w:basedOn w:val="EEATabfootnote"/>
    <w:rsid w:val="00C36DBE"/>
    <w:pPr>
      <w:ind w:hanging="851"/>
    </w:pPr>
    <w:rPr>
      <w:rFonts w:eastAsia="Times New Roman" w:cs="Times New Roman"/>
    </w:rPr>
  </w:style>
  <w:style w:type="paragraph" w:customStyle="1" w:styleId="EEAbullet1">
    <w:name w:val="EEA_bullet_1"/>
    <w:basedOn w:val="EEAbullet0"/>
    <w:qFormat/>
    <w:rsid w:val="00AA0AA8"/>
    <w:pPr>
      <w:numPr>
        <w:numId w:val="10"/>
      </w:numPr>
      <w:tabs>
        <w:tab w:val="clear" w:pos="397"/>
        <w:tab w:val="left" w:pos="794"/>
      </w:tabs>
      <w:ind w:left="794" w:hanging="397"/>
    </w:pPr>
  </w:style>
  <w:style w:type="character" w:customStyle="1" w:styleId="FormatvorlageFormatvorlageberschrift3Zchn1">
    <w:name w:val="Formatvorlage Formatvorlage Überschrift 3 Zchn1"/>
    <w:aliases w:val="EEA Report Sub-section (hea..."/>
    <w:basedOn w:val="Formatvorlageberschrift3Zchn1"/>
    <w:rsid w:val="009D5972"/>
    <w:rPr>
      <w:rFonts w:ascii="Calibri" w:eastAsia="Times New Roman" w:hAnsi="Calibri" w:cs="Calibri"/>
      <w:b/>
      <w:bCs/>
      <w:i/>
      <w:iCs/>
      <w:color w:val="008173"/>
      <w:sz w:val="22"/>
      <w:szCs w:val="20"/>
      <w:lang w:val="en-GB" w:eastAsia="ar-SA"/>
    </w:rPr>
  </w:style>
  <w:style w:type="paragraph" w:customStyle="1" w:styleId="EEAStandardindent14">
    <w:name w:val="EEA_Standard_indent_14"/>
    <w:basedOn w:val="EEAStandardindent07"/>
    <w:qFormat/>
    <w:rsid w:val="008D10A4"/>
    <w:pPr>
      <w:ind w:left="794"/>
    </w:pPr>
  </w:style>
  <w:style w:type="character" w:customStyle="1" w:styleId="UnresolvedMention5">
    <w:name w:val="Unresolved Mention5"/>
    <w:basedOn w:val="Absatz-Standardschriftart"/>
    <w:uiPriority w:val="99"/>
    <w:semiHidden/>
    <w:unhideWhenUsed/>
    <w:rsid w:val="003D476B"/>
    <w:rPr>
      <w:color w:val="605E5C"/>
      <w:shd w:val="clear" w:color="auto" w:fill="E1DFDD"/>
    </w:rPr>
  </w:style>
  <w:style w:type="character" w:customStyle="1" w:styleId="hgkelc">
    <w:name w:val="hgkelc"/>
    <w:basedOn w:val="Absatz-Standardschriftart"/>
    <w:rsid w:val="00D35E90"/>
  </w:style>
  <w:style w:type="character" w:customStyle="1" w:styleId="acopre">
    <w:name w:val="acopre"/>
    <w:basedOn w:val="Absatz-Standardschriftart"/>
    <w:rsid w:val="00D35E90"/>
  </w:style>
  <w:style w:type="paragraph" w:customStyle="1" w:styleId="EEAbullet2">
    <w:name w:val="EEA_bullet_2"/>
    <w:basedOn w:val="EEAbullet1"/>
    <w:qFormat/>
    <w:rsid w:val="008F3498"/>
    <w:pPr>
      <w:numPr>
        <w:numId w:val="12"/>
      </w:numPr>
      <w:tabs>
        <w:tab w:val="clear" w:pos="794"/>
      </w:tabs>
      <w:ind w:hanging="266"/>
    </w:pPr>
  </w:style>
  <w:style w:type="paragraph" w:customStyle="1" w:styleId="FormatvorlageBeschriftung">
    <w:name w:val="Formatvorlage Beschriftung"/>
    <w:aliases w:val="EEA Report Caption + 11 Pt. Fett Nicht Kursiv..."/>
    <w:basedOn w:val="Beschriftung"/>
    <w:rsid w:val="008F3498"/>
    <w:pPr>
      <w:pBdr>
        <w:top w:val="single" w:sz="4" w:space="1" w:color="auto"/>
        <w:bottom w:val="single" w:sz="4" w:space="1" w:color="auto"/>
      </w:pBdr>
      <w:ind w:left="1276" w:hanging="1276"/>
    </w:pPr>
    <w:rPr>
      <w:rFonts w:eastAsia="Times New Roman"/>
      <w:b/>
      <w:bCs/>
      <w:i w:val="0"/>
      <w:iCs w:val="0"/>
      <w:color w:val="000000" w:themeColor="text1"/>
      <w:sz w:val="22"/>
      <w:szCs w:val="20"/>
    </w:rPr>
  </w:style>
  <w:style w:type="character" w:customStyle="1" w:styleId="UnresolvedMention">
    <w:name w:val="Unresolved Mention"/>
    <w:basedOn w:val="Absatz-Standardschriftart"/>
    <w:uiPriority w:val="99"/>
    <w:semiHidden/>
    <w:unhideWhenUsed/>
    <w:rsid w:val="00B43E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2457">
      <w:bodyDiv w:val="1"/>
      <w:marLeft w:val="0"/>
      <w:marRight w:val="0"/>
      <w:marTop w:val="0"/>
      <w:marBottom w:val="0"/>
      <w:divBdr>
        <w:top w:val="none" w:sz="0" w:space="0" w:color="auto"/>
        <w:left w:val="none" w:sz="0" w:space="0" w:color="auto"/>
        <w:bottom w:val="none" w:sz="0" w:space="0" w:color="auto"/>
        <w:right w:val="none" w:sz="0" w:space="0" w:color="auto"/>
      </w:divBdr>
      <w:divsChild>
        <w:div w:id="180705563">
          <w:marLeft w:val="0"/>
          <w:marRight w:val="0"/>
          <w:marTop w:val="0"/>
          <w:marBottom w:val="0"/>
          <w:divBdr>
            <w:top w:val="none" w:sz="0" w:space="0" w:color="auto"/>
            <w:left w:val="single" w:sz="6" w:space="0" w:color="D5D5D5"/>
            <w:bottom w:val="none" w:sz="0" w:space="0" w:color="auto"/>
            <w:right w:val="single" w:sz="6" w:space="0" w:color="D5D5D5"/>
          </w:divBdr>
          <w:divsChild>
            <w:div w:id="288516988">
              <w:marLeft w:val="0"/>
              <w:marRight w:val="0"/>
              <w:marTop w:val="0"/>
              <w:marBottom w:val="0"/>
              <w:divBdr>
                <w:top w:val="none" w:sz="0" w:space="0" w:color="auto"/>
                <w:left w:val="none" w:sz="0" w:space="0" w:color="auto"/>
                <w:bottom w:val="none" w:sz="0" w:space="0" w:color="auto"/>
                <w:right w:val="none" w:sz="0" w:space="0" w:color="auto"/>
              </w:divBdr>
              <w:divsChild>
                <w:div w:id="1423336839">
                  <w:marLeft w:val="6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93672951">
      <w:bodyDiv w:val="1"/>
      <w:marLeft w:val="0"/>
      <w:marRight w:val="0"/>
      <w:marTop w:val="0"/>
      <w:marBottom w:val="0"/>
      <w:divBdr>
        <w:top w:val="none" w:sz="0" w:space="0" w:color="auto"/>
        <w:left w:val="none" w:sz="0" w:space="0" w:color="auto"/>
        <w:bottom w:val="none" w:sz="0" w:space="0" w:color="auto"/>
        <w:right w:val="none" w:sz="0" w:space="0" w:color="auto"/>
      </w:divBdr>
    </w:div>
    <w:div w:id="139854573">
      <w:bodyDiv w:val="1"/>
      <w:marLeft w:val="0"/>
      <w:marRight w:val="0"/>
      <w:marTop w:val="0"/>
      <w:marBottom w:val="0"/>
      <w:divBdr>
        <w:top w:val="none" w:sz="0" w:space="0" w:color="auto"/>
        <w:left w:val="none" w:sz="0" w:space="0" w:color="auto"/>
        <w:bottom w:val="none" w:sz="0" w:space="0" w:color="auto"/>
        <w:right w:val="none" w:sz="0" w:space="0" w:color="auto"/>
      </w:divBdr>
    </w:div>
    <w:div w:id="144128296">
      <w:bodyDiv w:val="1"/>
      <w:marLeft w:val="0"/>
      <w:marRight w:val="0"/>
      <w:marTop w:val="0"/>
      <w:marBottom w:val="0"/>
      <w:divBdr>
        <w:top w:val="none" w:sz="0" w:space="0" w:color="auto"/>
        <w:left w:val="none" w:sz="0" w:space="0" w:color="auto"/>
        <w:bottom w:val="none" w:sz="0" w:space="0" w:color="auto"/>
        <w:right w:val="none" w:sz="0" w:space="0" w:color="auto"/>
      </w:divBdr>
    </w:div>
    <w:div w:id="232667790">
      <w:bodyDiv w:val="1"/>
      <w:marLeft w:val="0"/>
      <w:marRight w:val="0"/>
      <w:marTop w:val="0"/>
      <w:marBottom w:val="0"/>
      <w:divBdr>
        <w:top w:val="none" w:sz="0" w:space="0" w:color="auto"/>
        <w:left w:val="none" w:sz="0" w:space="0" w:color="auto"/>
        <w:bottom w:val="none" w:sz="0" w:space="0" w:color="auto"/>
        <w:right w:val="none" w:sz="0" w:space="0" w:color="auto"/>
      </w:divBdr>
      <w:divsChild>
        <w:div w:id="1884753481">
          <w:marLeft w:val="0"/>
          <w:marRight w:val="0"/>
          <w:marTop w:val="0"/>
          <w:marBottom w:val="0"/>
          <w:divBdr>
            <w:top w:val="none" w:sz="0" w:space="0" w:color="auto"/>
            <w:left w:val="none" w:sz="0" w:space="0" w:color="auto"/>
            <w:bottom w:val="none" w:sz="0" w:space="0" w:color="auto"/>
            <w:right w:val="none" w:sz="0" w:space="0" w:color="auto"/>
          </w:divBdr>
        </w:div>
        <w:div w:id="37170314">
          <w:marLeft w:val="0"/>
          <w:marRight w:val="0"/>
          <w:marTop w:val="0"/>
          <w:marBottom w:val="0"/>
          <w:divBdr>
            <w:top w:val="none" w:sz="0" w:space="0" w:color="auto"/>
            <w:left w:val="none" w:sz="0" w:space="0" w:color="auto"/>
            <w:bottom w:val="none" w:sz="0" w:space="0" w:color="auto"/>
            <w:right w:val="none" w:sz="0" w:space="0" w:color="auto"/>
          </w:divBdr>
        </w:div>
        <w:div w:id="1018889401">
          <w:marLeft w:val="0"/>
          <w:marRight w:val="0"/>
          <w:marTop w:val="0"/>
          <w:marBottom w:val="0"/>
          <w:divBdr>
            <w:top w:val="none" w:sz="0" w:space="0" w:color="auto"/>
            <w:left w:val="none" w:sz="0" w:space="0" w:color="auto"/>
            <w:bottom w:val="none" w:sz="0" w:space="0" w:color="auto"/>
            <w:right w:val="none" w:sz="0" w:space="0" w:color="auto"/>
          </w:divBdr>
        </w:div>
        <w:div w:id="690109063">
          <w:marLeft w:val="0"/>
          <w:marRight w:val="0"/>
          <w:marTop w:val="0"/>
          <w:marBottom w:val="0"/>
          <w:divBdr>
            <w:top w:val="none" w:sz="0" w:space="0" w:color="auto"/>
            <w:left w:val="none" w:sz="0" w:space="0" w:color="auto"/>
            <w:bottom w:val="none" w:sz="0" w:space="0" w:color="auto"/>
            <w:right w:val="none" w:sz="0" w:space="0" w:color="auto"/>
          </w:divBdr>
        </w:div>
        <w:div w:id="1864246926">
          <w:marLeft w:val="0"/>
          <w:marRight w:val="0"/>
          <w:marTop w:val="0"/>
          <w:marBottom w:val="0"/>
          <w:divBdr>
            <w:top w:val="none" w:sz="0" w:space="0" w:color="auto"/>
            <w:left w:val="none" w:sz="0" w:space="0" w:color="auto"/>
            <w:bottom w:val="none" w:sz="0" w:space="0" w:color="auto"/>
            <w:right w:val="none" w:sz="0" w:space="0" w:color="auto"/>
          </w:divBdr>
        </w:div>
        <w:div w:id="691495487">
          <w:marLeft w:val="0"/>
          <w:marRight w:val="0"/>
          <w:marTop w:val="0"/>
          <w:marBottom w:val="0"/>
          <w:divBdr>
            <w:top w:val="none" w:sz="0" w:space="0" w:color="auto"/>
            <w:left w:val="none" w:sz="0" w:space="0" w:color="auto"/>
            <w:bottom w:val="none" w:sz="0" w:space="0" w:color="auto"/>
            <w:right w:val="none" w:sz="0" w:space="0" w:color="auto"/>
          </w:divBdr>
        </w:div>
        <w:div w:id="716665494">
          <w:marLeft w:val="0"/>
          <w:marRight w:val="0"/>
          <w:marTop w:val="0"/>
          <w:marBottom w:val="0"/>
          <w:divBdr>
            <w:top w:val="none" w:sz="0" w:space="0" w:color="auto"/>
            <w:left w:val="none" w:sz="0" w:space="0" w:color="auto"/>
            <w:bottom w:val="none" w:sz="0" w:space="0" w:color="auto"/>
            <w:right w:val="none" w:sz="0" w:space="0" w:color="auto"/>
          </w:divBdr>
        </w:div>
      </w:divsChild>
    </w:div>
    <w:div w:id="286159665">
      <w:bodyDiv w:val="1"/>
      <w:marLeft w:val="0"/>
      <w:marRight w:val="0"/>
      <w:marTop w:val="0"/>
      <w:marBottom w:val="0"/>
      <w:divBdr>
        <w:top w:val="none" w:sz="0" w:space="0" w:color="auto"/>
        <w:left w:val="none" w:sz="0" w:space="0" w:color="auto"/>
        <w:bottom w:val="none" w:sz="0" w:space="0" w:color="auto"/>
        <w:right w:val="none" w:sz="0" w:space="0" w:color="auto"/>
      </w:divBdr>
    </w:div>
    <w:div w:id="311256551">
      <w:bodyDiv w:val="1"/>
      <w:marLeft w:val="0"/>
      <w:marRight w:val="0"/>
      <w:marTop w:val="0"/>
      <w:marBottom w:val="0"/>
      <w:divBdr>
        <w:top w:val="none" w:sz="0" w:space="0" w:color="auto"/>
        <w:left w:val="none" w:sz="0" w:space="0" w:color="auto"/>
        <w:bottom w:val="none" w:sz="0" w:space="0" w:color="auto"/>
        <w:right w:val="none" w:sz="0" w:space="0" w:color="auto"/>
      </w:divBdr>
    </w:div>
    <w:div w:id="331957775">
      <w:bodyDiv w:val="1"/>
      <w:marLeft w:val="0"/>
      <w:marRight w:val="0"/>
      <w:marTop w:val="0"/>
      <w:marBottom w:val="0"/>
      <w:divBdr>
        <w:top w:val="none" w:sz="0" w:space="0" w:color="auto"/>
        <w:left w:val="none" w:sz="0" w:space="0" w:color="auto"/>
        <w:bottom w:val="none" w:sz="0" w:space="0" w:color="auto"/>
        <w:right w:val="none" w:sz="0" w:space="0" w:color="auto"/>
      </w:divBdr>
    </w:div>
    <w:div w:id="412505888">
      <w:bodyDiv w:val="1"/>
      <w:marLeft w:val="0"/>
      <w:marRight w:val="0"/>
      <w:marTop w:val="0"/>
      <w:marBottom w:val="0"/>
      <w:divBdr>
        <w:top w:val="none" w:sz="0" w:space="0" w:color="auto"/>
        <w:left w:val="none" w:sz="0" w:space="0" w:color="auto"/>
        <w:bottom w:val="none" w:sz="0" w:space="0" w:color="auto"/>
        <w:right w:val="none" w:sz="0" w:space="0" w:color="auto"/>
      </w:divBdr>
    </w:div>
    <w:div w:id="422917254">
      <w:bodyDiv w:val="1"/>
      <w:marLeft w:val="0"/>
      <w:marRight w:val="0"/>
      <w:marTop w:val="0"/>
      <w:marBottom w:val="0"/>
      <w:divBdr>
        <w:top w:val="none" w:sz="0" w:space="0" w:color="auto"/>
        <w:left w:val="none" w:sz="0" w:space="0" w:color="auto"/>
        <w:bottom w:val="none" w:sz="0" w:space="0" w:color="auto"/>
        <w:right w:val="none" w:sz="0" w:space="0" w:color="auto"/>
      </w:divBdr>
    </w:div>
    <w:div w:id="443234468">
      <w:bodyDiv w:val="1"/>
      <w:marLeft w:val="0"/>
      <w:marRight w:val="0"/>
      <w:marTop w:val="0"/>
      <w:marBottom w:val="0"/>
      <w:divBdr>
        <w:top w:val="none" w:sz="0" w:space="0" w:color="auto"/>
        <w:left w:val="none" w:sz="0" w:space="0" w:color="auto"/>
        <w:bottom w:val="none" w:sz="0" w:space="0" w:color="auto"/>
        <w:right w:val="none" w:sz="0" w:space="0" w:color="auto"/>
      </w:divBdr>
    </w:div>
    <w:div w:id="546838766">
      <w:bodyDiv w:val="1"/>
      <w:marLeft w:val="0"/>
      <w:marRight w:val="0"/>
      <w:marTop w:val="0"/>
      <w:marBottom w:val="0"/>
      <w:divBdr>
        <w:top w:val="none" w:sz="0" w:space="0" w:color="auto"/>
        <w:left w:val="none" w:sz="0" w:space="0" w:color="auto"/>
        <w:bottom w:val="none" w:sz="0" w:space="0" w:color="auto"/>
        <w:right w:val="none" w:sz="0" w:space="0" w:color="auto"/>
      </w:divBdr>
    </w:div>
    <w:div w:id="591013441">
      <w:bodyDiv w:val="1"/>
      <w:marLeft w:val="0"/>
      <w:marRight w:val="0"/>
      <w:marTop w:val="0"/>
      <w:marBottom w:val="0"/>
      <w:divBdr>
        <w:top w:val="none" w:sz="0" w:space="0" w:color="auto"/>
        <w:left w:val="none" w:sz="0" w:space="0" w:color="auto"/>
        <w:bottom w:val="none" w:sz="0" w:space="0" w:color="auto"/>
        <w:right w:val="none" w:sz="0" w:space="0" w:color="auto"/>
      </w:divBdr>
    </w:div>
    <w:div w:id="596406101">
      <w:bodyDiv w:val="1"/>
      <w:marLeft w:val="0"/>
      <w:marRight w:val="0"/>
      <w:marTop w:val="0"/>
      <w:marBottom w:val="0"/>
      <w:divBdr>
        <w:top w:val="none" w:sz="0" w:space="0" w:color="auto"/>
        <w:left w:val="none" w:sz="0" w:space="0" w:color="auto"/>
        <w:bottom w:val="none" w:sz="0" w:space="0" w:color="auto"/>
        <w:right w:val="none" w:sz="0" w:space="0" w:color="auto"/>
      </w:divBdr>
    </w:div>
    <w:div w:id="607740006">
      <w:bodyDiv w:val="1"/>
      <w:marLeft w:val="0"/>
      <w:marRight w:val="0"/>
      <w:marTop w:val="0"/>
      <w:marBottom w:val="0"/>
      <w:divBdr>
        <w:top w:val="none" w:sz="0" w:space="0" w:color="auto"/>
        <w:left w:val="none" w:sz="0" w:space="0" w:color="auto"/>
        <w:bottom w:val="none" w:sz="0" w:space="0" w:color="auto"/>
        <w:right w:val="none" w:sz="0" w:space="0" w:color="auto"/>
      </w:divBdr>
    </w:div>
    <w:div w:id="634873157">
      <w:bodyDiv w:val="1"/>
      <w:marLeft w:val="0"/>
      <w:marRight w:val="0"/>
      <w:marTop w:val="0"/>
      <w:marBottom w:val="0"/>
      <w:divBdr>
        <w:top w:val="none" w:sz="0" w:space="0" w:color="auto"/>
        <w:left w:val="none" w:sz="0" w:space="0" w:color="auto"/>
        <w:bottom w:val="none" w:sz="0" w:space="0" w:color="auto"/>
        <w:right w:val="none" w:sz="0" w:space="0" w:color="auto"/>
      </w:divBdr>
    </w:div>
    <w:div w:id="660045681">
      <w:bodyDiv w:val="1"/>
      <w:marLeft w:val="0"/>
      <w:marRight w:val="0"/>
      <w:marTop w:val="0"/>
      <w:marBottom w:val="0"/>
      <w:divBdr>
        <w:top w:val="none" w:sz="0" w:space="0" w:color="auto"/>
        <w:left w:val="none" w:sz="0" w:space="0" w:color="auto"/>
        <w:bottom w:val="none" w:sz="0" w:space="0" w:color="auto"/>
        <w:right w:val="none" w:sz="0" w:space="0" w:color="auto"/>
      </w:divBdr>
    </w:div>
    <w:div w:id="674381281">
      <w:bodyDiv w:val="1"/>
      <w:marLeft w:val="0"/>
      <w:marRight w:val="0"/>
      <w:marTop w:val="0"/>
      <w:marBottom w:val="0"/>
      <w:divBdr>
        <w:top w:val="none" w:sz="0" w:space="0" w:color="auto"/>
        <w:left w:val="none" w:sz="0" w:space="0" w:color="auto"/>
        <w:bottom w:val="none" w:sz="0" w:space="0" w:color="auto"/>
        <w:right w:val="none" w:sz="0" w:space="0" w:color="auto"/>
      </w:divBdr>
    </w:div>
    <w:div w:id="688335131">
      <w:bodyDiv w:val="1"/>
      <w:marLeft w:val="0"/>
      <w:marRight w:val="0"/>
      <w:marTop w:val="0"/>
      <w:marBottom w:val="0"/>
      <w:divBdr>
        <w:top w:val="none" w:sz="0" w:space="0" w:color="auto"/>
        <w:left w:val="none" w:sz="0" w:space="0" w:color="auto"/>
        <w:bottom w:val="none" w:sz="0" w:space="0" w:color="auto"/>
        <w:right w:val="none" w:sz="0" w:space="0" w:color="auto"/>
      </w:divBdr>
    </w:div>
    <w:div w:id="800805697">
      <w:bodyDiv w:val="1"/>
      <w:marLeft w:val="0"/>
      <w:marRight w:val="0"/>
      <w:marTop w:val="0"/>
      <w:marBottom w:val="0"/>
      <w:divBdr>
        <w:top w:val="none" w:sz="0" w:space="0" w:color="auto"/>
        <w:left w:val="none" w:sz="0" w:space="0" w:color="auto"/>
        <w:bottom w:val="none" w:sz="0" w:space="0" w:color="auto"/>
        <w:right w:val="none" w:sz="0" w:space="0" w:color="auto"/>
      </w:divBdr>
    </w:div>
    <w:div w:id="917901858">
      <w:bodyDiv w:val="1"/>
      <w:marLeft w:val="0"/>
      <w:marRight w:val="0"/>
      <w:marTop w:val="0"/>
      <w:marBottom w:val="0"/>
      <w:divBdr>
        <w:top w:val="none" w:sz="0" w:space="0" w:color="auto"/>
        <w:left w:val="none" w:sz="0" w:space="0" w:color="auto"/>
        <w:bottom w:val="none" w:sz="0" w:space="0" w:color="auto"/>
        <w:right w:val="none" w:sz="0" w:space="0" w:color="auto"/>
      </w:divBdr>
      <w:divsChild>
        <w:div w:id="2032410748">
          <w:marLeft w:val="0"/>
          <w:marRight w:val="0"/>
          <w:marTop w:val="0"/>
          <w:marBottom w:val="0"/>
          <w:divBdr>
            <w:top w:val="none" w:sz="0" w:space="0" w:color="auto"/>
            <w:left w:val="none" w:sz="0" w:space="0" w:color="auto"/>
            <w:bottom w:val="none" w:sz="0" w:space="0" w:color="auto"/>
            <w:right w:val="none" w:sz="0" w:space="0" w:color="auto"/>
          </w:divBdr>
        </w:div>
        <w:div w:id="932208607">
          <w:marLeft w:val="0"/>
          <w:marRight w:val="0"/>
          <w:marTop w:val="0"/>
          <w:marBottom w:val="0"/>
          <w:divBdr>
            <w:top w:val="none" w:sz="0" w:space="0" w:color="auto"/>
            <w:left w:val="none" w:sz="0" w:space="0" w:color="auto"/>
            <w:bottom w:val="none" w:sz="0" w:space="0" w:color="auto"/>
            <w:right w:val="none" w:sz="0" w:space="0" w:color="auto"/>
          </w:divBdr>
        </w:div>
        <w:div w:id="269238428">
          <w:marLeft w:val="0"/>
          <w:marRight w:val="0"/>
          <w:marTop w:val="0"/>
          <w:marBottom w:val="0"/>
          <w:divBdr>
            <w:top w:val="none" w:sz="0" w:space="0" w:color="auto"/>
            <w:left w:val="none" w:sz="0" w:space="0" w:color="auto"/>
            <w:bottom w:val="none" w:sz="0" w:space="0" w:color="auto"/>
            <w:right w:val="none" w:sz="0" w:space="0" w:color="auto"/>
          </w:divBdr>
        </w:div>
      </w:divsChild>
    </w:div>
    <w:div w:id="952132366">
      <w:bodyDiv w:val="1"/>
      <w:marLeft w:val="0"/>
      <w:marRight w:val="0"/>
      <w:marTop w:val="0"/>
      <w:marBottom w:val="0"/>
      <w:divBdr>
        <w:top w:val="none" w:sz="0" w:space="0" w:color="auto"/>
        <w:left w:val="none" w:sz="0" w:space="0" w:color="auto"/>
        <w:bottom w:val="none" w:sz="0" w:space="0" w:color="auto"/>
        <w:right w:val="none" w:sz="0" w:space="0" w:color="auto"/>
      </w:divBdr>
    </w:div>
    <w:div w:id="990477844">
      <w:bodyDiv w:val="1"/>
      <w:marLeft w:val="0"/>
      <w:marRight w:val="0"/>
      <w:marTop w:val="0"/>
      <w:marBottom w:val="0"/>
      <w:divBdr>
        <w:top w:val="none" w:sz="0" w:space="0" w:color="auto"/>
        <w:left w:val="none" w:sz="0" w:space="0" w:color="auto"/>
        <w:bottom w:val="none" w:sz="0" w:space="0" w:color="auto"/>
        <w:right w:val="none" w:sz="0" w:space="0" w:color="auto"/>
      </w:divBdr>
    </w:div>
    <w:div w:id="1011179767">
      <w:bodyDiv w:val="1"/>
      <w:marLeft w:val="0"/>
      <w:marRight w:val="0"/>
      <w:marTop w:val="0"/>
      <w:marBottom w:val="0"/>
      <w:divBdr>
        <w:top w:val="none" w:sz="0" w:space="0" w:color="auto"/>
        <w:left w:val="none" w:sz="0" w:space="0" w:color="auto"/>
        <w:bottom w:val="none" w:sz="0" w:space="0" w:color="auto"/>
        <w:right w:val="none" w:sz="0" w:space="0" w:color="auto"/>
      </w:divBdr>
    </w:div>
    <w:div w:id="1050108914">
      <w:bodyDiv w:val="1"/>
      <w:marLeft w:val="0"/>
      <w:marRight w:val="0"/>
      <w:marTop w:val="0"/>
      <w:marBottom w:val="0"/>
      <w:divBdr>
        <w:top w:val="none" w:sz="0" w:space="0" w:color="auto"/>
        <w:left w:val="none" w:sz="0" w:space="0" w:color="auto"/>
        <w:bottom w:val="none" w:sz="0" w:space="0" w:color="auto"/>
        <w:right w:val="none" w:sz="0" w:space="0" w:color="auto"/>
      </w:divBdr>
    </w:div>
    <w:div w:id="1081298231">
      <w:bodyDiv w:val="1"/>
      <w:marLeft w:val="0"/>
      <w:marRight w:val="0"/>
      <w:marTop w:val="0"/>
      <w:marBottom w:val="0"/>
      <w:divBdr>
        <w:top w:val="none" w:sz="0" w:space="0" w:color="auto"/>
        <w:left w:val="none" w:sz="0" w:space="0" w:color="auto"/>
        <w:bottom w:val="none" w:sz="0" w:space="0" w:color="auto"/>
        <w:right w:val="none" w:sz="0" w:space="0" w:color="auto"/>
      </w:divBdr>
    </w:div>
    <w:div w:id="1117944611">
      <w:bodyDiv w:val="1"/>
      <w:marLeft w:val="0"/>
      <w:marRight w:val="0"/>
      <w:marTop w:val="0"/>
      <w:marBottom w:val="0"/>
      <w:divBdr>
        <w:top w:val="none" w:sz="0" w:space="0" w:color="auto"/>
        <w:left w:val="none" w:sz="0" w:space="0" w:color="auto"/>
        <w:bottom w:val="none" w:sz="0" w:space="0" w:color="auto"/>
        <w:right w:val="none" w:sz="0" w:space="0" w:color="auto"/>
      </w:divBdr>
      <w:divsChild>
        <w:div w:id="1523975941">
          <w:marLeft w:val="0"/>
          <w:marRight w:val="0"/>
          <w:marTop w:val="0"/>
          <w:marBottom w:val="0"/>
          <w:divBdr>
            <w:top w:val="none" w:sz="0" w:space="0" w:color="auto"/>
            <w:left w:val="none" w:sz="0" w:space="0" w:color="auto"/>
            <w:bottom w:val="none" w:sz="0" w:space="0" w:color="auto"/>
            <w:right w:val="none" w:sz="0" w:space="0" w:color="auto"/>
          </w:divBdr>
        </w:div>
        <w:div w:id="1295910579">
          <w:marLeft w:val="0"/>
          <w:marRight w:val="0"/>
          <w:marTop w:val="0"/>
          <w:marBottom w:val="0"/>
          <w:divBdr>
            <w:top w:val="none" w:sz="0" w:space="0" w:color="auto"/>
            <w:left w:val="none" w:sz="0" w:space="0" w:color="auto"/>
            <w:bottom w:val="none" w:sz="0" w:space="0" w:color="auto"/>
            <w:right w:val="none" w:sz="0" w:space="0" w:color="auto"/>
          </w:divBdr>
        </w:div>
        <w:div w:id="2124306156">
          <w:marLeft w:val="0"/>
          <w:marRight w:val="0"/>
          <w:marTop w:val="0"/>
          <w:marBottom w:val="0"/>
          <w:divBdr>
            <w:top w:val="none" w:sz="0" w:space="0" w:color="auto"/>
            <w:left w:val="none" w:sz="0" w:space="0" w:color="auto"/>
            <w:bottom w:val="none" w:sz="0" w:space="0" w:color="auto"/>
            <w:right w:val="none" w:sz="0" w:space="0" w:color="auto"/>
          </w:divBdr>
        </w:div>
      </w:divsChild>
    </w:div>
    <w:div w:id="1306934961">
      <w:bodyDiv w:val="1"/>
      <w:marLeft w:val="0"/>
      <w:marRight w:val="0"/>
      <w:marTop w:val="0"/>
      <w:marBottom w:val="0"/>
      <w:divBdr>
        <w:top w:val="none" w:sz="0" w:space="0" w:color="auto"/>
        <w:left w:val="none" w:sz="0" w:space="0" w:color="auto"/>
        <w:bottom w:val="none" w:sz="0" w:space="0" w:color="auto"/>
        <w:right w:val="none" w:sz="0" w:space="0" w:color="auto"/>
      </w:divBdr>
    </w:div>
    <w:div w:id="1346665448">
      <w:bodyDiv w:val="1"/>
      <w:marLeft w:val="0"/>
      <w:marRight w:val="0"/>
      <w:marTop w:val="0"/>
      <w:marBottom w:val="0"/>
      <w:divBdr>
        <w:top w:val="none" w:sz="0" w:space="0" w:color="auto"/>
        <w:left w:val="none" w:sz="0" w:space="0" w:color="auto"/>
        <w:bottom w:val="none" w:sz="0" w:space="0" w:color="auto"/>
        <w:right w:val="none" w:sz="0" w:space="0" w:color="auto"/>
      </w:divBdr>
    </w:div>
    <w:div w:id="1365786845">
      <w:bodyDiv w:val="1"/>
      <w:marLeft w:val="0"/>
      <w:marRight w:val="0"/>
      <w:marTop w:val="0"/>
      <w:marBottom w:val="0"/>
      <w:divBdr>
        <w:top w:val="none" w:sz="0" w:space="0" w:color="auto"/>
        <w:left w:val="none" w:sz="0" w:space="0" w:color="auto"/>
        <w:bottom w:val="none" w:sz="0" w:space="0" w:color="auto"/>
        <w:right w:val="none" w:sz="0" w:space="0" w:color="auto"/>
      </w:divBdr>
      <w:divsChild>
        <w:div w:id="1553467336">
          <w:marLeft w:val="0"/>
          <w:marRight w:val="0"/>
          <w:marTop w:val="0"/>
          <w:marBottom w:val="0"/>
          <w:divBdr>
            <w:top w:val="none" w:sz="0" w:space="0" w:color="auto"/>
            <w:left w:val="none" w:sz="0" w:space="0" w:color="auto"/>
            <w:bottom w:val="none" w:sz="0" w:space="0" w:color="auto"/>
            <w:right w:val="none" w:sz="0" w:space="0" w:color="auto"/>
          </w:divBdr>
        </w:div>
        <w:div w:id="43986798">
          <w:marLeft w:val="0"/>
          <w:marRight w:val="0"/>
          <w:marTop w:val="0"/>
          <w:marBottom w:val="0"/>
          <w:divBdr>
            <w:top w:val="none" w:sz="0" w:space="0" w:color="auto"/>
            <w:left w:val="none" w:sz="0" w:space="0" w:color="auto"/>
            <w:bottom w:val="none" w:sz="0" w:space="0" w:color="auto"/>
            <w:right w:val="none" w:sz="0" w:space="0" w:color="auto"/>
          </w:divBdr>
        </w:div>
        <w:div w:id="364717144">
          <w:marLeft w:val="0"/>
          <w:marRight w:val="0"/>
          <w:marTop w:val="0"/>
          <w:marBottom w:val="0"/>
          <w:divBdr>
            <w:top w:val="none" w:sz="0" w:space="0" w:color="auto"/>
            <w:left w:val="none" w:sz="0" w:space="0" w:color="auto"/>
            <w:bottom w:val="none" w:sz="0" w:space="0" w:color="auto"/>
            <w:right w:val="none" w:sz="0" w:space="0" w:color="auto"/>
          </w:divBdr>
        </w:div>
      </w:divsChild>
    </w:div>
    <w:div w:id="1400984948">
      <w:bodyDiv w:val="1"/>
      <w:marLeft w:val="0"/>
      <w:marRight w:val="0"/>
      <w:marTop w:val="0"/>
      <w:marBottom w:val="0"/>
      <w:divBdr>
        <w:top w:val="none" w:sz="0" w:space="0" w:color="auto"/>
        <w:left w:val="none" w:sz="0" w:space="0" w:color="auto"/>
        <w:bottom w:val="none" w:sz="0" w:space="0" w:color="auto"/>
        <w:right w:val="none" w:sz="0" w:space="0" w:color="auto"/>
      </w:divBdr>
    </w:div>
    <w:div w:id="1401172682">
      <w:bodyDiv w:val="1"/>
      <w:marLeft w:val="0"/>
      <w:marRight w:val="0"/>
      <w:marTop w:val="0"/>
      <w:marBottom w:val="0"/>
      <w:divBdr>
        <w:top w:val="none" w:sz="0" w:space="0" w:color="auto"/>
        <w:left w:val="none" w:sz="0" w:space="0" w:color="auto"/>
        <w:bottom w:val="none" w:sz="0" w:space="0" w:color="auto"/>
        <w:right w:val="none" w:sz="0" w:space="0" w:color="auto"/>
      </w:divBdr>
    </w:div>
    <w:div w:id="1408376657">
      <w:bodyDiv w:val="1"/>
      <w:marLeft w:val="0"/>
      <w:marRight w:val="0"/>
      <w:marTop w:val="0"/>
      <w:marBottom w:val="0"/>
      <w:divBdr>
        <w:top w:val="none" w:sz="0" w:space="0" w:color="auto"/>
        <w:left w:val="none" w:sz="0" w:space="0" w:color="auto"/>
        <w:bottom w:val="none" w:sz="0" w:space="0" w:color="auto"/>
        <w:right w:val="none" w:sz="0" w:space="0" w:color="auto"/>
      </w:divBdr>
    </w:div>
    <w:div w:id="1415472532">
      <w:bodyDiv w:val="1"/>
      <w:marLeft w:val="0"/>
      <w:marRight w:val="0"/>
      <w:marTop w:val="0"/>
      <w:marBottom w:val="0"/>
      <w:divBdr>
        <w:top w:val="none" w:sz="0" w:space="0" w:color="auto"/>
        <w:left w:val="none" w:sz="0" w:space="0" w:color="auto"/>
        <w:bottom w:val="none" w:sz="0" w:space="0" w:color="auto"/>
        <w:right w:val="none" w:sz="0" w:space="0" w:color="auto"/>
      </w:divBdr>
    </w:div>
    <w:div w:id="1443257771">
      <w:bodyDiv w:val="1"/>
      <w:marLeft w:val="0"/>
      <w:marRight w:val="0"/>
      <w:marTop w:val="0"/>
      <w:marBottom w:val="0"/>
      <w:divBdr>
        <w:top w:val="none" w:sz="0" w:space="0" w:color="auto"/>
        <w:left w:val="none" w:sz="0" w:space="0" w:color="auto"/>
        <w:bottom w:val="none" w:sz="0" w:space="0" w:color="auto"/>
        <w:right w:val="none" w:sz="0" w:space="0" w:color="auto"/>
      </w:divBdr>
    </w:div>
    <w:div w:id="1546408052">
      <w:bodyDiv w:val="1"/>
      <w:marLeft w:val="0"/>
      <w:marRight w:val="0"/>
      <w:marTop w:val="0"/>
      <w:marBottom w:val="0"/>
      <w:divBdr>
        <w:top w:val="none" w:sz="0" w:space="0" w:color="auto"/>
        <w:left w:val="none" w:sz="0" w:space="0" w:color="auto"/>
        <w:bottom w:val="none" w:sz="0" w:space="0" w:color="auto"/>
        <w:right w:val="none" w:sz="0" w:space="0" w:color="auto"/>
      </w:divBdr>
    </w:div>
    <w:div w:id="1554267400">
      <w:bodyDiv w:val="1"/>
      <w:marLeft w:val="0"/>
      <w:marRight w:val="0"/>
      <w:marTop w:val="0"/>
      <w:marBottom w:val="0"/>
      <w:divBdr>
        <w:top w:val="none" w:sz="0" w:space="0" w:color="auto"/>
        <w:left w:val="none" w:sz="0" w:space="0" w:color="auto"/>
        <w:bottom w:val="none" w:sz="0" w:space="0" w:color="auto"/>
        <w:right w:val="none" w:sz="0" w:space="0" w:color="auto"/>
      </w:divBdr>
    </w:div>
    <w:div w:id="1569801514">
      <w:bodyDiv w:val="1"/>
      <w:marLeft w:val="0"/>
      <w:marRight w:val="0"/>
      <w:marTop w:val="0"/>
      <w:marBottom w:val="0"/>
      <w:divBdr>
        <w:top w:val="none" w:sz="0" w:space="0" w:color="auto"/>
        <w:left w:val="none" w:sz="0" w:space="0" w:color="auto"/>
        <w:bottom w:val="none" w:sz="0" w:space="0" w:color="auto"/>
        <w:right w:val="none" w:sz="0" w:space="0" w:color="auto"/>
      </w:divBdr>
    </w:div>
    <w:div w:id="1729066100">
      <w:bodyDiv w:val="1"/>
      <w:marLeft w:val="0"/>
      <w:marRight w:val="0"/>
      <w:marTop w:val="0"/>
      <w:marBottom w:val="0"/>
      <w:divBdr>
        <w:top w:val="none" w:sz="0" w:space="0" w:color="auto"/>
        <w:left w:val="none" w:sz="0" w:space="0" w:color="auto"/>
        <w:bottom w:val="none" w:sz="0" w:space="0" w:color="auto"/>
        <w:right w:val="none" w:sz="0" w:space="0" w:color="auto"/>
      </w:divBdr>
    </w:div>
    <w:div w:id="1755978252">
      <w:bodyDiv w:val="1"/>
      <w:marLeft w:val="0"/>
      <w:marRight w:val="0"/>
      <w:marTop w:val="0"/>
      <w:marBottom w:val="0"/>
      <w:divBdr>
        <w:top w:val="none" w:sz="0" w:space="0" w:color="auto"/>
        <w:left w:val="none" w:sz="0" w:space="0" w:color="auto"/>
        <w:bottom w:val="none" w:sz="0" w:space="0" w:color="auto"/>
        <w:right w:val="none" w:sz="0" w:space="0" w:color="auto"/>
      </w:divBdr>
      <w:divsChild>
        <w:div w:id="1874658855">
          <w:marLeft w:val="0"/>
          <w:marRight w:val="0"/>
          <w:marTop w:val="0"/>
          <w:marBottom w:val="0"/>
          <w:divBdr>
            <w:top w:val="none" w:sz="0" w:space="0" w:color="auto"/>
            <w:left w:val="none" w:sz="0" w:space="0" w:color="auto"/>
            <w:bottom w:val="none" w:sz="0" w:space="0" w:color="auto"/>
            <w:right w:val="none" w:sz="0" w:space="0" w:color="auto"/>
          </w:divBdr>
        </w:div>
        <w:div w:id="262886627">
          <w:marLeft w:val="0"/>
          <w:marRight w:val="0"/>
          <w:marTop w:val="0"/>
          <w:marBottom w:val="0"/>
          <w:divBdr>
            <w:top w:val="none" w:sz="0" w:space="0" w:color="auto"/>
            <w:left w:val="none" w:sz="0" w:space="0" w:color="auto"/>
            <w:bottom w:val="none" w:sz="0" w:space="0" w:color="auto"/>
            <w:right w:val="none" w:sz="0" w:space="0" w:color="auto"/>
          </w:divBdr>
        </w:div>
        <w:div w:id="768279475">
          <w:marLeft w:val="0"/>
          <w:marRight w:val="0"/>
          <w:marTop w:val="0"/>
          <w:marBottom w:val="0"/>
          <w:divBdr>
            <w:top w:val="none" w:sz="0" w:space="0" w:color="auto"/>
            <w:left w:val="none" w:sz="0" w:space="0" w:color="auto"/>
            <w:bottom w:val="none" w:sz="0" w:space="0" w:color="auto"/>
            <w:right w:val="none" w:sz="0" w:space="0" w:color="auto"/>
          </w:divBdr>
        </w:div>
        <w:div w:id="1688171940">
          <w:marLeft w:val="0"/>
          <w:marRight w:val="0"/>
          <w:marTop w:val="0"/>
          <w:marBottom w:val="0"/>
          <w:divBdr>
            <w:top w:val="none" w:sz="0" w:space="0" w:color="auto"/>
            <w:left w:val="none" w:sz="0" w:space="0" w:color="auto"/>
            <w:bottom w:val="none" w:sz="0" w:space="0" w:color="auto"/>
            <w:right w:val="none" w:sz="0" w:space="0" w:color="auto"/>
          </w:divBdr>
        </w:div>
        <w:div w:id="1198742513">
          <w:marLeft w:val="0"/>
          <w:marRight w:val="0"/>
          <w:marTop w:val="0"/>
          <w:marBottom w:val="0"/>
          <w:divBdr>
            <w:top w:val="none" w:sz="0" w:space="0" w:color="auto"/>
            <w:left w:val="none" w:sz="0" w:space="0" w:color="auto"/>
            <w:bottom w:val="none" w:sz="0" w:space="0" w:color="auto"/>
            <w:right w:val="none" w:sz="0" w:space="0" w:color="auto"/>
          </w:divBdr>
        </w:div>
        <w:div w:id="1606111207">
          <w:marLeft w:val="0"/>
          <w:marRight w:val="0"/>
          <w:marTop w:val="0"/>
          <w:marBottom w:val="0"/>
          <w:divBdr>
            <w:top w:val="none" w:sz="0" w:space="0" w:color="auto"/>
            <w:left w:val="none" w:sz="0" w:space="0" w:color="auto"/>
            <w:bottom w:val="none" w:sz="0" w:space="0" w:color="auto"/>
            <w:right w:val="none" w:sz="0" w:space="0" w:color="auto"/>
          </w:divBdr>
        </w:div>
        <w:div w:id="1836411350">
          <w:marLeft w:val="0"/>
          <w:marRight w:val="0"/>
          <w:marTop w:val="0"/>
          <w:marBottom w:val="0"/>
          <w:divBdr>
            <w:top w:val="none" w:sz="0" w:space="0" w:color="auto"/>
            <w:left w:val="none" w:sz="0" w:space="0" w:color="auto"/>
            <w:bottom w:val="none" w:sz="0" w:space="0" w:color="auto"/>
            <w:right w:val="none" w:sz="0" w:space="0" w:color="auto"/>
          </w:divBdr>
        </w:div>
      </w:divsChild>
    </w:div>
    <w:div w:id="1805346004">
      <w:bodyDiv w:val="1"/>
      <w:marLeft w:val="0"/>
      <w:marRight w:val="0"/>
      <w:marTop w:val="0"/>
      <w:marBottom w:val="0"/>
      <w:divBdr>
        <w:top w:val="none" w:sz="0" w:space="0" w:color="auto"/>
        <w:left w:val="none" w:sz="0" w:space="0" w:color="auto"/>
        <w:bottom w:val="none" w:sz="0" w:space="0" w:color="auto"/>
        <w:right w:val="none" w:sz="0" w:space="0" w:color="auto"/>
      </w:divBdr>
    </w:div>
    <w:div w:id="1842575619">
      <w:bodyDiv w:val="1"/>
      <w:marLeft w:val="0"/>
      <w:marRight w:val="0"/>
      <w:marTop w:val="0"/>
      <w:marBottom w:val="0"/>
      <w:divBdr>
        <w:top w:val="none" w:sz="0" w:space="0" w:color="auto"/>
        <w:left w:val="none" w:sz="0" w:space="0" w:color="auto"/>
        <w:bottom w:val="none" w:sz="0" w:space="0" w:color="auto"/>
        <w:right w:val="none" w:sz="0" w:space="0" w:color="auto"/>
      </w:divBdr>
      <w:divsChild>
        <w:div w:id="1429502647">
          <w:marLeft w:val="0"/>
          <w:marRight w:val="0"/>
          <w:marTop w:val="0"/>
          <w:marBottom w:val="0"/>
          <w:divBdr>
            <w:top w:val="none" w:sz="0" w:space="0" w:color="auto"/>
            <w:left w:val="none" w:sz="0" w:space="0" w:color="auto"/>
            <w:bottom w:val="none" w:sz="0" w:space="0" w:color="auto"/>
            <w:right w:val="none" w:sz="0" w:space="0" w:color="auto"/>
          </w:divBdr>
        </w:div>
        <w:div w:id="1627618653">
          <w:marLeft w:val="0"/>
          <w:marRight w:val="0"/>
          <w:marTop w:val="0"/>
          <w:marBottom w:val="0"/>
          <w:divBdr>
            <w:top w:val="none" w:sz="0" w:space="0" w:color="auto"/>
            <w:left w:val="none" w:sz="0" w:space="0" w:color="auto"/>
            <w:bottom w:val="none" w:sz="0" w:space="0" w:color="auto"/>
            <w:right w:val="none" w:sz="0" w:space="0" w:color="auto"/>
          </w:divBdr>
        </w:div>
        <w:div w:id="164365685">
          <w:marLeft w:val="0"/>
          <w:marRight w:val="0"/>
          <w:marTop w:val="0"/>
          <w:marBottom w:val="0"/>
          <w:divBdr>
            <w:top w:val="none" w:sz="0" w:space="0" w:color="auto"/>
            <w:left w:val="none" w:sz="0" w:space="0" w:color="auto"/>
            <w:bottom w:val="none" w:sz="0" w:space="0" w:color="auto"/>
            <w:right w:val="none" w:sz="0" w:space="0" w:color="auto"/>
          </w:divBdr>
        </w:div>
      </w:divsChild>
    </w:div>
    <w:div w:id="1885750521">
      <w:bodyDiv w:val="1"/>
      <w:marLeft w:val="0"/>
      <w:marRight w:val="0"/>
      <w:marTop w:val="0"/>
      <w:marBottom w:val="0"/>
      <w:divBdr>
        <w:top w:val="none" w:sz="0" w:space="0" w:color="auto"/>
        <w:left w:val="none" w:sz="0" w:space="0" w:color="auto"/>
        <w:bottom w:val="none" w:sz="0" w:space="0" w:color="auto"/>
        <w:right w:val="none" w:sz="0" w:space="0" w:color="auto"/>
      </w:divBdr>
    </w:div>
    <w:div w:id="1899706330">
      <w:bodyDiv w:val="1"/>
      <w:marLeft w:val="0"/>
      <w:marRight w:val="0"/>
      <w:marTop w:val="0"/>
      <w:marBottom w:val="0"/>
      <w:divBdr>
        <w:top w:val="none" w:sz="0" w:space="0" w:color="auto"/>
        <w:left w:val="none" w:sz="0" w:space="0" w:color="auto"/>
        <w:bottom w:val="none" w:sz="0" w:space="0" w:color="auto"/>
        <w:right w:val="none" w:sz="0" w:space="0" w:color="auto"/>
      </w:divBdr>
    </w:div>
    <w:div w:id="1902324467">
      <w:bodyDiv w:val="1"/>
      <w:marLeft w:val="0"/>
      <w:marRight w:val="0"/>
      <w:marTop w:val="0"/>
      <w:marBottom w:val="0"/>
      <w:divBdr>
        <w:top w:val="none" w:sz="0" w:space="0" w:color="auto"/>
        <w:left w:val="none" w:sz="0" w:space="0" w:color="auto"/>
        <w:bottom w:val="none" w:sz="0" w:space="0" w:color="auto"/>
        <w:right w:val="none" w:sz="0" w:space="0" w:color="auto"/>
      </w:divBdr>
    </w:div>
    <w:div w:id="1924683289">
      <w:bodyDiv w:val="1"/>
      <w:marLeft w:val="0"/>
      <w:marRight w:val="0"/>
      <w:marTop w:val="0"/>
      <w:marBottom w:val="0"/>
      <w:divBdr>
        <w:top w:val="none" w:sz="0" w:space="0" w:color="auto"/>
        <w:left w:val="none" w:sz="0" w:space="0" w:color="auto"/>
        <w:bottom w:val="none" w:sz="0" w:space="0" w:color="auto"/>
        <w:right w:val="none" w:sz="0" w:space="0" w:color="auto"/>
      </w:divBdr>
    </w:div>
    <w:div w:id="1969506693">
      <w:bodyDiv w:val="1"/>
      <w:marLeft w:val="0"/>
      <w:marRight w:val="0"/>
      <w:marTop w:val="0"/>
      <w:marBottom w:val="0"/>
      <w:divBdr>
        <w:top w:val="none" w:sz="0" w:space="0" w:color="auto"/>
        <w:left w:val="none" w:sz="0" w:space="0" w:color="auto"/>
        <w:bottom w:val="none" w:sz="0" w:space="0" w:color="auto"/>
        <w:right w:val="none" w:sz="0" w:space="0" w:color="auto"/>
      </w:divBdr>
    </w:div>
    <w:div w:id="20806376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3.jpeg"/><Relationship Id="rId39" Type="http://schemas.openxmlformats.org/officeDocument/2006/relationships/image" Target="media/image14.jpeg"/><Relationship Id="rId21" Type="http://schemas.openxmlformats.org/officeDocument/2006/relationships/footer" Target="footer5.xml"/><Relationship Id="rId34"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hyperlink" Target="https://www.eea.europa.eu/publications/soer-2020" TargetMode="External"/><Relationship Id="rId68" Type="http://schemas.openxmlformats.org/officeDocument/2006/relationships/hyperlink" Target="https://doi.org/10.1111/ejss.13012" TargetMode="External"/><Relationship Id="rId76" Type="http://schemas.openxmlformats.org/officeDocument/2006/relationships/hyperlink" Target="https://www.labo-deutschland.de/documents/LABO_Fassung_HGW_Bericht_02_2017.pdf" TargetMode="External"/><Relationship Id="rId84" Type="http://schemas.openxmlformats.org/officeDocument/2006/relationships/hyperlink" Target="https://www.eea.europa.eu/data-and-maps/indicators/imperviousness-change-2/assessment"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link.springer.com/chapter/10.1007/978-3-030-15734-0_9"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eur-lex.europa.eu/legal-content/EN/TXT/?uri=CELEX:52006PC0232" TargetMode="Externa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image" Target="media/image8.png"/><Relationship Id="rId37" Type="http://schemas.openxmlformats.org/officeDocument/2006/relationships/footer" Target="footer9.xml"/><Relationship Id="rId40" Type="http://schemas.openxmlformats.org/officeDocument/2006/relationships/image" Target="media/image15.png"/><Relationship Id="rId45" Type="http://schemas.openxmlformats.org/officeDocument/2006/relationships/image" Target="media/image18.png"/><Relationship Id="rId53" Type="http://schemas.openxmlformats.org/officeDocument/2006/relationships/image" Target="media/image25.gif"/><Relationship Id="rId58" Type="http://schemas.openxmlformats.org/officeDocument/2006/relationships/image" Target="media/image30.png"/><Relationship Id="rId66" Type="http://schemas.openxmlformats.org/officeDocument/2006/relationships/hyperlink" Target="https://doi.org/10.5194/bg-2017-395" TargetMode="External"/><Relationship Id="rId74" Type="http://schemas.openxmlformats.org/officeDocument/2006/relationships/hyperlink" Target="https://edepot.wur.nl/44611" TargetMode="External"/><Relationship Id="rId79" Type="http://schemas.openxmlformats.org/officeDocument/2006/relationships/hyperlink" Target="https://apps.who.int/iris/handle/10665/37931" TargetMode="External"/><Relationship Id="rId87" Type="http://schemas.openxmlformats.org/officeDocument/2006/relationships/footer" Target="footer10.xml"/><Relationship Id="rId5" Type="http://schemas.openxmlformats.org/officeDocument/2006/relationships/webSettings" Target="webSettings.xml"/><Relationship Id="rId61" Type="http://schemas.openxmlformats.org/officeDocument/2006/relationships/hyperlink" Target="https://op.europa.eu/en/web/eu-law-and-publications/publication-detail/-/publication/32d5d312-b689-11ea-bb7a-01aa75ed71a1" TargetMode="External"/><Relationship Id="rId82" Type="http://schemas.openxmlformats.org/officeDocument/2006/relationships/hyperlink" Target="https://doi.org/10.5194/hess-23-1819-2019" TargetMode="External"/><Relationship Id="rId19" Type="http://schemas.openxmlformats.org/officeDocument/2006/relationships/hyperlink" Target="file:///\\umweltbundesamt.at\Projekte\10000\10595_ETC-ULS\Intern\183_Soil_2019\1832_Soil_Quality_Monitoring\Rep_Soil_Quality_Indicators\Rep_Soil_Quality_Indicators_v2_13_for%20review.docx"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image" Target="media/image4.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60.wmf"/><Relationship Id="rId48" Type="http://schemas.openxmlformats.org/officeDocument/2006/relationships/hyperlink" Target="https://geobon.org/bons/thematic-bon/soil-bon" TargetMode="External"/><Relationship Id="rId56" Type="http://schemas.openxmlformats.org/officeDocument/2006/relationships/image" Target="media/image28.png"/><Relationship Id="rId64" Type="http://schemas.openxmlformats.org/officeDocument/2006/relationships/hyperlink" Target="https://publications.jrc.ec.europa.eu/repository/bitstream/JRC68418/lbna25186enn.pdf" TargetMode="External"/><Relationship Id="rId69" Type="http://schemas.openxmlformats.org/officeDocument/2006/relationships/hyperlink" Target="https://doi.org/10.1111/j.1365-2486.2012.02699.x" TargetMode="External"/><Relationship Id="rId77" Type="http://schemas.openxmlformats.org/officeDocument/2006/relationships/hyperlink" Target="https://publications.jrc.ec.europa.eu/repository/bitstream/JRC107508/jrc107508_2018.1264_src_final_progress_in_the_management_contaminated_sites_in_europe_eur_29124_en_online-final_1.pdf" TargetMode="External"/><Relationship Id="rId8" Type="http://schemas.openxmlformats.org/officeDocument/2006/relationships/image" Target="media/image1.JPG"/><Relationship Id="rId51" Type="http://schemas.openxmlformats.org/officeDocument/2006/relationships/image" Target="media/image23.emf"/><Relationship Id="rId72" Type="http://schemas.openxmlformats.org/officeDocument/2006/relationships/hyperlink" Target="https://doi.org/10.1016/j.soilbio.2018.01.030" TargetMode="External"/><Relationship Id="rId80" Type="http://schemas.openxmlformats.org/officeDocument/2006/relationships/hyperlink" Target="https://doi.org/10.1038/s41586-018-0189-9" TargetMode="External"/><Relationship Id="rId85" Type="http://schemas.openxmlformats.org/officeDocument/2006/relationships/hyperlink" Target="https://land.copernicus.eu/user-corner/technical-library/hrl-imperviousness-technical-document-prod-2015"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image" Target="media/image9.png"/><Relationship Id="rId38" Type="http://schemas.openxmlformats.org/officeDocument/2006/relationships/image" Target="media/image13.emf"/><Relationship Id="rId46" Type="http://schemas.openxmlformats.org/officeDocument/2006/relationships/image" Target="media/image19.png"/><Relationship Id="rId59" Type="http://schemas.openxmlformats.org/officeDocument/2006/relationships/image" Target="media/image31.png"/><Relationship Id="rId67" Type="http://schemas.openxmlformats.org/officeDocument/2006/relationships/hyperlink" Target="https://doi.org/10.1038/nature16069" TargetMode="External"/><Relationship Id="rId20" Type="http://schemas.openxmlformats.org/officeDocument/2006/relationships/hyperlink" Target="file:///\\umweltbundesamt.at\Projekte\10000\10595_ETC-ULS\Intern\183_Soil_2019\1832_Soil_Quality_Monitoring\Rep_Soil_Quality_Indicators\Rep_Soil_Quality_Indicators_v2_13_for%20review.docx" TargetMode="External"/><Relationship Id="rId41" Type="http://schemas.openxmlformats.org/officeDocument/2006/relationships/image" Target="media/image16.wmf"/><Relationship Id="rId54" Type="http://schemas.openxmlformats.org/officeDocument/2006/relationships/image" Target="media/image26.png"/><Relationship Id="rId62" Type="http://schemas.openxmlformats.org/officeDocument/2006/relationships/hyperlink" Target="https://circabc.europa.eu/sd/a/a5932b69-ffa5-4d5f-a842-ead4bb8ba623/MAESconditionsBackgroundpaper11July.pdf" TargetMode="External"/><Relationship Id="rId70" Type="http://schemas.openxmlformats.org/officeDocument/2006/relationships/hyperlink" Target="https://doi.org/10.1002/jpln.201500541" TargetMode="External"/><Relationship Id="rId75" Type="http://schemas.openxmlformats.org/officeDocument/2006/relationships/hyperlink" Target="https://www.iso.org/standard/67982.html" TargetMode="External"/><Relationship Id="rId83" Type="http://schemas.openxmlformats.org/officeDocument/2006/relationships/hyperlink" Target="https://op.europa.eu/en/web/eu-law-and-publications/publication-detail/-/publication/32d5d312-b689-11ea-bb7a-01aa75ed71a1"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image" Target="media/image5.emf"/><Relationship Id="rId36" Type="http://schemas.openxmlformats.org/officeDocument/2006/relationships/image" Target="media/image12.png"/><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header" Target="header1.xml"/><Relationship Id="rId31" Type="http://schemas.openxmlformats.org/officeDocument/2006/relationships/image" Target="media/image7.png"/><Relationship Id="rId44" Type="http://schemas.openxmlformats.org/officeDocument/2006/relationships/image" Target="media/image170.png"/><Relationship Id="rId52" Type="http://schemas.openxmlformats.org/officeDocument/2006/relationships/image" Target="media/image24.jpg"/><Relationship Id="rId60" Type="http://schemas.openxmlformats.org/officeDocument/2006/relationships/image" Target="media/image32.png"/><Relationship Id="rId65" Type="http://schemas.openxmlformats.org/officeDocument/2006/relationships/hyperlink" Target="https://unstats.un.org/sdgs/metadata/" TargetMode="External"/><Relationship Id="rId73" Type="http://schemas.openxmlformats.org/officeDocument/2006/relationships/hyperlink" Target="https://eur-lex.europa.eu/legal-content/EN/TXT/PDF/?uri=CELEX:32020L2184&amp;from=EN" TargetMode="External"/><Relationship Id="rId78" Type="http://schemas.openxmlformats.org/officeDocument/2006/relationships/hyperlink" Target="https://doi.org/10.1016/j.foodchem.2009.04.033" TargetMode="External"/><Relationship Id="rId81" Type="http://schemas.openxmlformats.org/officeDocument/2006/relationships/hyperlink" Target="https://doi.org/10.1038/s41597-020-0437-3" TargetMode="External"/><Relationship Id="rId86" Type="http://schemas.openxmlformats.org/officeDocument/2006/relationships/image" Target="media/image33.emf"/></Relationships>
</file>

<file path=word/_rels/footnotes.xml.rels><?xml version="1.0" encoding="UTF-8" standalone="yes"?>
<Relationships xmlns="http://schemas.openxmlformats.org/package/2006/relationships"><Relationship Id="rId8" Type="http://schemas.openxmlformats.org/officeDocument/2006/relationships/hyperlink" Target="https://ec.europa.eu/environment/pdf/zero-pollution-action-plan/communication_en.pdf" TargetMode="External"/><Relationship Id="rId13" Type="http://schemas.openxmlformats.org/officeDocument/2006/relationships/hyperlink" Target="http://www.fao.org/global-soil-partnership/glosolan/soil-analysis/sops/volume-2-2/en/" TargetMode="External"/><Relationship Id="rId18" Type="http://schemas.openxmlformats.org/officeDocument/2006/relationships/hyperlink" Target="https://artificialisation.biodiversitetousvivants.fr/" TargetMode="External"/><Relationship Id="rId3" Type="http://schemas.openxmlformats.org/officeDocument/2006/relationships/hyperlink" Target="https://www.eea.europa.eu/themes/air/air-pollution-sources-1/national-emission-ceilings/nec-directive-reporting-status-2019" TargetMode="External"/><Relationship Id="rId7" Type="http://schemas.openxmlformats.org/officeDocument/2006/relationships/hyperlink" Target="https://ec.europa.eu/environment/pdf/chemicals/2020/10/SWD_mixtures.pdf" TargetMode="External"/><Relationship Id="rId12" Type="http://schemas.openxmlformats.org/officeDocument/2006/relationships/hyperlink" Target="https://ec.europa.eu/eurostat/documents/276524/10369740/SDG_indicator_2020.pdf" TargetMode="External"/><Relationship Id="rId17" Type="http://schemas.openxmlformats.org/officeDocument/2006/relationships/hyperlink" Target="https://environnement.public.lu/dam-assets/documents/developpement-durable/Un-Luxembourg-plus-durable-pour-une-meilleure-qualite-de-vie-2010.pdf" TargetMode="External"/><Relationship Id="rId2" Type="http://schemas.openxmlformats.org/officeDocument/2006/relationships/hyperlink" Target="https://ec.europa.eu/environment/system/files/2021-07/Explanatory%20Note%208EAP%20Indicators.pdf" TargetMode="External"/><Relationship Id="rId16" Type="http://schemas.openxmlformats.org/officeDocument/2006/relationships/hyperlink" Target="https://sustainabledevelopment-deutschland.github.io/en/11-1-a/" TargetMode="External"/><Relationship Id="rId1" Type="http://schemas.openxmlformats.org/officeDocument/2006/relationships/hyperlink" Target="http://www.fao.org/soils-portal/soil-degradation-restoration/en/" TargetMode="External"/><Relationship Id="rId6" Type="http://schemas.openxmlformats.org/officeDocument/2006/relationships/hyperlink" Target="https://ec.europa.eu/environment/pdf/chemicals/2020/10/SWD_PFAS.pdf" TargetMode="External"/><Relationship Id="rId11" Type="http://schemas.openxmlformats.org/officeDocument/2006/relationships/hyperlink" Target="https://www.4p1000.org/" TargetMode="External"/><Relationship Id="rId5" Type="http://schemas.openxmlformats.org/officeDocument/2006/relationships/hyperlink" Target="https://ec.europa.eu/info/law/better-regulation/have-your-say/initiatives/12596-Protecting-biodiversity-nature-restoration-targets-under-EU-biodiversity-strategy_en" TargetMode="External"/><Relationship Id="rId15" Type="http://schemas.openxmlformats.org/officeDocument/2006/relationships/hyperlink" Target="https://www.bundeskanzleramt.gv.at/bundeskanzleramt/die-bundesregierung/regierungsdokumente.html" TargetMode="External"/><Relationship Id="rId10" Type="http://schemas.openxmlformats.org/officeDocument/2006/relationships/hyperlink" Target="https://op.europa.eu/en/web/eu-law-and-publications/publication-detail/-/publication/32d5d312-b689-11ea-bb7a-01aa75ed71a1" TargetMode="External"/><Relationship Id="rId4" Type="http://schemas.openxmlformats.org/officeDocument/2006/relationships/hyperlink" Target="https://ec.europa.eu/clima/tenders/2020/305336_de" TargetMode="External"/><Relationship Id="rId9" Type="http://schemas.openxmlformats.org/officeDocument/2006/relationships/hyperlink" Target="https://eur-lex.europa.eu/legal-content/EN/TXT/PDF/?uri=CELEX:52021SC0141&amp;from=EN" TargetMode="External"/><Relationship Id="rId14" Type="http://schemas.openxmlformats.org/officeDocument/2006/relationships/hyperlink" Target="https://www.vlaanderen.be/publicaties/beleidsplan-ruimte-vlaanderen-strategische-visie-geillustreerde-vers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0D656A-5252-47DC-8767-536C1B2A3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148</Pages>
  <Words>70938</Words>
  <Characters>404347</Characters>
  <Application>Microsoft Office Word</Application>
  <DocSecurity>0</DocSecurity>
  <Lines>3369</Lines>
  <Paragraphs>948</Paragraphs>
  <ScaleCrop>false</ScaleCrop>
  <HeadingPairs>
    <vt:vector size="10" baseType="variant">
      <vt:variant>
        <vt:lpstr>Titel</vt:lpstr>
      </vt:variant>
      <vt:variant>
        <vt:i4>1</vt:i4>
      </vt:variant>
      <vt:variant>
        <vt:lpstr>Title</vt:lpstr>
      </vt:variant>
      <vt:variant>
        <vt:i4>1</vt:i4>
      </vt:variant>
      <vt:variant>
        <vt:lpstr>Cím</vt:lpstr>
      </vt:variant>
      <vt:variant>
        <vt:i4>1</vt:i4>
      </vt:variant>
      <vt:variant>
        <vt:lpstr>Título</vt:lpstr>
      </vt:variant>
      <vt:variant>
        <vt:i4>1</vt:i4>
      </vt:variant>
      <vt:variant>
        <vt:lpstr>Títulos</vt:lpstr>
      </vt:variant>
      <vt:variant>
        <vt:i4>4</vt:i4>
      </vt:variant>
    </vt:vector>
  </HeadingPairs>
  <TitlesOfParts>
    <vt:vector size="8" baseType="lpstr">
      <vt:lpstr/>
      <vt:lpstr/>
      <vt:lpstr/>
      <vt:lpstr/>
      <vt:lpstr>Acknowledgements</vt:lpstr>
      <vt:lpstr>Title 1</vt:lpstr>
      <vt:lpstr>Title 2</vt:lpstr>
      <vt:lpstr>Title 3</vt:lpstr>
    </vt:vector>
  </TitlesOfParts>
  <Company>Umweltbundesamt</Company>
  <LinksUpToDate>false</LinksUpToDate>
  <CharactersWithSpaces>474337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ETC technical paper template 2016</dc:subject>
  <dc:creator>EEA</dc:creator>
  <cp:keywords/>
  <cp:lastModifiedBy>Prokop Gundula</cp:lastModifiedBy>
  <cp:revision>815</cp:revision>
  <cp:lastPrinted>2021-10-01T14:37:00Z</cp:lastPrinted>
  <dcterms:created xsi:type="dcterms:W3CDTF">2021-09-19T14:47:00Z</dcterms:created>
  <dcterms:modified xsi:type="dcterms:W3CDTF">2021-10-04T09:25:00Z</dcterms:modified>
</cp:coreProperties>
</file>